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636D" w:rsidRPr="00A44ECB" w:rsidRDefault="00CE2AA8" w:rsidP="00A44ECB">
      <w:pPr>
        <w:pageBreakBefore/>
        <w:widowControl w:val="0"/>
        <w:pBdr>
          <w:bottom w:val="thickThinLargeGap" w:sz="18" w:space="1" w:color="4F81BD"/>
          <w:right w:val="thickThinLargeGap" w:sz="18" w:space="13" w:color="4F81BD"/>
        </w:pBdr>
        <w:shd w:val="clear" w:color="auto" w:fill="00B050"/>
        <w:spacing w:after="480"/>
        <w:ind w:left="28" w:right="113"/>
        <w:outlineLvl w:val="0"/>
        <w:rPr>
          <w:rFonts w:ascii="Century Schoolbook" w:eastAsia="Times New Roman" w:hAnsi="Century Schoolbook" w:cs="Times New Roman"/>
          <w:b/>
          <w:bCs/>
          <w:color w:val="FFFFFF"/>
          <w:sz w:val="48"/>
          <w:szCs w:val="28"/>
        </w:rPr>
      </w:pPr>
      <w:bookmarkStart w:id="0" w:name="_Toc340738932"/>
      <w:r>
        <w:rPr>
          <w:rFonts w:ascii="Century Schoolbook" w:eastAsia="Times New Roman" w:hAnsi="Century Schoolbook" w:cs="Times New Roman"/>
          <w:b/>
          <w:bCs/>
          <w:color w:val="FFFFFF"/>
          <w:sz w:val="48"/>
          <w:szCs w:val="28"/>
        </w:rPr>
        <w:t xml:space="preserve">3 - </w:t>
      </w:r>
      <w:r w:rsidR="0023636D" w:rsidRPr="0023636D">
        <w:rPr>
          <w:rFonts w:ascii="Century Schoolbook" w:eastAsia="Times New Roman" w:hAnsi="Century Schoolbook" w:cs="Times New Roman"/>
          <w:b/>
          <w:bCs/>
          <w:color w:val="FFFFFF"/>
          <w:sz w:val="48"/>
          <w:szCs w:val="28"/>
        </w:rPr>
        <w:t>Information</w:t>
      </w:r>
      <w:r w:rsidR="00883614">
        <w:rPr>
          <w:rFonts w:ascii="Century Schoolbook" w:eastAsia="Times New Roman" w:hAnsi="Century Schoolbook" w:cs="Times New Roman"/>
          <w:b/>
          <w:bCs/>
          <w:color w:val="FFFFFF"/>
          <w:sz w:val="48"/>
          <w:szCs w:val="28"/>
        </w:rPr>
        <w:t>s</w:t>
      </w:r>
      <w:r w:rsidR="0023636D" w:rsidRPr="0023636D">
        <w:rPr>
          <w:rFonts w:ascii="Century Schoolbook" w:eastAsia="Times New Roman" w:hAnsi="Century Schoolbook" w:cs="Times New Roman"/>
          <w:b/>
          <w:bCs/>
          <w:color w:val="FFFFFF"/>
          <w:sz w:val="48"/>
          <w:szCs w:val="28"/>
        </w:rPr>
        <w:t xml:space="preserve"> importantes</w:t>
      </w:r>
      <w:bookmarkEnd w:id="0"/>
    </w:p>
    <w:tbl>
      <w:tblPr>
        <w:tblW w:w="9242" w:type="dxa"/>
        <w:tblInd w:w="108" w:type="dxa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4" w:space="0" w:color="4F81BD"/>
          <w:insideV w:val="single" w:sz="4" w:space="0" w:color="4F81BD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2268"/>
        <w:gridCol w:w="6974"/>
      </w:tblGrid>
      <w:tr w:rsidR="0023636D" w:rsidRPr="0023636D" w:rsidTr="004925E1">
        <w:trPr>
          <w:cantSplit/>
          <w:trHeight w:val="3151"/>
        </w:trPr>
        <w:tc>
          <w:tcPr>
            <w:tcW w:w="2268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vAlign w:val="center"/>
          </w:tcPr>
          <w:p w:rsidR="0023636D" w:rsidRPr="00A44ECB" w:rsidRDefault="0023636D" w:rsidP="0023636D">
            <w:pPr>
              <w:spacing w:after="120" w:line="240" w:lineRule="auto"/>
              <w:jc w:val="center"/>
              <w:rPr>
                <w:rFonts w:ascii="Georgia" w:eastAsia="Calibri" w:hAnsi="Georgia" w:cs="Times New Roman"/>
                <w:b/>
                <w:smallCaps/>
                <w:color w:val="00B050"/>
              </w:rPr>
            </w:pPr>
            <w:r w:rsidRPr="00A44ECB">
              <w:rPr>
                <w:rFonts w:ascii="Georgia" w:eastAsia="Calibri" w:hAnsi="Georgia" w:cs="Times New Roman"/>
                <w:b/>
                <w:smallCaps/>
                <w:color w:val="00B050"/>
              </w:rPr>
              <w:t>Informations importantes</w:t>
            </w:r>
          </w:p>
          <w:p w:rsidR="0023636D" w:rsidRPr="0023636D" w:rsidRDefault="0023636D" w:rsidP="0023636D">
            <w:pPr>
              <w:spacing w:after="120" w:line="240" w:lineRule="auto"/>
              <w:jc w:val="center"/>
              <w:rPr>
                <w:rFonts w:ascii="Georgia" w:eastAsia="Calibri" w:hAnsi="Georgia" w:cs="Times New Roman"/>
                <w:b/>
                <w:smallCaps/>
                <w:color w:val="4F81BD"/>
              </w:rPr>
            </w:pPr>
            <w:r w:rsidRPr="0023636D">
              <w:rPr>
                <w:rFonts w:ascii="Georgia" w:eastAsia="Calibri" w:hAnsi="Georgia" w:cs="Times New Roman"/>
                <w:b/>
                <w:smallCaps/>
                <w:noProof/>
                <w:color w:val="4F81BD"/>
                <w:lang w:eastAsia="fr-FR"/>
              </w:rPr>
              <w:drawing>
                <wp:inline distT="0" distB="0" distL="0" distR="0" wp14:anchorId="62B746AC" wp14:editId="2C1F1152">
                  <wp:extent cx="914400" cy="914400"/>
                  <wp:effectExtent l="38100" t="0" r="19050" b="76200"/>
                  <wp:docPr id="1" name="Image 149" descr="messagebox_warni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49" descr="messagebox_warnin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0166" cy="9201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>
                            <a:outerShdw blurRad="76200" dir="18900000" sy="23000" kx="-1200000" algn="bl" rotWithShape="0">
                              <a:prstClr val="black">
                                <a:alpha val="2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74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tcMar>
              <w:right w:w="170" w:type="dxa"/>
            </w:tcMar>
          </w:tcPr>
          <w:p w:rsidR="002C7BEB" w:rsidRPr="006B69D4" w:rsidRDefault="002C7BEB" w:rsidP="0023636D">
            <w:pPr>
              <w:numPr>
                <w:ilvl w:val="0"/>
                <w:numId w:val="1"/>
              </w:numPr>
              <w:spacing w:after="12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0"/>
              </w:rPr>
            </w:pPr>
            <w:r w:rsidRPr="006B69D4">
              <w:rPr>
                <w:rFonts w:ascii="Times New Roman" w:eastAsia="Calibri" w:hAnsi="Times New Roman" w:cs="Times New Roman"/>
                <w:b/>
                <w:bCs/>
                <w:sz w:val="20"/>
                <w:u w:val="single"/>
              </w:rPr>
              <w:t>HYPOTHES</w:t>
            </w:r>
            <w:r w:rsidR="004925E1" w:rsidRPr="006B69D4">
              <w:rPr>
                <w:rFonts w:ascii="Times New Roman" w:eastAsia="Calibri" w:hAnsi="Times New Roman" w:cs="Times New Roman"/>
                <w:b/>
                <w:bCs/>
                <w:sz w:val="20"/>
                <w:u w:val="single"/>
              </w:rPr>
              <w:t>ES PRISES PAR L’ENTREPRISE VM Constructions</w:t>
            </w:r>
            <w:r w:rsidR="004925E1" w:rsidRPr="006B69D4">
              <w:rPr>
                <w:rFonts w:ascii="Times New Roman" w:eastAsia="Calibri" w:hAnsi="Times New Roman" w:cs="Times New Roman"/>
                <w:b/>
                <w:bCs/>
                <w:sz w:val="20"/>
              </w:rPr>
              <w:t> :</w:t>
            </w:r>
          </w:p>
          <w:p w:rsidR="006B69D4" w:rsidRPr="006B69D4" w:rsidRDefault="006B69D4" w:rsidP="006B69D4">
            <w:pPr>
              <w:spacing w:after="120" w:line="240" w:lineRule="auto"/>
              <w:ind w:left="720"/>
              <w:jc w:val="both"/>
              <w:rPr>
                <w:rFonts w:ascii="Times New Roman" w:eastAsia="Calibri" w:hAnsi="Times New Roman" w:cs="Times New Roman"/>
                <w:b/>
                <w:bCs/>
              </w:rPr>
            </w:pPr>
            <w:r w:rsidRPr="006B69D4">
              <w:rPr>
                <w:rFonts w:ascii="Times New Roman" w:eastAsia="Calibri" w:hAnsi="Times New Roman" w:cs="Times New Roman"/>
                <w:b/>
                <w:bCs/>
              </w:rPr>
              <w:t xml:space="preserve">. L’installation de la base est </w:t>
            </w:r>
            <w:r w:rsidR="00606F50">
              <w:rPr>
                <w:rFonts w:ascii="Times New Roman" w:eastAsia="Calibri" w:hAnsi="Times New Roman" w:cs="Times New Roman"/>
                <w:b/>
                <w:bCs/>
              </w:rPr>
              <w:t>à prévoir</w:t>
            </w:r>
            <w:r w:rsidRPr="006B69D4">
              <w:rPr>
                <w:rFonts w:ascii="Times New Roman" w:eastAsia="Calibri" w:hAnsi="Times New Roman" w:cs="Times New Roman"/>
                <w:b/>
                <w:bCs/>
              </w:rPr>
              <w:t xml:space="preserve"> hors de la zone chantier sous réserve de tro</w:t>
            </w:r>
            <w:r w:rsidR="00606F50">
              <w:rPr>
                <w:rFonts w:ascii="Times New Roman" w:eastAsia="Calibri" w:hAnsi="Times New Roman" w:cs="Times New Roman"/>
                <w:b/>
                <w:bCs/>
              </w:rPr>
              <w:t>uver un local dans un rayon de 100 m maximum</w:t>
            </w:r>
            <w:r w:rsidRPr="006B69D4">
              <w:rPr>
                <w:rFonts w:ascii="Times New Roman" w:eastAsia="Calibri" w:hAnsi="Times New Roman" w:cs="Times New Roman"/>
                <w:b/>
                <w:bCs/>
              </w:rPr>
              <w:t>. Il conviendra d’étudier la possibilité d’utiliser le pavillon situé en fond de parcelle.</w:t>
            </w:r>
            <w:r w:rsidR="00606F50">
              <w:rPr>
                <w:rFonts w:ascii="Times New Roman" w:eastAsia="Calibri" w:hAnsi="Times New Roman" w:cs="Times New Roman"/>
                <w:b/>
                <w:bCs/>
              </w:rPr>
              <w:t xml:space="preserve"> Nous avons estimé une approche budgétaire (Non prise en compte dans le total général de notre offre).</w:t>
            </w:r>
          </w:p>
          <w:p w:rsidR="006B69D4" w:rsidRPr="006B69D4" w:rsidRDefault="006B69D4" w:rsidP="006B69D4">
            <w:pPr>
              <w:spacing w:after="120" w:line="240" w:lineRule="auto"/>
              <w:ind w:left="720"/>
              <w:jc w:val="both"/>
              <w:rPr>
                <w:rFonts w:ascii="Times New Roman" w:eastAsia="Calibri" w:hAnsi="Times New Roman" w:cs="Times New Roman"/>
                <w:b/>
                <w:bCs/>
              </w:rPr>
            </w:pPr>
            <w:r w:rsidRPr="006B69D4">
              <w:rPr>
                <w:rFonts w:ascii="Times New Roman" w:eastAsia="Calibri" w:hAnsi="Times New Roman" w:cs="Times New Roman"/>
                <w:b/>
                <w:bCs/>
              </w:rPr>
              <w:t>. Le dimensionnement de notre base est pr</w:t>
            </w:r>
            <w:r w:rsidR="00606F50">
              <w:rPr>
                <w:rFonts w:ascii="Times New Roman" w:eastAsia="Calibri" w:hAnsi="Times New Roman" w:cs="Times New Roman"/>
                <w:b/>
                <w:bCs/>
              </w:rPr>
              <w:t>évu sur la base de 24 personnes et non à 30 comme préconisé au PGC.</w:t>
            </w:r>
          </w:p>
          <w:p w:rsidR="006B69D4" w:rsidRPr="006B69D4" w:rsidRDefault="006B69D4" w:rsidP="006B69D4">
            <w:pPr>
              <w:spacing w:after="120" w:line="240" w:lineRule="auto"/>
              <w:ind w:left="720"/>
              <w:jc w:val="both"/>
              <w:rPr>
                <w:rFonts w:ascii="Times New Roman" w:eastAsia="Calibri" w:hAnsi="Times New Roman" w:cs="Times New Roman"/>
                <w:b/>
                <w:bCs/>
              </w:rPr>
            </w:pPr>
            <w:r w:rsidRPr="006B69D4">
              <w:rPr>
                <w:rFonts w:ascii="Times New Roman" w:eastAsia="Calibri" w:hAnsi="Times New Roman" w:cs="Times New Roman"/>
                <w:b/>
                <w:bCs/>
              </w:rPr>
              <w:t>. L’ensemble des frais de cantonnement et d’installations communes</w:t>
            </w:r>
            <w:r w:rsidR="007A7193">
              <w:rPr>
                <w:rFonts w:ascii="Times New Roman" w:eastAsia="Calibri" w:hAnsi="Times New Roman" w:cs="Times New Roman"/>
                <w:b/>
                <w:bCs/>
              </w:rPr>
              <w:t xml:space="preserve"> (Art ; 3.1.1 cantonnements, bennes, frais de voieries…)</w:t>
            </w:r>
            <w:r w:rsidRPr="006B69D4">
              <w:rPr>
                <w:rFonts w:ascii="Times New Roman" w:eastAsia="Calibri" w:hAnsi="Times New Roman" w:cs="Times New Roman"/>
                <w:b/>
                <w:bCs/>
              </w:rPr>
              <w:t xml:space="preserve"> e</w:t>
            </w:r>
            <w:r w:rsidR="00606F50">
              <w:rPr>
                <w:rFonts w:ascii="Times New Roman" w:eastAsia="Calibri" w:hAnsi="Times New Roman" w:cs="Times New Roman"/>
                <w:b/>
                <w:bCs/>
              </w:rPr>
              <w:t>st  prévu à la charge</w:t>
            </w:r>
            <w:r w:rsidRPr="006B69D4">
              <w:rPr>
                <w:rFonts w:ascii="Times New Roman" w:eastAsia="Calibri" w:hAnsi="Times New Roman" w:cs="Times New Roman"/>
                <w:b/>
                <w:bCs/>
              </w:rPr>
              <w:t xml:space="preserve"> du compte prorata, </w:t>
            </w:r>
            <w:r w:rsidR="00606F50">
              <w:rPr>
                <w:rFonts w:ascii="Times New Roman" w:eastAsia="Calibri" w:hAnsi="Times New Roman" w:cs="Times New Roman"/>
                <w:b/>
                <w:bCs/>
              </w:rPr>
              <w:t>(</w:t>
            </w:r>
            <w:r w:rsidRPr="006B69D4">
              <w:rPr>
                <w:rFonts w:ascii="Times New Roman" w:eastAsia="Calibri" w:hAnsi="Times New Roman" w:cs="Times New Roman"/>
                <w:b/>
                <w:bCs/>
              </w:rPr>
              <w:t>conformément aux termes du CCAP et de la « noti</w:t>
            </w:r>
            <w:r w:rsidR="00606F50">
              <w:rPr>
                <w:rFonts w:ascii="Times New Roman" w:eastAsia="Calibri" w:hAnsi="Times New Roman" w:cs="Times New Roman"/>
                <w:b/>
                <w:bCs/>
              </w:rPr>
              <w:t>ce d’organisation de chantier »). Nous avons budgété</w:t>
            </w:r>
            <w:r w:rsidR="002A5058">
              <w:rPr>
                <w:rFonts w:ascii="Times New Roman" w:eastAsia="Calibri" w:hAnsi="Times New Roman" w:cs="Times New Roman"/>
                <w:b/>
                <w:bCs/>
              </w:rPr>
              <w:t xml:space="preserve"> le compte prorata à 3</w:t>
            </w:r>
            <w:bookmarkStart w:id="1" w:name="_GoBack"/>
            <w:bookmarkEnd w:id="1"/>
            <w:r w:rsidR="00606F50">
              <w:rPr>
                <w:rFonts w:ascii="Times New Roman" w:eastAsia="Calibri" w:hAnsi="Times New Roman" w:cs="Times New Roman"/>
                <w:b/>
                <w:bCs/>
              </w:rPr>
              <w:t>% dans notre offre</w:t>
            </w:r>
          </w:p>
          <w:p w:rsidR="006B69D4" w:rsidRPr="006B69D4" w:rsidRDefault="006B69D4" w:rsidP="00606F50">
            <w:pPr>
              <w:spacing w:after="120" w:line="240" w:lineRule="auto"/>
              <w:ind w:left="720"/>
              <w:jc w:val="both"/>
              <w:rPr>
                <w:rFonts w:ascii="Times New Roman" w:eastAsia="Calibri" w:hAnsi="Times New Roman" w:cs="Times New Roman"/>
                <w:b/>
                <w:bCs/>
              </w:rPr>
            </w:pPr>
            <w:r w:rsidRPr="006B69D4">
              <w:rPr>
                <w:rFonts w:ascii="Times New Roman" w:eastAsia="Calibri" w:hAnsi="Times New Roman" w:cs="Times New Roman"/>
                <w:b/>
                <w:bCs/>
              </w:rPr>
              <w:t xml:space="preserve">. Suivant le rapport de sol et les plans de principe structure, il est prévu des fondations profondes de type micropieux cependant au vu des éléments développés dans le </w:t>
            </w:r>
            <w:r w:rsidR="00606F50">
              <w:rPr>
                <w:rFonts w:ascii="Times New Roman" w:eastAsia="Calibri" w:hAnsi="Times New Roman" w:cs="Times New Roman"/>
                <w:b/>
                <w:bCs/>
              </w:rPr>
              <w:t xml:space="preserve">présent rapport, nous  vous proposons </w:t>
            </w:r>
            <w:r w:rsidRPr="00606F50">
              <w:rPr>
                <w:rFonts w:ascii="Times New Roman" w:eastAsia="Calibri" w:hAnsi="Times New Roman" w:cs="Times New Roman"/>
                <w:b/>
                <w:bCs/>
                <w:u w:val="single"/>
              </w:rPr>
              <w:t>une solution de fondation de type « radier »</w:t>
            </w:r>
            <w:r w:rsidRPr="006B69D4">
              <w:rPr>
                <w:rFonts w:ascii="Times New Roman" w:eastAsia="Calibri" w:hAnsi="Times New Roman" w:cs="Times New Roman"/>
                <w:b/>
                <w:bCs/>
              </w:rPr>
              <w:t xml:space="preserve"> qui trouve sa pertinence d’un point de vue bu</w:t>
            </w:r>
            <w:r w:rsidR="00606F50">
              <w:rPr>
                <w:rFonts w:ascii="Times New Roman" w:eastAsia="Calibri" w:hAnsi="Times New Roman" w:cs="Times New Roman"/>
                <w:b/>
                <w:bCs/>
              </w:rPr>
              <w:t>dgétaire et de délais.</w:t>
            </w:r>
            <w:r w:rsidRPr="006B69D4">
              <w:rPr>
                <w:rFonts w:ascii="Times New Roman" w:eastAsia="Calibri" w:hAnsi="Times New Roman" w:cs="Times New Roman"/>
                <w:b/>
                <w:bCs/>
              </w:rPr>
              <w:t xml:space="preserve"> Les hypothèses de calculs, méthodologies et options retenues sont détaillés dans le « 4- Mémoire Technique Structure »,</w:t>
            </w:r>
          </w:p>
          <w:p w:rsidR="00AF3BC4" w:rsidRPr="006B69D4" w:rsidRDefault="00AF3BC4" w:rsidP="00AF3BC4">
            <w:pPr>
              <w:spacing w:after="120" w:line="240" w:lineRule="auto"/>
              <w:ind w:left="720"/>
              <w:jc w:val="both"/>
              <w:rPr>
                <w:rFonts w:ascii="Times New Roman" w:eastAsia="Calibri" w:hAnsi="Times New Roman" w:cs="Times New Roman"/>
                <w:b/>
                <w:bCs/>
              </w:rPr>
            </w:pPr>
            <w:r w:rsidRPr="006B69D4">
              <w:rPr>
                <w:rFonts w:ascii="Times New Roman" w:eastAsia="Calibri" w:hAnsi="Times New Roman" w:cs="Times New Roman"/>
                <w:b/>
                <w:bCs/>
              </w:rPr>
              <w:t>. Il n’est pas prévu de traitement des terres polluées. (non spécifié dans le rapport de sol).</w:t>
            </w:r>
          </w:p>
          <w:p w:rsidR="004925E1" w:rsidRPr="006B69D4" w:rsidRDefault="00273B7B" w:rsidP="00637298">
            <w:pPr>
              <w:spacing w:after="120" w:line="240" w:lineRule="auto"/>
              <w:ind w:left="720"/>
              <w:jc w:val="both"/>
              <w:rPr>
                <w:rFonts w:ascii="Times New Roman" w:eastAsia="Calibri" w:hAnsi="Times New Roman" w:cs="Times New Roman"/>
                <w:b/>
                <w:bCs/>
              </w:rPr>
            </w:pPr>
            <w:r w:rsidRPr="006B69D4">
              <w:rPr>
                <w:rFonts w:ascii="Times New Roman" w:eastAsia="Calibri" w:hAnsi="Times New Roman" w:cs="Times New Roman"/>
                <w:b/>
                <w:bCs/>
              </w:rPr>
              <w:t xml:space="preserve">. </w:t>
            </w:r>
            <w:r w:rsidR="003C444B" w:rsidRPr="006B69D4">
              <w:rPr>
                <w:rFonts w:ascii="Times New Roman" w:eastAsia="Calibri" w:hAnsi="Times New Roman" w:cs="Times New Roman"/>
                <w:b/>
                <w:bCs/>
              </w:rPr>
              <w:t>La fourniture de la pompe de relevage n’est pas prévue dans notre offre,</w:t>
            </w:r>
          </w:p>
          <w:p w:rsidR="007A7193" w:rsidRPr="006B69D4" w:rsidRDefault="00897B03" w:rsidP="007A7193">
            <w:pPr>
              <w:spacing w:after="120" w:line="240" w:lineRule="auto"/>
              <w:ind w:left="720"/>
              <w:jc w:val="both"/>
              <w:rPr>
                <w:rFonts w:ascii="Times New Roman" w:eastAsia="Calibri" w:hAnsi="Times New Roman" w:cs="Times New Roman"/>
                <w:b/>
                <w:bCs/>
              </w:rPr>
            </w:pPr>
            <w:r w:rsidRPr="006B69D4">
              <w:rPr>
                <w:rFonts w:ascii="Times New Roman" w:eastAsia="Calibri" w:hAnsi="Times New Roman" w:cs="Times New Roman"/>
                <w:b/>
                <w:bCs/>
              </w:rPr>
              <w:t xml:space="preserve">. </w:t>
            </w:r>
            <w:r w:rsidR="00606F50">
              <w:rPr>
                <w:rFonts w:ascii="Times New Roman" w:eastAsia="Calibri" w:hAnsi="Times New Roman" w:cs="Times New Roman"/>
                <w:b/>
                <w:bCs/>
              </w:rPr>
              <w:t>L’installation du préchauffage est à la charge du lot Chauffage suivant le CCAP. En dérogation du CCAP, les consommations seront à la charge des demandeurs.</w:t>
            </w:r>
          </w:p>
          <w:p w:rsidR="00897B03" w:rsidRPr="006B69D4" w:rsidRDefault="00897B03" w:rsidP="004925E1">
            <w:pPr>
              <w:spacing w:after="120" w:line="240" w:lineRule="auto"/>
              <w:ind w:left="720"/>
              <w:jc w:val="both"/>
              <w:rPr>
                <w:rFonts w:ascii="Times New Roman" w:eastAsia="Calibri" w:hAnsi="Times New Roman" w:cs="Times New Roman"/>
                <w:b/>
                <w:bCs/>
              </w:rPr>
            </w:pPr>
            <w:r w:rsidRPr="006B69D4">
              <w:rPr>
                <w:rFonts w:ascii="Times New Roman" w:eastAsia="Calibri" w:hAnsi="Times New Roman" w:cs="Times New Roman"/>
                <w:b/>
                <w:bCs/>
              </w:rPr>
              <w:t xml:space="preserve">. Aucun échafaudage n’est prévu par la G.O </w:t>
            </w:r>
            <w:r w:rsidR="00C62E9B">
              <w:rPr>
                <w:rFonts w:ascii="Times New Roman" w:eastAsia="Calibri" w:hAnsi="Times New Roman" w:cs="Times New Roman"/>
                <w:b/>
                <w:bCs/>
              </w:rPr>
              <w:t>pour les lots secondaires.</w:t>
            </w:r>
          </w:p>
          <w:p w:rsidR="004925E1" w:rsidRPr="006B69D4" w:rsidRDefault="004925E1" w:rsidP="004925E1">
            <w:pPr>
              <w:spacing w:after="120" w:line="240" w:lineRule="auto"/>
              <w:ind w:left="720"/>
              <w:jc w:val="both"/>
              <w:rPr>
                <w:rFonts w:ascii="Times New Roman" w:eastAsia="Calibri" w:hAnsi="Times New Roman" w:cs="Times New Roman"/>
                <w:b/>
                <w:bCs/>
                <w:sz w:val="20"/>
              </w:rPr>
            </w:pPr>
          </w:p>
        </w:tc>
      </w:tr>
      <w:tr w:rsidR="002C7BEB" w:rsidRPr="0023636D" w:rsidTr="002C7BEB">
        <w:trPr>
          <w:cantSplit/>
          <w:trHeight w:val="2290"/>
        </w:trPr>
        <w:tc>
          <w:tcPr>
            <w:tcW w:w="2268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vAlign w:val="center"/>
          </w:tcPr>
          <w:p w:rsidR="002C7BEB" w:rsidRPr="00A44ECB" w:rsidRDefault="00897B03" w:rsidP="0023636D">
            <w:pPr>
              <w:spacing w:after="120" w:line="240" w:lineRule="auto"/>
              <w:jc w:val="center"/>
              <w:rPr>
                <w:rFonts w:ascii="Georgia" w:eastAsia="Calibri" w:hAnsi="Georgia" w:cs="Times New Roman"/>
                <w:b/>
                <w:smallCaps/>
                <w:color w:val="00B050"/>
              </w:rPr>
            </w:pPr>
            <w:r>
              <w:rPr>
                <w:rFonts w:ascii="Georgia" w:eastAsia="Calibri" w:hAnsi="Georgia" w:cs="Times New Roman"/>
                <w:b/>
                <w:smallCaps/>
                <w:color w:val="00B050"/>
              </w:rPr>
              <w:lastRenderedPageBreak/>
              <w:t>Requête sur</w:t>
            </w:r>
            <w:r w:rsidR="002C7BEB" w:rsidRPr="00A44ECB">
              <w:rPr>
                <w:rFonts w:ascii="Georgia" w:eastAsia="Calibri" w:hAnsi="Georgia" w:cs="Times New Roman"/>
                <w:b/>
                <w:smallCaps/>
                <w:color w:val="00B050"/>
              </w:rPr>
              <w:t xml:space="preserve"> pièces du marche</w:t>
            </w:r>
          </w:p>
          <w:p w:rsidR="002C7BEB" w:rsidRPr="0023636D" w:rsidRDefault="002C7BEB" w:rsidP="0023636D">
            <w:pPr>
              <w:spacing w:after="120" w:line="240" w:lineRule="auto"/>
              <w:jc w:val="center"/>
              <w:rPr>
                <w:rFonts w:ascii="Georgia" w:eastAsia="Calibri" w:hAnsi="Georgia" w:cs="Times New Roman"/>
                <w:b/>
                <w:smallCaps/>
                <w:color w:val="4F81BD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1EAB2C53" wp14:editId="27D03F40">
                  <wp:extent cx="685800" cy="723900"/>
                  <wp:effectExtent l="0" t="0" r="0" b="0"/>
                  <wp:docPr id="2" name="Image 3" descr="kontact_tod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kontact_tod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artisticPhotocopy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723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74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tcMar>
              <w:right w:w="170" w:type="dxa"/>
            </w:tcMar>
          </w:tcPr>
          <w:p w:rsidR="00897B03" w:rsidRPr="006B69D4" w:rsidRDefault="00897B03" w:rsidP="002C7BEB">
            <w:pPr>
              <w:spacing w:after="120" w:line="240" w:lineRule="auto"/>
              <w:jc w:val="both"/>
              <w:rPr>
                <w:rFonts w:ascii="Times New Roman" w:eastAsia="Calibri" w:hAnsi="Times New Roman" w:cs="Times New Roman"/>
                <w:b/>
                <w:sz w:val="20"/>
              </w:rPr>
            </w:pPr>
          </w:p>
          <w:p w:rsidR="00440F06" w:rsidRPr="006B69D4" w:rsidRDefault="0073628D" w:rsidP="002C7BEB">
            <w:pPr>
              <w:spacing w:after="120" w:line="240" w:lineRule="auto"/>
              <w:jc w:val="both"/>
              <w:rPr>
                <w:rFonts w:ascii="Times New Roman" w:eastAsia="Calibri" w:hAnsi="Times New Roman" w:cs="Times New Roman"/>
                <w:b/>
              </w:rPr>
            </w:pPr>
            <w:r w:rsidRPr="006B69D4">
              <w:rPr>
                <w:rFonts w:ascii="Times New Roman" w:eastAsia="Calibri" w:hAnsi="Times New Roman" w:cs="Times New Roman"/>
                <w:b/>
              </w:rPr>
              <w:t xml:space="preserve">En dérogation de l’Art. VIII- 2 du CCAP, </w:t>
            </w:r>
            <w:r w:rsidR="00440F06" w:rsidRPr="006B69D4">
              <w:rPr>
                <w:rFonts w:ascii="Times New Roman" w:eastAsia="Calibri" w:hAnsi="Times New Roman" w:cs="Times New Roman"/>
                <w:b/>
              </w:rPr>
              <w:t>Le montant total des pénalités est plafonné à 5% (sur la base de calcul de 1/3000 par jour de retard)</w:t>
            </w:r>
            <w:r w:rsidR="0006004A" w:rsidRPr="006B69D4">
              <w:rPr>
                <w:rFonts w:ascii="Times New Roman" w:eastAsia="Calibri" w:hAnsi="Times New Roman" w:cs="Times New Roman"/>
                <w:b/>
              </w:rPr>
              <w:t>.</w:t>
            </w:r>
          </w:p>
          <w:p w:rsidR="0006004A" w:rsidRPr="006B69D4" w:rsidRDefault="0006004A" w:rsidP="002C7BEB">
            <w:pPr>
              <w:spacing w:after="120" w:line="240" w:lineRule="auto"/>
              <w:jc w:val="both"/>
              <w:rPr>
                <w:rFonts w:ascii="Times New Roman" w:eastAsia="Calibri" w:hAnsi="Times New Roman" w:cs="Times New Roman"/>
                <w:b/>
              </w:rPr>
            </w:pPr>
            <w:r w:rsidRPr="006B69D4">
              <w:rPr>
                <w:rFonts w:ascii="Times New Roman" w:eastAsia="Calibri" w:hAnsi="Times New Roman" w:cs="Times New Roman"/>
                <w:b/>
              </w:rPr>
              <w:t>En dérogation de l’Art. XIX-1</w:t>
            </w:r>
            <w:r w:rsidR="00790DF5" w:rsidRPr="006B69D4">
              <w:rPr>
                <w:rFonts w:ascii="Times New Roman" w:eastAsia="Calibri" w:hAnsi="Times New Roman" w:cs="Times New Roman"/>
                <w:b/>
              </w:rPr>
              <w:t xml:space="preserve"> et XX-3</w:t>
            </w:r>
            <w:r w:rsidRPr="006B69D4">
              <w:rPr>
                <w:rFonts w:ascii="Times New Roman" w:eastAsia="Calibri" w:hAnsi="Times New Roman" w:cs="Times New Roman"/>
                <w:b/>
              </w:rPr>
              <w:t xml:space="preserve"> du CCAP, Les situations seront établies à l’avancement des travaux et seront limitées à 98% jusqu’à complète levée des réserves du lot. </w:t>
            </w:r>
          </w:p>
          <w:p w:rsidR="0002764A" w:rsidRPr="006B69D4" w:rsidRDefault="0002764A" w:rsidP="002C7BEB">
            <w:pPr>
              <w:spacing w:after="120" w:line="240" w:lineRule="auto"/>
              <w:jc w:val="both"/>
              <w:rPr>
                <w:rFonts w:ascii="Times New Roman" w:eastAsia="Calibri" w:hAnsi="Times New Roman" w:cs="Times New Roman"/>
                <w:b/>
                <w:sz w:val="20"/>
              </w:rPr>
            </w:pPr>
            <w:r w:rsidRPr="006B69D4">
              <w:rPr>
                <w:rFonts w:ascii="Times New Roman" w:eastAsia="Calibri" w:hAnsi="Times New Roman" w:cs="Times New Roman"/>
                <w:b/>
              </w:rPr>
              <w:t xml:space="preserve">En dérogation de l’Art. XX-1 du CCAP </w:t>
            </w:r>
            <w:r w:rsidR="00476616" w:rsidRPr="006B69D4">
              <w:rPr>
                <w:rFonts w:ascii="Times New Roman" w:eastAsia="Calibri" w:hAnsi="Times New Roman" w:cs="Times New Roman"/>
                <w:b/>
              </w:rPr>
              <w:t>Les délais de règlement des acomptes mensuels sont fixés dans l’acte d’engagement. Sauf mention contraire dans ce document, les paiements interviendront par chèque ou virement bancaire, à 30 jours du mois suivant, date de réception par le MOE.</w:t>
            </w:r>
          </w:p>
        </w:tc>
      </w:tr>
      <w:tr w:rsidR="0023636D" w:rsidRPr="000F1E0B" w:rsidTr="0023636D">
        <w:trPr>
          <w:cantSplit/>
        </w:trPr>
        <w:tc>
          <w:tcPr>
            <w:tcW w:w="2268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vAlign w:val="center"/>
          </w:tcPr>
          <w:p w:rsidR="0023636D" w:rsidRPr="00A44ECB" w:rsidRDefault="001F70D4" w:rsidP="002C7BEB">
            <w:pPr>
              <w:pStyle w:val="rubrique"/>
              <w:rPr>
                <w:color w:val="00B050"/>
              </w:rPr>
            </w:pPr>
            <w:r>
              <w:rPr>
                <w:color w:val="00B050"/>
              </w:rPr>
              <w:t>Points de vigilance</w:t>
            </w:r>
          </w:p>
          <w:p w:rsidR="0023636D" w:rsidRDefault="0023636D" w:rsidP="002C7BEB">
            <w:pPr>
              <w:pStyle w:val="rubrique"/>
            </w:pPr>
            <w:r>
              <w:rPr>
                <w:noProof/>
                <w:lang w:eastAsia="fr-FR"/>
              </w:rPr>
              <w:drawing>
                <wp:inline distT="0" distB="0" distL="0" distR="0" wp14:anchorId="07527C65" wp14:editId="027AD150">
                  <wp:extent cx="685800" cy="723900"/>
                  <wp:effectExtent l="0" t="0" r="0" b="0"/>
                  <wp:docPr id="149" name="Image 3" descr="kontact_tod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kontact_tod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723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74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tcMar>
              <w:right w:w="170" w:type="dxa"/>
            </w:tcMar>
          </w:tcPr>
          <w:p w:rsidR="0023636D" w:rsidRDefault="0023636D" w:rsidP="002C7BEB">
            <w:pPr>
              <w:rPr>
                <w:rStyle w:val="lev"/>
                <w:rFonts w:ascii="Times New Roman" w:hAnsi="Times New Roman" w:cs="Times New Roman"/>
                <w:sz w:val="24"/>
                <w:szCs w:val="24"/>
              </w:rPr>
            </w:pPr>
            <w:r w:rsidRPr="006B69D4">
              <w:rPr>
                <w:rStyle w:val="lev"/>
                <w:rFonts w:ascii="Times New Roman" w:hAnsi="Times New Roman" w:cs="Times New Roman"/>
                <w:sz w:val="24"/>
                <w:szCs w:val="24"/>
              </w:rPr>
              <w:t xml:space="preserve">Nous attirons l’attention du Maitre d’ouvrage </w:t>
            </w:r>
            <w:r w:rsidR="002C7BEB" w:rsidRPr="006B69D4">
              <w:rPr>
                <w:rStyle w:val="lev"/>
                <w:rFonts w:ascii="Times New Roman" w:hAnsi="Times New Roman" w:cs="Times New Roman"/>
                <w:sz w:val="24"/>
                <w:szCs w:val="24"/>
              </w:rPr>
              <w:t xml:space="preserve">et de la maitrise d’œuvre </w:t>
            </w:r>
            <w:r w:rsidR="001F70D4" w:rsidRPr="006B69D4">
              <w:rPr>
                <w:rStyle w:val="lev"/>
                <w:rFonts w:ascii="Times New Roman" w:hAnsi="Times New Roman" w:cs="Times New Roman"/>
                <w:sz w:val="24"/>
                <w:szCs w:val="24"/>
              </w:rPr>
              <w:t xml:space="preserve">sur les points suivants </w:t>
            </w:r>
            <w:r w:rsidRPr="006B69D4">
              <w:rPr>
                <w:rStyle w:val="lev"/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F110E8" w:rsidRPr="00F110E8" w:rsidRDefault="00F110E8" w:rsidP="002C7BEB">
            <w:pPr>
              <w:rPr>
                <w:rStyle w:val="lev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lev"/>
                <w:rFonts w:ascii="Times New Roman" w:hAnsi="Times New Roman" w:cs="Times New Roman"/>
                <w:sz w:val="24"/>
                <w:szCs w:val="24"/>
              </w:rPr>
              <w:t>L’environnement extrêmement contraint (Environnement urbain, livraisons limitées, parcelle occupée en totalité par le projet, terrassement aux engins de faible taille avec une problématique d’évacuation importante, ce qui nous conduit à aborder le planning de la façon suivante :</w:t>
            </w:r>
          </w:p>
          <w:p w:rsidR="0023636D" w:rsidRPr="006B69D4" w:rsidRDefault="001F70D4" w:rsidP="00273B7B">
            <w:pPr>
              <w:pStyle w:val="Paragraphedeliste"/>
              <w:numPr>
                <w:ilvl w:val="0"/>
                <w:numId w:val="5"/>
              </w:numPr>
              <w:rPr>
                <w:rStyle w:val="lev"/>
                <w:rFonts w:ascii="Times New Roman" w:hAnsi="Times New Roman"/>
                <w:sz w:val="22"/>
                <w:szCs w:val="24"/>
              </w:rPr>
            </w:pPr>
            <w:r w:rsidRPr="006B69D4">
              <w:rPr>
                <w:rStyle w:val="lev"/>
                <w:rFonts w:ascii="Times New Roman" w:hAnsi="Times New Roman"/>
                <w:sz w:val="22"/>
                <w:szCs w:val="24"/>
              </w:rPr>
              <w:t>Planning :</w:t>
            </w:r>
          </w:p>
          <w:p w:rsidR="006B69D4" w:rsidRPr="006B69D4" w:rsidRDefault="006B69D4" w:rsidP="006B69D4">
            <w:pPr>
              <w:pStyle w:val="Paragraphedeliste"/>
              <w:numPr>
                <w:ilvl w:val="0"/>
                <w:numId w:val="6"/>
              </w:num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B69D4">
              <w:rPr>
                <w:rFonts w:ascii="Times New Roman" w:hAnsi="Times New Roman"/>
                <w:b/>
                <w:sz w:val="22"/>
                <w:u w:val="single"/>
              </w:rPr>
              <w:t xml:space="preserve">La période de préparation de </w:t>
            </w:r>
            <w:r w:rsidR="00BD1CF1">
              <w:rPr>
                <w:rFonts w:ascii="Times New Roman" w:hAnsi="Times New Roman"/>
                <w:b/>
                <w:sz w:val="22"/>
                <w:u w:val="single"/>
              </w:rPr>
              <w:t>2semaines</w:t>
            </w:r>
            <w:r w:rsidRPr="006B69D4">
              <w:rPr>
                <w:rFonts w:ascii="Times New Roman" w:hAnsi="Times New Roman"/>
                <w:b/>
                <w:sz w:val="22"/>
                <w:u w:val="single"/>
              </w:rPr>
              <w:t xml:space="preserve"> est notoirement insuffisante. Elle nous semble devoir être au minimum à </w:t>
            </w:r>
            <w:r w:rsidR="00BD1CF1">
              <w:rPr>
                <w:rFonts w:ascii="Times New Roman" w:hAnsi="Times New Roman"/>
                <w:b/>
                <w:sz w:val="22"/>
                <w:u w:val="single"/>
              </w:rPr>
              <w:t>8 semaines.</w:t>
            </w:r>
          </w:p>
          <w:p w:rsidR="00897B03" w:rsidRPr="00BD1CF1" w:rsidRDefault="00897B03" w:rsidP="00C62E9B">
            <w:pPr>
              <w:pStyle w:val="Paragraphedeliste"/>
              <w:ind w:left="1080"/>
              <w:rPr>
                <w:rStyle w:val="lev"/>
                <w:rFonts w:ascii="Times New Roman" w:hAnsi="Times New Roman"/>
                <w:szCs w:val="24"/>
              </w:rPr>
            </w:pPr>
          </w:p>
        </w:tc>
      </w:tr>
      <w:tr w:rsidR="0023636D" w:rsidRPr="000F1E0B" w:rsidTr="0023636D">
        <w:trPr>
          <w:cantSplit/>
        </w:trPr>
        <w:tc>
          <w:tcPr>
            <w:tcW w:w="2268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vAlign w:val="center"/>
          </w:tcPr>
          <w:p w:rsidR="0023636D" w:rsidRPr="00A44ECB" w:rsidRDefault="0023636D" w:rsidP="002C7BEB">
            <w:pPr>
              <w:pStyle w:val="rubrique"/>
              <w:rPr>
                <w:color w:val="00B050"/>
              </w:rPr>
            </w:pPr>
            <w:r w:rsidRPr="00A44ECB">
              <w:rPr>
                <w:color w:val="00B050"/>
              </w:rPr>
              <w:t>Pièces manquantes</w:t>
            </w:r>
          </w:p>
          <w:p w:rsidR="0023636D" w:rsidRDefault="0023636D" w:rsidP="002C7BEB">
            <w:pPr>
              <w:pStyle w:val="rubrique"/>
            </w:pPr>
            <w:r>
              <w:rPr>
                <w:noProof/>
                <w:lang w:eastAsia="fr-FR"/>
              </w:rPr>
              <w:drawing>
                <wp:inline distT="0" distB="0" distL="0" distR="0" wp14:anchorId="5B350432" wp14:editId="1BEEE46F">
                  <wp:extent cx="685800" cy="723900"/>
                  <wp:effectExtent l="0" t="0" r="0" b="0"/>
                  <wp:docPr id="6" name="Image 3" descr="kontact_tod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kontact_tod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duotone>
                              <a:prstClr val="black"/>
                              <a:schemeClr val="accent2">
                                <a:tint val="45000"/>
                                <a:satMod val="400000"/>
                              </a:schemeClr>
                            </a:duoton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723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74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tcMar>
              <w:right w:w="170" w:type="dxa"/>
            </w:tcMar>
          </w:tcPr>
          <w:p w:rsidR="0023636D" w:rsidRPr="006B69D4" w:rsidRDefault="0023636D" w:rsidP="002C7BEB">
            <w:pPr>
              <w:rPr>
                <w:rStyle w:val="lev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B69D4">
              <w:rPr>
                <w:rStyle w:val="lev"/>
                <w:rFonts w:ascii="Times New Roman" w:hAnsi="Times New Roman" w:cs="Times New Roman"/>
                <w:sz w:val="24"/>
                <w:szCs w:val="24"/>
                <w:u w:val="single"/>
              </w:rPr>
              <w:t>PIECES MANQUANTES</w:t>
            </w:r>
            <w:r w:rsidRPr="006B69D4">
              <w:rPr>
                <w:rStyle w:val="lev"/>
                <w:rFonts w:ascii="Times New Roman" w:hAnsi="Times New Roman" w:cs="Times New Roman"/>
                <w:sz w:val="24"/>
                <w:szCs w:val="24"/>
              </w:rPr>
              <w:t xml:space="preserve"> : </w:t>
            </w:r>
          </w:p>
          <w:p w:rsidR="0023636D" w:rsidRPr="00BD1CF1" w:rsidRDefault="0023636D" w:rsidP="00BD1CF1">
            <w:pPr>
              <w:pStyle w:val="Paragraphedeliste"/>
              <w:spacing w:after="0" w:line="240" w:lineRule="auto"/>
              <w:jc w:val="left"/>
              <w:rPr>
                <w:rStyle w:val="lev"/>
                <w:rFonts w:ascii="Times New Roman" w:hAnsi="Times New Roman"/>
                <w:sz w:val="22"/>
                <w:szCs w:val="24"/>
              </w:rPr>
            </w:pPr>
          </w:p>
          <w:p w:rsidR="006D3E93" w:rsidRPr="006B69D4" w:rsidRDefault="006D3E93" w:rsidP="0023636D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jc w:val="left"/>
              <w:rPr>
                <w:rStyle w:val="lev"/>
                <w:rFonts w:ascii="Times New Roman" w:hAnsi="Times New Roman"/>
                <w:sz w:val="22"/>
                <w:szCs w:val="24"/>
              </w:rPr>
            </w:pPr>
            <w:r w:rsidRPr="006B69D4">
              <w:rPr>
                <w:rStyle w:val="lev"/>
                <w:rFonts w:ascii="Times New Roman" w:hAnsi="Times New Roman"/>
                <w:sz w:val="22"/>
                <w:szCs w:val="24"/>
              </w:rPr>
              <w:t>Rapport initial du contrôleur technique</w:t>
            </w:r>
          </w:p>
          <w:p w:rsidR="002C7BEB" w:rsidRPr="006B69D4" w:rsidRDefault="002C7BEB" w:rsidP="002C7BE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</w:p>
          <w:p w:rsidR="002C7BEB" w:rsidRPr="006B69D4" w:rsidRDefault="002C7BEB" w:rsidP="002C7BEB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6B69D4">
              <w:rPr>
                <w:rFonts w:ascii="Times New Roman" w:hAnsi="Times New Roman" w:cs="Times New Roman"/>
                <w:b/>
                <w:sz w:val="24"/>
              </w:rPr>
              <w:t xml:space="preserve">De ce fait, notre offre ne peut être considérer comme forfaitaire. </w:t>
            </w:r>
          </w:p>
        </w:tc>
      </w:tr>
    </w:tbl>
    <w:p w:rsidR="00E21B53" w:rsidRDefault="00E21B53" w:rsidP="002C7BEB"/>
    <w:sectPr w:rsidR="00E21B53" w:rsidSect="00A44ECB">
      <w:headerReference w:type="default" r:id="rId12"/>
      <w:footerReference w:type="default" r:id="rId13"/>
      <w:pgSz w:w="11906" w:h="16838"/>
      <w:pgMar w:top="1702" w:right="1417" w:bottom="1417" w:left="1417" w:header="45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6A98" w:rsidRDefault="00286A98" w:rsidP="000B6726">
      <w:pPr>
        <w:spacing w:after="0" w:line="240" w:lineRule="auto"/>
      </w:pPr>
      <w:r>
        <w:separator/>
      </w:r>
    </w:p>
  </w:endnote>
  <w:endnote w:type="continuationSeparator" w:id="0">
    <w:p w:rsidR="00286A98" w:rsidRDefault="00286A98" w:rsidP="000B67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Schoolbook">
    <w:altName w:val="Century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70632913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2C7BEB" w:rsidRDefault="002C7BEB">
            <w:pPr>
              <w:pStyle w:val="Pieddepage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A5058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A5058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C7BEB" w:rsidRDefault="003D7FFE">
    <w:pPr>
      <w:pStyle w:val="Pieddepage"/>
    </w:pPr>
    <w:r>
      <w:t xml:space="preserve">Informations sur le projet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6A98" w:rsidRDefault="00286A98" w:rsidP="000B6726">
      <w:pPr>
        <w:spacing w:after="0" w:line="240" w:lineRule="auto"/>
      </w:pPr>
      <w:r>
        <w:separator/>
      </w:r>
    </w:p>
  </w:footnote>
  <w:footnote w:type="continuationSeparator" w:id="0">
    <w:p w:rsidR="00286A98" w:rsidRDefault="00286A98" w:rsidP="000B67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25E6" w:rsidRDefault="00CD25E6" w:rsidP="00CD25E6">
    <w:pPr>
      <w:pStyle w:val="En-tte"/>
      <w:tabs>
        <w:tab w:val="clear" w:pos="4536"/>
        <w:tab w:val="clear" w:pos="9072"/>
        <w:tab w:val="center" w:pos="0"/>
        <w:tab w:val="right" w:pos="10490"/>
      </w:tabs>
      <w:ind w:right="-24"/>
      <w:rPr>
        <w:b/>
        <w:color w:val="7F7F7F" w:themeColor="text1" w:themeTint="80"/>
        <w:sz w:val="24"/>
      </w:rPr>
    </w:pPr>
    <w:r>
      <w:rPr>
        <w:rFonts w:cstheme="minorHAnsi"/>
        <w:noProof/>
        <w:sz w:val="28"/>
        <w:lang w:eastAsia="fr-FR"/>
      </w:rPr>
      <w:drawing>
        <wp:anchor distT="0" distB="0" distL="114300" distR="114300" simplePos="0" relativeHeight="251659264" behindDoc="1" locked="0" layoutInCell="1" allowOverlap="1" wp14:anchorId="24BC9736" wp14:editId="7201C0D7">
          <wp:simplePos x="0" y="0"/>
          <wp:positionH relativeFrom="column">
            <wp:posOffset>-3810</wp:posOffset>
          </wp:positionH>
          <wp:positionV relativeFrom="paragraph">
            <wp:posOffset>28575</wp:posOffset>
          </wp:positionV>
          <wp:extent cx="752475" cy="929640"/>
          <wp:effectExtent l="0" t="0" r="9525" b="3810"/>
          <wp:wrapNone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2475" cy="929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Theme="majorHAnsi" w:hAnsiTheme="majorHAnsi"/>
        <w:b/>
        <w:caps/>
        <w:color w:val="521D02"/>
        <w:sz w:val="38"/>
        <w:szCs w:val="38"/>
        <w14:reflection w14:blurRad="12700" w14:stA="28000" w14:stPos="0" w14:endA="0" w14:endPos="45000" w14:dist="1003" w14:dir="5400000" w14:fadeDir="5400000" w14:sx="100000" w14:sy="-100000" w14:kx="0" w14:ky="0" w14:algn="bl"/>
        <w14:textOutline w14:w="3175" w14:cap="flat" w14:cmpd="sng" w14:algn="ctr">
          <w14:noFill/>
          <w14:prstDash w14:val="solid"/>
          <w14:round/>
        </w14:textOutline>
      </w:rPr>
      <w:t xml:space="preserve">                </w:t>
    </w:r>
    <w:r w:rsidRPr="00672FB3">
      <w:rPr>
        <w:rFonts w:asciiTheme="majorHAnsi" w:hAnsiTheme="majorHAnsi"/>
        <w:b/>
        <w:caps/>
        <w:color w:val="521D02"/>
        <w:sz w:val="38"/>
        <w:szCs w:val="38"/>
        <w14:reflection w14:blurRad="12700" w14:stA="28000" w14:stPos="0" w14:endA="0" w14:endPos="45000" w14:dist="1003" w14:dir="5400000" w14:fadeDir="5400000" w14:sx="100000" w14:sy="-100000" w14:kx="0" w14:ky="0" w14:algn="bl"/>
        <w14:textOutline w14:w="3175" w14:cap="flat" w14:cmpd="sng" w14:algn="ctr">
          <w14:noFill/>
          <w14:prstDash w14:val="solid"/>
          <w14:round/>
        </w14:textOutline>
      </w:rPr>
      <w:t>entreprise générale de bâtiment</w:t>
    </w:r>
  </w:p>
  <w:p w:rsidR="00CD25E6" w:rsidRDefault="00CD25E6" w:rsidP="00CD25E6">
    <w:pPr>
      <w:pStyle w:val="En-tte"/>
      <w:tabs>
        <w:tab w:val="clear" w:pos="4536"/>
        <w:tab w:val="clear" w:pos="9072"/>
        <w:tab w:val="center" w:pos="0"/>
        <w:tab w:val="right" w:pos="10490"/>
      </w:tabs>
      <w:ind w:right="-24"/>
      <w:rPr>
        <w:b/>
        <w:color w:val="7F7F7F" w:themeColor="text1" w:themeTint="80"/>
        <w:sz w:val="24"/>
      </w:rPr>
    </w:pPr>
  </w:p>
  <w:p w:rsidR="00CD25E6" w:rsidRPr="0078719A" w:rsidRDefault="00CD25E6" w:rsidP="00CD25E6">
    <w:pPr>
      <w:pStyle w:val="En-tte"/>
      <w:tabs>
        <w:tab w:val="clear" w:pos="4536"/>
        <w:tab w:val="clear" w:pos="9072"/>
        <w:tab w:val="center" w:pos="0"/>
        <w:tab w:val="right" w:pos="10490"/>
      </w:tabs>
      <w:ind w:right="-24"/>
      <w:jc w:val="right"/>
      <w:rPr>
        <w:b/>
        <w:color w:val="7F7F7F" w:themeColor="text1" w:themeTint="80"/>
        <w:sz w:val="24"/>
      </w:rPr>
    </w:pPr>
    <w:r>
      <w:rPr>
        <w:b/>
        <w:color w:val="7F7F7F" w:themeColor="text1" w:themeTint="80"/>
        <w:sz w:val="24"/>
      </w:rPr>
      <w:t>Hôtel Mademoiselle – Réhabilitation / extension</w:t>
    </w:r>
  </w:p>
  <w:p w:rsidR="00CD25E6" w:rsidRDefault="00CD25E6" w:rsidP="00CD25E6">
    <w:pPr>
      <w:pStyle w:val="En-tte"/>
      <w:tabs>
        <w:tab w:val="clear" w:pos="4536"/>
        <w:tab w:val="clear" w:pos="9072"/>
        <w:tab w:val="center" w:pos="0"/>
        <w:tab w:val="right" w:pos="10490"/>
      </w:tabs>
      <w:ind w:right="-24"/>
      <w:jc w:val="right"/>
      <w:rPr>
        <w:color w:val="7F7F7F" w:themeColor="text1" w:themeTint="80"/>
        <w:vertAlign w:val="superscript"/>
      </w:rPr>
    </w:pPr>
    <w:r>
      <w:rPr>
        <w:color w:val="7F7F7F" w:themeColor="text1" w:themeTint="80"/>
      </w:rPr>
      <w:t>15, rue Mademoiselle (Paris 15</w:t>
    </w:r>
    <w:r w:rsidRPr="00A27CB2">
      <w:rPr>
        <w:color w:val="7F7F7F" w:themeColor="text1" w:themeTint="80"/>
        <w:vertAlign w:val="superscript"/>
      </w:rPr>
      <w:t>ème</w:t>
    </w:r>
  </w:p>
  <w:p w:rsidR="003D7FFE" w:rsidRDefault="003D7FFE" w:rsidP="003D7FFE">
    <w:pPr>
      <w:pStyle w:val="En-tte"/>
    </w:pPr>
  </w:p>
  <w:p w:rsidR="002C7BEB" w:rsidRDefault="002C7BEB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162.75pt;height:171pt" o:bullet="t">
        <v:imagedata r:id="rId1" o:title="fleche01"/>
      </v:shape>
    </w:pict>
  </w:numPicBullet>
  <w:numPicBullet w:numPicBulletId="1">
    <w:pict>
      <v:shape id="_x0000_i1041" type="#_x0000_t75" style="width:96pt;height:96pt" o:bullet="t">
        <v:imagedata r:id="rId2" o:title="forward"/>
      </v:shape>
    </w:pict>
  </w:numPicBullet>
  <w:abstractNum w:abstractNumId="0">
    <w:nsid w:val="01931090"/>
    <w:multiLevelType w:val="hybridMultilevel"/>
    <w:tmpl w:val="66BC9002"/>
    <w:lvl w:ilvl="0" w:tplc="20525618">
      <w:numFmt w:val="bullet"/>
      <w:lvlText w:val="-"/>
      <w:lvlJc w:val="left"/>
      <w:pPr>
        <w:ind w:left="1080" w:hanging="360"/>
      </w:pPr>
      <w:rPr>
        <w:rFonts w:ascii="Palatino Linotype" w:eastAsia="Calibri" w:hAnsi="Palatino Linotype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71B2175"/>
    <w:multiLevelType w:val="hybridMultilevel"/>
    <w:tmpl w:val="880EF5C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F2E44AE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B9EC3CA4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  <w:color w:val="auto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823530"/>
    <w:multiLevelType w:val="hybridMultilevel"/>
    <w:tmpl w:val="487AEA0E"/>
    <w:lvl w:ilvl="0" w:tplc="2F2E44AE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6E05A4"/>
    <w:multiLevelType w:val="hybridMultilevel"/>
    <w:tmpl w:val="3CF856B0"/>
    <w:lvl w:ilvl="0" w:tplc="2F2E44AE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A64891"/>
    <w:multiLevelType w:val="hybridMultilevel"/>
    <w:tmpl w:val="074A1C7A"/>
    <w:lvl w:ilvl="0" w:tplc="2F2E44AE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C7617E"/>
    <w:multiLevelType w:val="hybridMultilevel"/>
    <w:tmpl w:val="6FDA63B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B9EC3CA4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B9EC3CA4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  <w:color w:val="auto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636D"/>
    <w:rsid w:val="00015C02"/>
    <w:rsid w:val="0002764A"/>
    <w:rsid w:val="0006004A"/>
    <w:rsid w:val="000B6726"/>
    <w:rsid w:val="000D61B5"/>
    <w:rsid w:val="001402ED"/>
    <w:rsid w:val="001B24F2"/>
    <w:rsid w:val="001F70D4"/>
    <w:rsid w:val="0023636D"/>
    <w:rsid w:val="00273B7B"/>
    <w:rsid w:val="00286A98"/>
    <w:rsid w:val="002A5058"/>
    <w:rsid w:val="002C7BEB"/>
    <w:rsid w:val="00332875"/>
    <w:rsid w:val="0033325D"/>
    <w:rsid w:val="003A0833"/>
    <w:rsid w:val="003C444B"/>
    <w:rsid w:val="003D7FFE"/>
    <w:rsid w:val="003F0547"/>
    <w:rsid w:val="00401F4A"/>
    <w:rsid w:val="004404E3"/>
    <w:rsid w:val="00440F06"/>
    <w:rsid w:val="00476616"/>
    <w:rsid w:val="0048015C"/>
    <w:rsid w:val="004925E1"/>
    <w:rsid w:val="005204CB"/>
    <w:rsid w:val="00604C8F"/>
    <w:rsid w:val="00606F50"/>
    <w:rsid w:val="006138D2"/>
    <w:rsid w:val="00637298"/>
    <w:rsid w:val="006B69D4"/>
    <w:rsid w:val="006C1AC0"/>
    <w:rsid w:val="006D3E93"/>
    <w:rsid w:val="0073628D"/>
    <w:rsid w:val="00767DAE"/>
    <w:rsid w:val="00790DF5"/>
    <w:rsid w:val="007A7193"/>
    <w:rsid w:val="007E3A65"/>
    <w:rsid w:val="00883614"/>
    <w:rsid w:val="00897B03"/>
    <w:rsid w:val="008C5929"/>
    <w:rsid w:val="00A01DD3"/>
    <w:rsid w:val="00A374E9"/>
    <w:rsid w:val="00A44ECB"/>
    <w:rsid w:val="00AF3BC4"/>
    <w:rsid w:val="00BB6127"/>
    <w:rsid w:val="00BD1CF1"/>
    <w:rsid w:val="00C0693F"/>
    <w:rsid w:val="00C5128D"/>
    <w:rsid w:val="00C57E11"/>
    <w:rsid w:val="00C60197"/>
    <w:rsid w:val="00C62E9B"/>
    <w:rsid w:val="00CA3499"/>
    <w:rsid w:val="00CD25E6"/>
    <w:rsid w:val="00CE2AA8"/>
    <w:rsid w:val="00D10467"/>
    <w:rsid w:val="00DD7D6F"/>
    <w:rsid w:val="00DF003F"/>
    <w:rsid w:val="00E21B53"/>
    <w:rsid w:val="00F110E8"/>
    <w:rsid w:val="00F815DC"/>
    <w:rsid w:val="00FA25A0"/>
    <w:rsid w:val="00FF3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363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3636D"/>
    <w:rPr>
      <w:rFonts w:ascii="Tahoma" w:hAnsi="Tahoma" w:cs="Tahoma"/>
      <w:sz w:val="16"/>
      <w:szCs w:val="16"/>
    </w:rPr>
  </w:style>
  <w:style w:type="paragraph" w:customStyle="1" w:styleId="rubrique">
    <w:name w:val="rubrique"/>
    <w:qFormat/>
    <w:rsid w:val="0023636D"/>
    <w:pPr>
      <w:spacing w:after="120" w:line="240" w:lineRule="auto"/>
      <w:jc w:val="center"/>
    </w:pPr>
    <w:rPr>
      <w:rFonts w:ascii="Georgia" w:eastAsia="Calibri" w:hAnsi="Georgia" w:cs="Times New Roman"/>
      <w:b/>
      <w:smallCaps/>
      <w:color w:val="4F81BD"/>
    </w:rPr>
  </w:style>
  <w:style w:type="paragraph" w:customStyle="1" w:styleId="texterubrique">
    <w:name w:val="texte rubrique"/>
    <w:qFormat/>
    <w:rsid w:val="0023636D"/>
    <w:pPr>
      <w:spacing w:after="120" w:line="240" w:lineRule="auto"/>
      <w:jc w:val="both"/>
    </w:pPr>
    <w:rPr>
      <w:rFonts w:ascii="Palatino Linotype" w:eastAsia="Calibri" w:hAnsi="Palatino Linotype" w:cs="Times New Roman"/>
      <w:sz w:val="20"/>
    </w:rPr>
  </w:style>
  <w:style w:type="paragraph" w:styleId="Paragraphedeliste">
    <w:name w:val="List Paragraph"/>
    <w:basedOn w:val="Normal"/>
    <w:uiPriority w:val="34"/>
    <w:qFormat/>
    <w:rsid w:val="0023636D"/>
    <w:pPr>
      <w:spacing w:after="120"/>
      <w:ind w:left="720"/>
      <w:contextualSpacing/>
      <w:jc w:val="both"/>
    </w:pPr>
    <w:rPr>
      <w:rFonts w:ascii="Palatino Linotype" w:eastAsia="Calibri" w:hAnsi="Palatino Linotype" w:cs="Times New Roman"/>
      <w:sz w:val="20"/>
    </w:rPr>
  </w:style>
  <w:style w:type="character" w:styleId="lev">
    <w:name w:val="Strong"/>
    <w:basedOn w:val="Policepardfaut"/>
    <w:uiPriority w:val="22"/>
    <w:qFormat/>
    <w:rsid w:val="0023636D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0B67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B6726"/>
  </w:style>
  <w:style w:type="paragraph" w:styleId="Pieddepage">
    <w:name w:val="footer"/>
    <w:basedOn w:val="Normal"/>
    <w:link w:val="PieddepageCar"/>
    <w:uiPriority w:val="99"/>
    <w:unhideWhenUsed/>
    <w:rsid w:val="000B67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B672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363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3636D"/>
    <w:rPr>
      <w:rFonts w:ascii="Tahoma" w:hAnsi="Tahoma" w:cs="Tahoma"/>
      <w:sz w:val="16"/>
      <w:szCs w:val="16"/>
    </w:rPr>
  </w:style>
  <w:style w:type="paragraph" w:customStyle="1" w:styleId="rubrique">
    <w:name w:val="rubrique"/>
    <w:qFormat/>
    <w:rsid w:val="0023636D"/>
    <w:pPr>
      <w:spacing w:after="120" w:line="240" w:lineRule="auto"/>
      <w:jc w:val="center"/>
    </w:pPr>
    <w:rPr>
      <w:rFonts w:ascii="Georgia" w:eastAsia="Calibri" w:hAnsi="Georgia" w:cs="Times New Roman"/>
      <w:b/>
      <w:smallCaps/>
      <w:color w:val="4F81BD"/>
    </w:rPr>
  </w:style>
  <w:style w:type="paragraph" w:customStyle="1" w:styleId="texterubrique">
    <w:name w:val="texte rubrique"/>
    <w:qFormat/>
    <w:rsid w:val="0023636D"/>
    <w:pPr>
      <w:spacing w:after="120" w:line="240" w:lineRule="auto"/>
      <w:jc w:val="both"/>
    </w:pPr>
    <w:rPr>
      <w:rFonts w:ascii="Palatino Linotype" w:eastAsia="Calibri" w:hAnsi="Palatino Linotype" w:cs="Times New Roman"/>
      <w:sz w:val="20"/>
    </w:rPr>
  </w:style>
  <w:style w:type="paragraph" w:styleId="Paragraphedeliste">
    <w:name w:val="List Paragraph"/>
    <w:basedOn w:val="Normal"/>
    <w:uiPriority w:val="34"/>
    <w:qFormat/>
    <w:rsid w:val="0023636D"/>
    <w:pPr>
      <w:spacing w:after="120"/>
      <w:ind w:left="720"/>
      <w:contextualSpacing/>
      <w:jc w:val="both"/>
    </w:pPr>
    <w:rPr>
      <w:rFonts w:ascii="Palatino Linotype" w:eastAsia="Calibri" w:hAnsi="Palatino Linotype" w:cs="Times New Roman"/>
      <w:sz w:val="20"/>
    </w:rPr>
  </w:style>
  <w:style w:type="character" w:styleId="lev">
    <w:name w:val="Strong"/>
    <w:basedOn w:val="Policepardfaut"/>
    <w:uiPriority w:val="22"/>
    <w:qFormat/>
    <w:rsid w:val="0023636D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0B67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B6726"/>
  </w:style>
  <w:style w:type="paragraph" w:styleId="Pieddepage">
    <w:name w:val="footer"/>
    <w:basedOn w:val="Normal"/>
    <w:link w:val="PieddepageCar"/>
    <w:uiPriority w:val="99"/>
    <w:unhideWhenUsed/>
    <w:rsid w:val="000B67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B67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463</Words>
  <Characters>2548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VM Constructions</Company>
  <LinksUpToDate>false</LinksUpToDate>
  <CharactersWithSpaces>3005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Arnaud Laplanche</dc:creator>
  <cp:lastModifiedBy>Laurent</cp:lastModifiedBy>
  <cp:revision>2</cp:revision>
  <cp:lastPrinted>2014-02-20T17:09:00Z</cp:lastPrinted>
  <dcterms:created xsi:type="dcterms:W3CDTF">2014-02-23T13:45:00Z</dcterms:created>
  <dcterms:modified xsi:type="dcterms:W3CDTF">2014-02-23T13:45:00Z</dcterms:modified>
</cp:coreProperties>
</file>