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59F" w:rsidRPr="00086C88" w:rsidRDefault="00086C88" w:rsidP="00086C88">
      <w:pPr>
        <w:pageBreakBefore/>
        <w:widowControl w:val="0"/>
        <w:pBdr>
          <w:bottom w:val="thickThinLargeGap" w:sz="18" w:space="1" w:color="4F81BD"/>
          <w:right w:val="thickThinLargeGap" w:sz="18" w:space="1" w:color="4F81BD"/>
        </w:pBdr>
        <w:shd w:val="clear" w:color="auto" w:fill="00B050"/>
        <w:spacing w:after="480"/>
        <w:ind w:left="360"/>
        <w:outlineLvl w:val="0"/>
        <w:rPr>
          <w:rFonts w:ascii="Century Schoolbook" w:eastAsia="Times New Roman" w:hAnsi="Century Schoolbook"/>
          <w:b/>
          <w:bCs/>
          <w:color w:val="FFFFFF"/>
          <w:sz w:val="56"/>
          <w:szCs w:val="28"/>
        </w:rPr>
      </w:pPr>
      <w:bookmarkStart w:id="0" w:name="_GoBack"/>
      <w:bookmarkEnd w:id="0"/>
      <w:r>
        <w:rPr>
          <w:rFonts w:ascii="Arial" w:eastAsia="Times New Roman" w:hAnsi="Arial" w:cs="Arial"/>
          <w:b/>
          <w:bCs/>
          <w:color w:val="FFFFFF"/>
          <w:sz w:val="40"/>
          <w:szCs w:val="28"/>
          <w:lang w:eastAsia="fr-FR"/>
        </w:rPr>
        <w:t>7</w:t>
      </w:r>
      <w:r w:rsidR="009611D7" w:rsidRPr="00086C88">
        <w:rPr>
          <w:rFonts w:ascii="Arial" w:eastAsia="Times New Roman" w:hAnsi="Arial" w:cs="Arial"/>
          <w:b/>
          <w:bCs/>
          <w:color w:val="FFFFFF"/>
          <w:sz w:val="40"/>
          <w:szCs w:val="28"/>
          <w:lang w:eastAsia="fr-FR"/>
        </w:rPr>
        <w:t xml:space="preserve">- </w:t>
      </w:r>
      <w:r w:rsidR="0039159F" w:rsidRPr="00086C88">
        <w:rPr>
          <w:rFonts w:ascii="Arial" w:eastAsia="Times New Roman" w:hAnsi="Arial" w:cs="Arial"/>
          <w:b/>
          <w:bCs/>
          <w:color w:val="FFFFFF"/>
          <w:sz w:val="40"/>
          <w:szCs w:val="28"/>
          <w:lang w:eastAsia="fr-FR"/>
        </w:rPr>
        <w:t>Planification et organisation du projet</w:t>
      </w:r>
    </w:p>
    <w:p w:rsidR="0039159F" w:rsidRPr="00A03237" w:rsidRDefault="0039159F" w:rsidP="0039159F">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00B050"/>
          <w:sz w:val="32"/>
          <w:szCs w:val="26"/>
        </w:rPr>
      </w:pPr>
      <w:r w:rsidRPr="00A03237">
        <w:rPr>
          <w:rFonts w:ascii="Sylfaen" w:eastAsia="Times New Roman" w:hAnsi="Sylfaen" w:cs="Times New Roman"/>
          <w:b/>
          <w:bCs/>
          <w:color w:val="00B050"/>
          <w:sz w:val="32"/>
          <w:szCs w:val="26"/>
        </w:rPr>
        <w:t>Engagement de l’Entreprise pour le respect des délais</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Le planning détaillé des travaux sera réalisé et prendra en compte les durées de tâches de tous les corps de métiers. Le planning découle des différentes dates critiques identifiées du dossier. Il fera l’objet d’une validation par la maîtrise d’œuvre. Le planning mettra en évidence :</w:t>
      </w:r>
    </w:p>
    <w:p w:rsidR="00DD591C" w:rsidRPr="00DD591C" w:rsidRDefault="00DD591C" w:rsidP="00DD591C">
      <w:pPr>
        <w:numPr>
          <w:ilvl w:val="0"/>
          <w:numId w:val="1"/>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 début de chaque</w:t>
      </w:r>
      <w:r w:rsidR="000F2A4B">
        <w:rPr>
          <w:rFonts w:ascii="Palatino Linotype" w:eastAsia="Calibri" w:hAnsi="Palatino Linotype" w:cs="Times New Roman"/>
          <w:sz w:val="20"/>
        </w:rPr>
        <w:t xml:space="preserve"> </w:t>
      </w:r>
      <w:proofErr w:type="gramStart"/>
      <w:r w:rsidR="000F2A4B">
        <w:rPr>
          <w:rFonts w:ascii="Palatino Linotype" w:eastAsia="Calibri" w:hAnsi="Palatino Linotype" w:cs="Times New Roman"/>
          <w:sz w:val="20"/>
        </w:rPr>
        <w:t>prestations</w:t>
      </w:r>
      <w:proofErr w:type="gramEnd"/>
      <w:r w:rsidRPr="00DD591C">
        <w:rPr>
          <w:rFonts w:ascii="Palatino Linotype" w:eastAsia="Calibri" w:hAnsi="Palatino Linotype" w:cs="Times New Roman"/>
          <w:sz w:val="20"/>
        </w:rPr>
        <w:t xml:space="preserve"> phase par phase.</w:t>
      </w:r>
    </w:p>
    <w:p w:rsidR="00DD591C" w:rsidRPr="00DD591C" w:rsidRDefault="00DD591C" w:rsidP="00DD591C">
      <w:pPr>
        <w:numPr>
          <w:ilvl w:val="0"/>
          <w:numId w:val="1"/>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La période de présence de la grue sur le chantier.</w:t>
      </w:r>
    </w:p>
    <w:p w:rsidR="00DD591C" w:rsidRPr="00DD591C" w:rsidRDefault="00DD591C" w:rsidP="00DD591C">
      <w:pPr>
        <w:numPr>
          <w:ilvl w:val="0"/>
          <w:numId w:val="1"/>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Les périodes d’approvisionnements des matériaux encombrants.</w:t>
      </w:r>
    </w:p>
    <w:p w:rsidR="00DD591C" w:rsidRPr="00DD591C" w:rsidRDefault="00DD591C" w:rsidP="00DD591C">
      <w:pPr>
        <w:numPr>
          <w:ilvl w:val="0"/>
          <w:numId w:val="1"/>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Les périodes des travaux expos</w:t>
      </w:r>
      <w:r w:rsidR="000F2A4B">
        <w:rPr>
          <w:rFonts w:ascii="Palatino Linotype" w:eastAsia="Calibri" w:hAnsi="Palatino Linotype" w:cs="Times New Roman"/>
          <w:sz w:val="20"/>
        </w:rPr>
        <w:t>és aux intempéries</w:t>
      </w:r>
      <w:r w:rsidRPr="00DD591C">
        <w:rPr>
          <w:rFonts w:ascii="Palatino Linotype" w:eastAsia="Calibri" w:hAnsi="Palatino Linotype" w:cs="Times New Roman"/>
          <w:sz w:val="20"/>
        </w:rPr>
        <w:t>.</w:t>
      </w:r>
    </w:p>
    <w:p w:rsidR="00DD591C" w:rsidRPr="009948CF" w:rsidRDefault="00DD591C" w:rsidP="00DD591C">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00B050"/>
          <w:sz w:val="32"/>
          <w:szCs w:val="26"/>
        </w:rPr>
      </w:pPr>
      <w:bookmarkStart w:id="1" w:name="_Toc267563310"/>
      <w:bookmarkStart w:id="2" w:name="_Toc313611996"/>
      <w:bookmarkStart w:id="3" w:name="_Toc340738942"/>
      <w:r w:rsidRPr="009948CF">
        <w:rPr>
          <w:rFonts w:ascii="Sylfaen" w:eastAsia="Times New Roman" w:hAnsi="Sylfaen" w:cs="Times New Roman"/>
          <w:b/>
          <w:bCs/>
          <w:color w:val="00B050"/>
          <w:sz w:val="32"/>
          <w:szCs w:val="26"/>
        </w:rPr>
        <w:t>Planning prévisionnel</w:t>
      </w:r>
      <w:bookmarkEnd w:id="1"/>
      <w:bookmarkEnd w:id="2"/>
      <w:bookmarkEnd w:id="3"/>
    </w:p>
    <w:tbl>
      <w:tblPr>
        <w:tblW w:w="0" w:type="auto"/>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709"/>
        <w:gridCol w:w="6728"/>
      </w:tblGrid>
      <w:tr w:rsidR="00DD591C" w:rsidRPr="00DD591C" w:rsidTr="002D0F04">
        <w:trPr>
          <w:cantSplit/>
          <w:trHeight w:val="2398"/>
        </w:trPr>
        <w:tc>
          <w:tcPr>
            <w:tcW w:w="2709" w:type="dxa"/>
            <w:vAlign w:val="center"/>
          </w:tcPr>
          <w:p w:rsidR="00DD591C" w:rsidRPr="00DD591C" w:rsidRDefault="00DD591C" w:rsidP="00DD591C">
            <w:pPr>
              <w:spacing w:after="120" w:line="240" w:lineRule="auto"/>
              <w:jc w:val="center"/>
              <w:rPr>
                <w:rFonts w:ascii="Georgia" w:eastAsia="Calibri" w:hAnsi="Georgia" w:cs="Times New Roman"/>
                <w:b/>
                <w:smallCaps/>
                <w:color w:val="4F81BD"/>
              </w:rPr>
            </w:pPr>
            <w:r w:rsidRPr="00DD591C">
              <w:rPr>
                <w:rFonts w:ascii="Georgia" w:eastAsia="Calibri" w:hAnsi="Georgia" w:cs="Times New Roman"/>
                <w:b/>
                <w:smallCaps/>
                <w:color w:val="4F81BD"/>
              </w:rPr>
              <w:t xml:space="preserve">Durée prévisionnelle de l’intervention suivant dossier </w:t>
            </w:r>
            <w:proofErr w:type="spellStart"/>
            <w:r w:rsidRPr="00DD591C">
              <w:rPr>
                <w:rFonts w:ascii="Georgia" w:eastAsia="Calibri" w:hAnsi="Georgia" w:cs="Times New Roman"/>
                <w:b/>
                <w:smallCaps/>
                <w:color w:val="4F81BD"/>
              </w:rPr>
              <w:t>dce</w:t>
            </w:r>
            <w:proofErr w:type="spellEnd"/>
          </w:p>
          <w:p w:rsidR="00DD591C" w:rsidRPr="00DD591C" w:rsidRDefault="00DD591C" w:rsidP="00DD591C">
            <w:pPr>
              <w:spacing w:after="120" w:line="240" w:lineRule="auto"/>
              <w:jc w:val="center"/>
              <w:rPr>
                <w:rFonts w:ascii="Georgia" w:eastAsia="Calibri" w:hAnsi="Georgia" w:cs="Times New Roman"/>
                <w:b/>
                <w:smallCaps/>
                <w:color w:val="4F81BD"/>
              </w:rPr>
            </w:pPr>
            <w:r w:rsidRPr="00DD591C">
              <w:rPr>
                <w:rFonts w:ascii="Georgia" w:eastAsia="Calibri" w:hAnsi="Georgia" w:cs="Times New Roman"/>
                <w:b/>
                <w:smallCaps/>
                <w:noProof/>
                <w:color w:val="4F81BD"/>
                <w:lang w:eastAsia="fr-FR"/>
              </w:rPr>
              <w:drawing>
                <wp:inline distT="0" distB="0" distL="0" distR="0" wp14:anchorId="1468FAF7" wp14:editId="1A70974C">
                  <wp:extent cx="895350" cy="895350"/>
                  <wp:effectExtent l="0" t="0" r="0" b="0"/>
                  <wp:docPr id="1" name="Image 61" descr="plann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descr="planning-01.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Effect>
                                      <a14:colorTemperature colorTemp="7200"/>
                                    </a14:imgEffect>
                                  </a14:imgLayer>
                                </a14:imgProps>
                              </a:ext>
                            </a:extLst>
                          </a:blip>
                          <a:srcRect/>
                          <a:stretch>
                            <a:fillRect/>
                          </a:stretch>
                        </pic:blipFill>
                        <pic:spPr bwMode="auto">
                          <a:xfrm>
                            <a:off x="0" y="0"/>
                            <a:ext cx="895350" cy="895350"/>
                          </a:xfrm>
                          <a:prstGeom prst="rect">
                            <a:avLst/>
                          </a:prstGeom>
                          <a:noFill/>
                          <a:ln w="9525">
                            <a:noFill/>
                            <a:miter lim="800000"/>
                            <a:headEnd/>
                            <a:tailEnd/>
                          </a:ln>
                        </pic:spPr>
                      </pic:pic>
                    </a:graphicData>
                  </a:graphic>
                </wp:inline>
              </w:drawing>
            </w:r>
          </w:p>
        </w:tc>
        <w:tc>
          <w:tcPr>
            <w:tcW w:w="6728" w:type="dxa"/>
          </w:tcPr>
          <w:p w:rsidR="00DD591C" w:rsidRPr="00DD591C" w:rsidRDefault="00DD591C" w:rsidP="00DD591C">
            <w:pPr>
              <w:spacing w:after="120" w:line="240" w:lineRule="auto"/>
              <w:jc w:val="both"/>
              <w:rPr>
                <w:rFonts w:ascii="Palatino Linotype" w:eastAsia="Calibri" w:hAnsi="Palatino Linotype" w:cs="Times New Roman"/>
                <w:sz w:val="20"/>
              </w:rPr>
            </w:pPr>
            <w:r w:rsidRPr="00DD591C">
              <w:rPr>
                <w:rFonts w:ascii="Palatino Linotype" w:eastAsia="Calibri" w:hAnsi="Palatino Linotype" w:cs="Times New Roman"/>
                <w:sz w:val="20"/>
              </w:rPr>
              <w:t>Il est prévu selon le planning fournis au DCE :</w:t>
            </w:r>
          </w:p>
          <w:p w:rsidR="00DD591C" w:rsidRDefault="000F2A4B" w:rsidP="00DD591C">
            <w:pPr>
              <w:numPr>
                <w:ilvl w:val="0"/>
                <w:numId w:val="21"/>
              </w:numPr>
              <w:spacing w:after="0" w:line="240" w:lineRule="auto"/>
              <w:jc w:val="both"/>
              <w:rPr>
                <w:rFonts w:ascii="Palatino Linotype" w:eastAsia="Calibri" w:hAnsi="Palatino Linotype" w:cs="Times New Roman"/>
                <w:b/>
                <w:sz w:val="20"/>
              </w:rPr>
            </w:pPr>
            <w:r>
              <w:rPr>
                <w:rFonts w:ascii="Palatino Linotype" w:eastAsia="Calibri" w:hAnsi="Palatino Linotype" w:cs="Times New Roman"/>
                <w:b/>
                <w:sz w:val="20"/>
              </w:rPr>
              <w:t>6 SEMAINES</w:t>
            </w:r>
            <w:r w:rsidR="005B1A69">
              <w:rPr>
                <w:rFonts w:ascii="Palatino Linotype" w:eastAsia="Calibri" w:hAnsi="Palatino Linotype" w:cs="Times New Roman"/>
                <w:b/>
                <w:sz w:val="20"/>
              </w:rPr>
              <w:t xml:space="preserve"> de préparation </w:t>
            </w:r>
            <w:r w:rsidR="00EC16F7">
              <w:rPr>
                <w:rFonts w:ascii="Palatino Linotype" w:eastAsia="Calibri" w:hAnsi="Palatino Linotype" w:cs="Times New Roman"/>
                <w:b/>
                <w:sz w:val="20"/>
              </w:rPr>
              <w:t>suivant la notice d’organisation de chantier</w:t>
            </w:r>
          </w:p>
          <w:p w:rsidR="00EC16F7" w:rsidRDefault="00EC16F7" w:rsidP="00DD591C">
            <w:pPr>
              <w:numPr>
                <w:ilvl w:val="0"/>
                <w:numId w:val="21"/>
              </w:numPr>
              <w:spacing w:after="0" w:line="240" w:lineRule="auto"/>
              <w:jc w:val="both"/>
              <w:rPr>
                <w:rFonts w:ascii="Palatino Linotype" w:eastAsia="Calibri" w:hAnsi="Palatino Linotype" w:cs="Times New Roman"/>
                <w:b/>
                <w:sz w:val="20"/>
              </w:rPr>
            </w:pPr>
            <w:r>
              <w:rPr>
                <w:rFonts w:ascii="Palatino Linotype" w:eastAsia="Calibri" w:hAnsi="Palatino Linotype" w:cs="Times New Roman"/>
                <w:b/>
                <w:sz w:val="20"/>
              </w:rPr>
              <w:t>3 SEMAINES de préparation suivant le planning enveloppe,</w:t>
            </w:r>
          </w:p>
          <w:p w:rsidR="00EC16F7" w:rsidRDefault="00EC16F7" w:rsidP="00DD591C">
            <w:pPr>
              <w:numPr>
                <w:ilvl w:val="0"/>
                <w:numId w:val="21"/>
              </w:numPr>
              <w:spacing w:after="0" w:line="240" w:lineRule="auto"/>
              <w:jc w:val="both"/>
              <w:rPr>
                <w:rFonts w:ascii="Palatino Linotype" w:eastAsia="Calibri" w:hAnsi="Palatino Linotype" w:cs="Times New Roman"/>
                <w:b/>
                <w:sz w:val="20"/>
              </w:rPr>
            </w:pPr>
            <w:r>
              <w:rPr>
                <w:rFonts w:ascii="Palatino Linotype" w:eastAsia="Calibri" w:hAnsi="Palatino Linotype" w:cs="Times New Roman"/>
                <w:b/>
                <w:sz w:val="20"/>
              </w:rPr>
              <w:t>2 SEMAINES de préparation au titre du CCAP</w:t>
            </w:r>
          </w:p>
          <w:p w:rsidR="005B1A69" w:rsidRPr="000F2A4B" w:rsidRDefault="00EC16F7" w:rsidP="005B1A69">
            <w:pPr>
              <w:spacing w:after="0" w:line="240" w:lineRule="auto"/>
              <w:ind w:left="720"/>
              <w:jc w:val="both"/>
              <w:rPr>
                <w:rFonts w:ascii="Palatino Linotype" w:eastAsia="Calibri" w:hAnsi="Palatino Linotype" w:cs="Times New Roman"/>
                <w:b/>
                <w:sz w:val="20"/>
              </w:rPr>
            </w:pPr>
            <w:r>
              <w:rPr>
                <w:rFonts w:ascii="Palatino Linotype" w:eastAsia="Calibri" w:hAnsi="Palatino Linotype" w:cs="Times New Roman"/>
                <w:b/>
                <w:sz w:val="20"/>
              </w:rPr>
              <w:t xml:space="preserve">Bien que ces délais soient contradictoires, le délai de 6 SEMAINES de préparation est un minimum, d’autant </w:t>
            </w:r>
            <w:r w:rsidR="000F2A4B" w:rsidRPr="000F2A4B">
              <w:rPr>
                <w:rFonts w:ascii="Palatino Linotype" w:eastAsia="Calibri" w:hAnsi="Palatino Linotype" w:cs="Times New Roman"/>
                <w:b/>
                <w:sz w:val="20"/>
              </w:rPr>
              <w:t>que</w:t>
            </w:r>
            <w:r>
              <w:rPr>
                <w:rFonts w:ascii="Palatino Linotype" w:eastAsia="Calibri" w:hAnsi="Palatino Linotype" w:cs="Times New Roman"/>
                <w:b/>
                <w:sz w:val="20"/>
              </w:rPr>
              <w:t xml:space="preserve"> </w:t>
            </w:r>
            <w:proofErr w:type="gramStart"/>
            <w:r>
              <w:rPr>
                <w:rFonts w:ascii="Palatino Linotype" w:eastAsia="Calibri" w:hAnsi="Palatino Linotype" w:cs="Times New Roman"/>
                <w:b/>
                <w:sz w:val="20"/>
              </w:rPr>
              <w:t>le délais</w:t>
            </w:r>
            <w:proofErr w:type="gramEnd"/>
            <w:r>
              <w:rPr>
                <w:rFonts w:ascii="Palatino Linotype" w:eastAsia="Calibri" w:hAnsi="Palatino Linotype" w:cs="Times New Roman"/>
                <w:b/>
                <w:sz w:val="20"/>
              </w:rPr>
              <w:t xml:space="preserve"> nécessaire à l’obtention d’une</w:t>
            </w:r>
            <w:r w:rsidR="000F2A4B" w:rsidRPr="000F2A4B">
              <w:rPr>
                <w:rFonts w:ascii="Palatino Linotype" w:eastAsia="Calibri" w:hAnsi="Palatino Linotype" w:cs="Times New Roman"/>
                <w:b/>
                <w:sz w:val="20"/>
              </w:rPr>
              <w:t xml:space="preserve"> l’alimentation « tarif jaune «  en électricité </w:t>
            </w:r>
            <w:r>
              <w:rPr>
                <w:rFonts w:ascii="Palatino Linotype" w:eastAsia="Calibri" w:hAnsi="Palatino Linotype" w:cs="Times New Roman"/>
                <w:b/>
                <w:sz w:val="20"/>
              </w:rPr>
              <w:t>par EDF est de 8 SEMAINES.</w:t>
            </w:r>
          </w:p>
          <w:p w:rsidR="00DD591C" w:rsidRPr="00DD591C" w:rsidRDefault="00DD591C" w:rsidP="00DD591C">
            <w:pPr>
              <w:spacing w:after="0" w:line="240" w:lineRule="auto"/>
              <w:ind w:left="720"/>
              <w:jc w:val="both"/>
              <w:rPr>
                <w:rFonts w:ascii="Palatino Linotype" w:eastAsia="Calibri" w:hAnsi="Palatino Linotype" w:cs="Times New Roman"/>
                <w:b/>
                <w:sz w:val="20"/>
                <w:highlight w:val="green"/>
              </w:rPr>
            </w:pPr>
          </w:p>
          <w:p w:rsidR="00DD591C" w:rsidRPr="00A03237" w:rsidRDefault="00DD591C" w:rsidP="00DD591C">
            <w:pPr>
              <w:numPr>
                <w:ilvl w:val="0"/>
                <w:numId w:val="21"/>
              </w:numPr>
              <w:spacing w:after="0" w:line="240" w:lineRule="auto"/>
              <w:jc w:val="both"/>
              <w:rPr>
                <w:rFonts w:ascii="Palatino Linotype" w:eastAsia="Calibri" w:hAnsi="Palatino Linotype" w:cs="Times New Roman"/>
                <w:b/>
                <w:sz w:val="20"/>
              </w:rPr>
            </w:pPr>
            <w:r w:rsidRPr="00A03237">
              <w:rPr>
                <w:rFonts w:ascii="Palatino Linotype" w:eastAsia="Calibri" w:hAnsi="Palatino Linotype" w:cs="Times New Roman"/>
                <w:b/>
                <w:sz w:val="20"/>
                <w:u w:val="single"/>
              </w:rPr>
              <w:t>Pour la phase 1</w:t>
            </w:r>
            <w:r w:rsidR="000F2A4B">
              <w:rPr>
                <w:rFonts w:ascii="Palatino Linotype" w:eastAsia="Calibri" w:hAnsi="Palatino Linotype" w:cs="Times New Roman"/>
                <w:b/>
                <w:sz w:val="20"/>
                <w:u w:val="single"/>
              </w:rPr>
              <w:t xml:space="preserve"> (Démolition</w:t>
            </w:r>
            <w:r w:rsidR="00A03237" w:rsidRPr="00A03237">
              <w:rPr>
                <w:rFonts w:ascii="Palatino Linotype" w:eastAsia="Calibri" w:hAnsi="Palatino Linotype" w:cs="Times New Roman"/>
                <w:b/>
                <w:sz w:val="20"/>
                <w:u w:val="single"/>
              </w:rPr>
              <w:t>)</w:t>
            </w:r>
            <w:r w:rsidRPr="00A03237">
              <w:rPr>
                <w:rFonts w:ascii="Palatino Linotype" w:eastAsia="Calibri" w:hAnsi="Palatino Linotype" w:cs="Times New Roman"/>
                <w:b/>
                <w:sz w:val="20"/>
              </w:rPr>
              <w:t> :</w:t>
            </w:r>
          </w:p>
          <w:p w:rsidR="00DD591C" w:rsidRPr="00F620A2" w:rsidRDefault="000F2A4B" w:rsidP="00DD591C">
            <w:pPr>
              <w:numPr>
                <w:ilvl w:val="0"/>
                <w:numId w:val="22"/>
              </w:numPr>
              <w:spacing w:after="0" w:line="240" w:lineRule="auto"/>
              <w:jc w:val="both"/>
              <w:rPr>
                <w:rFonts w:ascii="Palatino Linotype" w:eastAsia="Calibri" w:hAnsi="Palatino Linotype" w:cs="Times New Roman"/>
                <w:b/>
                <w:sz w:val="20"/>
              </w:rPr>
            </w:pPr>
            <w:r>
              <w:rPr>
                <w:rFonts w:ascii="Palatino Linotype" w:eastAsia="Calibri" w:hAnsi="Palatino Linotype" w:cs="Times New Roman"/>
                <w:b/>
                <w:sz w:val="20"/>
              </w:rPr>
              <w:t xml:space="preserve"> </w:t>
            </w:r>
            <w:r w:rsidR="00710E0E" w:rsidRPr="00710E0E">
              <w:rPr>
                <w:rFonts w:ascii="Palatino Linotype" w:eastAsia="Calibri" w:hAnsi="Palatino Linotype" w:cs="Times New Roman"/>
                <w:b/>
                <w:sz w:val="20"/>
              </w:rPr>
              <w:t>2</w:t>
            </w:r>
            <w:r w:rsidR="00710E0E">
              <w:rPr>
                <w:rFonts w:ascii="Palatino Linotype" w:eastAsia="Calibri" w:hAnsi="Palatino Linotype" w:cs="Times New Roman"/>
                <w:b/>
                <w:color w:val="FF0000"/>
                <w:sz w:val="20"/>
              </w:rPr>
              <w:t xml:space="preserve"> </w:t>
            </w:r>
            <w:r>
              <w:rPr>
                <w:rFonts w:ascii="Palatino Linotype" w:eastAsia="Calibri" w:hAnsi="Palatino Linotype" w:cs="Times New Roman"/>
                <w:b/>
                <w:sz w:val="20"/>
              </w:rPr>
              <w:t xml:space="preserve">mois </w:t>
            </w:r>
          </w:p>
          <w:p w:rsidR="00DD591C" w:rsidRPr="00DD591C" w:rsidRDefault="00DD591C" w:rsidP="00DD591C">
            <w:pPr>
              <w:spacing w:after="0" w:line="240" w:lineRule="auto"/>
              <w:ind w:left="1068"/>
              <w:jc w:val="both"/>
              <w:rPr>
                <w:rFonts w:ascii="Palatino Linotype" w:eastAsia="Calibri" w:hAnsi="Palatino Linotype" w:cs="Times New Roman"/>
                <w:b/>
                <w:sz w:val="20"/>
                <w:highlight w:val="green"/>
              </w:rPr>
            </w:pPr>
          </w:p>
          <w:p w:rsidR="00DD591C" w:rsidRPr="00A03237" w:rsidRDefault="00DD591C" w:rsidP="00DD591C">
            <w:pPr>
              <w:numPr>
                <w:ilvl w:val="0"/>
                <w:numId w:val="23"/>
              </w:numPr>
              <w:spacing w:after="0" w:line="240" w:lineRule="auto"/>
              <w:contextualSpacing/>
              <w:jc w:val="both"/>
              <w:rPr>
                <w:rFonts w:ascii="Palatino Linotype" w:eastAsia="Calibri" w:hAnsi="Palatino Linotype" w:cs="Times New Roman"/>
                <w:b/>
                <w:sz w:val="20"/>
              </w:rPr>
            </w:pPr>
            <w:r w:rsidRPr="00A03237">
              <w:rPr>
                <w:rFonts w:ascii="Palatino Linotype" w:eastAsia="Calibri" w:hAnsi="Palatino Linotype" w:cs="Times New Roman"/>
                <w:b/>
                <w:sz w:val="20"/>
                <w:u w:val="single"/>
              </w:rPr>
              <w:t>Pour la phase 2</w:t>
            </w:r>
            <w:r w:rsidR="000F2A4B">
              <w:rPr>
                <w:rFonts w:ascii="Palatino Linotype" w:eastAsia="Calibri" w:hAnsi="Palatino Linotype" w:cs="Times New Roman"/>
                <w:b/>
                <w:sz w:val="20"/>
                <w:u w:val="single"/>
              </w:rPr>
              <w:t xml:space="preserve"> (Infrastructure </w:t>
            </w:r>
            <w:proofErr w:type="gramStart"/>
            <w:r w:rsidR="000F2A4B">
              <w:rPr>
                <w:rFonts w:ascii="Palatino Linotype" w:eastAsia="Calibri" w:hAnsi="Palatino Linotype" w:cs="Times New Roman"/>
                <w:b/>
                <w:sz w:val="20"/>
                <w:u w:val="single"/>
              </w:rPr>
              <w:t>:Terrassement</w:t>
            </w:r>
            <w:proofErr w:type="gramEnd"/>
            <w:r w:rsidR="000F2A4B">
              <w:rPr>
                <w:rFonts w:ascii="Palatino Linotype" w:eastAsia="Calibri" w:hAnsi="Palatino Linotype" w:cs="Times New Roman"/>
                <w:b/>
                <w:sz w:val="20"/>
                <w:u w:val="single"/>
              </w:rPr>
              <w:t>/Reprises en sous-œuvre/voiles par passes/Radier</w:t>
            </w:r>
            <w:r w:rsidR="00A03237">
              <w:rPr>
                <w:rFonts w:ascii="Palatino Linotype" w:eastAsia="Calibri" w:hAnsi="Palatino Linotype" w:cs="Times New Roman"/>
                <w:b/>
                <w:sz w:val="20"/>
                <w:u w:val="single"/>
              </w:rPr>
              <w:t>)</w:t>
            </w:r>
            <w:r w:rsidRPr="00A03237">
              <w:rPr>
                <w:rFonts w:ascii="Palatino Linotype" w:eastAsia="Calibri" w:hAnsi="Palatino Linotype" w:cs="Times New Roman"/>
                <w:b/>
                <w:sz w:val="20"/>
              </w:rPr>
              <w:t> :</w:t>
            </w:r>
          </w:p>
          <w:p w:rsidR="000F2A4B" w:rsidRPr="00F620A2" w:rsidRDefault="00A03237" w:rsidP="000F2A4B">
            <w:pPr>
              <w:numPr>
                <w:ilvl w:val="0"/>
                <w:numId w:val="24"/>
              </w:numPr>
              <w:spacing w:after="0" w:line="240" w:lineRule="auto"/>
              <w:contextualSpacing/>
              <w:jc w:val="both"/>
              <w:rPr>
                <w:rFonts w:ascii="Palatino Linotype" w:eastAsia="Calibri" w:hAnsi="Palatino Linotype" w:cs="Times New Roman"/>
                <w:b/>
                <w:sz w:val="20"/>
              </w:rPr>
            </w:pPr>
            <w:r w:rsidRPr="000F2A4B">
              <w:rPr>
                <w:rFonts w:ascii="Palatino Linotype" w:eastAsia="Calibri" w:hAnsi="Palatino Linotype" w:cs="Times New Roman"/>
                <w:b/>
                <w:color w:val="FF0000"/>
                <w:sz w:val="20"/>
              </w:rPr>
              <w:t xml:space="preserve"> </w:t>
            </w:r>
            <w:r w:rsidR="00710E0E">
              <w:rPr>
                <w:rFonts w:ascii="Palatino Linotype" w:eastAsia="Calibri" w:hAnsi="Palatino Linotype" w:cs="Times New Roman"/>
                <w:b/>
                <w:sz w:val="20"/>
              </w:rPr>
              <w:t>5</w:t>
            </w:r>
            <w:r w:rsidR="000F2A4B" w:rsidRPr="000F2A4B">
              <w:rPr>
                <w:rFonts w:ascii="Palatino Linotype" w:eastAsia="Calibri" w:hAnsi="Palatino Linotype" w:cs="Times New Roman"/>
                <w:b/>
                <w:color w:val="FF0000"/>
                <w:sz w:val="20"/>
              </w:rPr>
              <w:t xml:space="preserve">  </w:t>
            </w:r>
            <w:r w:rsidR="000F2A4B" w:rsidRPr="00F620A2">
              <w:rPr>
                <w:rFonts w:ascii="Palatino Linotype" w:eastAsia="Calibri" w:hAnsi="Palatino Linotype" w:cs="Times New Roman"/>
                <w:b/>
                <w:sz w:val="20"/>
              </w:rPr>
              <w:t>mois de GO</w:t>
            </w:r>
          </w:p>
          <w:p w:rsidR="00DD591C" w:rsidRPr="00F620A2" w:rsidRDefault="00DD591C" w:rsidP="00DD591C">
            <w:pPr>
              <w:numPr>
                <w:ilvl w:val="0"/>
                <w:numId w:val="24"/>
              </w:numPr>
              <w:spacing w:after="0" w:line="240" w:lineRule="auto"/>
              <w:contextualSpacing/>
              <w:jc w:val="both"/>
              <w:rPr>
                <w:rFonts w:ascii="Palatino Linotype" w:eastAsia="Calibri" w:hAnsi="Palatino Linotype" w:cs="Times New Roman"/>
                <w:b/>
                <w:sz w:val="20"/>
              </w:rPr>
            </w:pPr>
            <w:r w:rsidRPr="00F620A2">
              <w:rPr>
                <w:rFonts w:ascii="Palatino Linotype" w:eastAsia="Calibri" w:hAnsi="Palatino Linotype" w:cs="Times New Roman"/>
                <w:b/>
                <w:sz w:val="20"/>
              </w:rPr>
              <w:t xml:space="preserve"> </w:t>
            </w:r>
            <w:r w:rsidR="000F2A4B">
              <w:rPr>
                <w:rFonts w:ascii="Palatino Linotype" w:eastAsia="Calibri" w:hAnsi="Palatino Linotype" w:cs="Times New Roman"/>
                <w:b/>
                <w:sz w:val="20"/>
              </w:rPr>
              <w:t>Suivant méthodologie proposée par notre bureau d’étude structure.</w:t>
            </w:r>
          </w:p>
          <w:p w:rsidR="00DD591C" w:rsidRDefault="00DD591C" w:rsidP="00DD591C">
            <w:pPr>
              <w:spacing w:after="0" w:line="240" w:lineRule="auto"/>
              <w:ind w:left="720"/>
              <w:jc w:val="both"/>
              <w:rPr>
                <w:rFonts w:ascii="Palatino Linotype" w:eastAsia="Calibri" w:hAnsi="Palatino Linotype" w:cs="Times New Roman"/>
                <w:b/>
                <w:sz w:val="20"/>
                <w:highlight w:val="green"/>
              </w:rPr>
            </w:pPr>
          </w:p>
          <w:p w:rsidR="00A03237" w:rsidRPr="00A03237" w:rsidRDefault="00A03237" w:rsidP="00A03237">
            <w:pPr>
              <w:numPr>
                <w:ilvl w:val="0"/>
                <w:numId w:val="23"/>
              </w:numPr>
              <w:spacing w:after="0" w:line="240" w:lineRule="auto"/>
              <w:contextualSpacing/>
              <w:jc w:val="both"/>
              <w:rPr>
                <w:rFonts w:ascii="Palatino Linotype" w:eastAsia="Calibri" w:hAnsi="Palatino Linotype" w:cs="Times New Roman"/>
                <w:b/>
                <w:sz w:val="20"/>
              </w:rPr>
            </w:pPr>
            <w:r>
              <w:rPr>
                <w:rFonts w:ascii="Palatino Linotype" w:eastAsia="Calibri" w:hAnsi="Palatino Linotype" w:cs="Times New Roman"/>
                <w:b/>
                <w:sz w:val="20"/>
                <w:u w:val="single"/>
              </w:rPr>
              <w:t>Po</w:t>
            </w:r>
            <w:r w:rsidR="000F2A4B">
              <w:rPr>
                <w:rFonts w:ascii="Palatino Linotype" w:eastAsia="Calibri" w:hAnsi="Palatino Linotype" w:cs="Times New Roman"/>
                <w:b/>
                <w:sz w:val="20"/>
                <w:u w:val="single"/>
              </w:rPr>
              <w:t>ur la phase 3 (Superstructure</w:t>
            </w:r>
            <w:r>
              <w:rPr>
                <w:rFonts w:ascii="Palatino Linotype" w:eastAsia="Calibri" w:hAnsi="Palatino Linotype" w:cs="Times New Roman"/>
                <w:b/>
                <w:sz w:val="20"/>
                <w:u w:val="single"/>
              </w:rPr>
              <w:t>)</w:t>
            </w:r>
            <w:r w:rsidRPr="00A03237">
              <w:rPr>
                <w:rFonts w:ascii="Palatino Linotype" w:eastAsia="Calibri" w:hAnsi="Palatino Linotype" w:cs="Times New Roman"/>
                <w:b/>
                <w:sz w:val="20"/>
              </w:rPr>
              <w:t> :</w:t>
            </w:r>
          </w:p>
          <w:p w:rsidR="00A03237" w:rsidRPr="00F620A2" w:rsidRDefault="00710E0E" w:rsidP="00A03237">
            <w:pPr>
              <w:numPr>
                <w:ilvl w:val="0"/>
                <w:numId w:val="24"/>
              </w:numPr>
              <w:spacing w:after="0" w:line="240" w:lineRule="auto"/>
              <w:contextualSpacing/>
              <w:jc w:val="both"/>
              <w:rPr>
                <w:rFonts w:ascii="Palatino Linotype" w:eastAsia="Calibri" w:hAnsi="Palatino Linotype" w:cs="Times New Roman"/>
                <w:b/>
                <w:sz w:val="20"/>
              </w:rPr>
            </w:pPr>
            <w:r w:rsidRPr="00710E0E">
              <w:rPr>
                <w:rFonts w:ascii="Palatino Linotype" w:eastAsia="Calibri" w:hAnsi="Palatino Linotype" w:cs="Times New Roman"/>
                <w:b/>
                <w:sz w:val="20"/>
              </w:rPr>
              <w:t>5</w:t>
            </w:r>
            <w:r w:rsidR="00A03237" w:rsidRPr="000F2A4B">
              <w:rPr>
                <w:rFonts w:ascii="Palatino Linotype" w:eastAsia="Calibri" w:hAnsi="Palatino Linotype" w:cs="Times New Roman"/>
                <w:b/>
                <w:color w:val="FF0000"/>
                <w:sz w:val="20"/>
              </w:rPr>
              <w:t xml:space="preserve"> </w:t>
            </w:r>
            <w:r w:rsidR="00A03237" w:rsidRPr="00F620A2">
              <w:rPr>
                <w:rFonts w:ascii="Palatino Linotype" w:eastAsia="Calibri" w:hAnsi="Palatino Linotype" w:cs="Times New Roman"/>
                <w:b/>
                <w:sz w:val="20"/>
              </w:rPr>
              <w:t xml:space="preserve"> mois de GO</w:t>
            </w:r>
          </w:p>
          <w:p w:rsidR="000F2A4B" w:rsidRPr="00F620A2" w:rsidRDefault="000F2A4B" w:rsidP="000F2A4B">
            <w:pPr>
              <w:numPr>
                <w:ilvl w:val="0"/>
                <w:numId w:val="24"/>
              </w:numPr>
              <w:spacing w:after="0" w:line="240" w:lineRule="auto"/>
              <w:contextualSpacing/>
              <w:jc w:val="both"/>
              <w:rPr>
                <w:rFonts w:ascii="Palatino Linotype" w:eastAsia="Calibri" w:hAnsi="Palatino Linotype" w:cs="Times New Roman"/>
                <w:b/>
                <w:sz w:val="20"/>
              </w:rPr>
            </w:pPr>
            <w:r>
              <w:rPr>
                <w:rFonts w:ascii="Palatino Linotype" w:eastAsia="Calibri" w:hAnsi="Palatino Linotype" w:cs="Times New Roman"/>
                <w:b/>
                <w:sz w:val="20"/>
              </w:rPr>
              <w:t>Suivant méthodologie proposée par notre bureau d’étude structure.</w:t>
            </w:r>
          </w:p>
          <w:p w:rsidR="00A03237" w:rsidRDefault="00A03237" w:rsidP="00DD591C">
            <w:pPr>
              <w:spacing w:after="0" w:line="240" w:lineRule="auto"/>
              <w:ind w:left="720"/>
              <w:jc w:val="both"/>
              <w:rPr>
                <w:rFonts w:ascii="Palatino Linotype" w:eastAsia="Calibri" w:hAnsi="Palatino Linotype" w:cs="Times New Roman"/>
                <w:b/>
                <w:sz w:val="20"/>
                <w:highlight w:val="green"/>
              </w:rPr>
            </w:pPr>
          </w:p>
          <w:p w:rsidR="00A03237" w:rsidRPr="00DD591C" w:rsidRDefault="00A03237" w:rsidP="00DD591C">
            <w:pPr>
              <w:spacing w:after="0" w:line="240" w:lineRule="auto"/>
              <w:ind w:left="720"/>
              <w:jc w:val="both"/>
              <w:rPr>
                <w:rFonts w:ascii="Palatino Linotype" w:eastAsia="Calibri" w:hAnsi="Palatino Linotype" w:cs="Times New Roman"/>
                <w:b/>
                <w:sz w:val="20"/>
                <w:highlight w:val="green"/>
              </w:rPr>
            </w:pPr>
          </w:p>
          <w:p w:rsidR="00DD591C" w:rsidRPr="00DD591C" w:rsidRDefault="00DD591C" w:rsidP="00DD591C">
            <w:pPr>
              <w:spacing w:after="0" w:line="240" w:lineRule="auto"/>
              <w:ind w:left="360"/>
              <w:jc w:val="both"/>
              <w:rPr>
                <w:rFonts w:ascii="Palatino Linotype" w:eastAsia="Calibri" w:hAnsi="Palatino Linotype" w:cs="Times New Roman"/>
                <w:b/>
                <w:sz w:val="20"/>
                <w:highlight w:val="green"/>
                <w:u w:val="single"/>
              </w:rPr>
            </w:pPr>
          </w:p>
          <w:p w:rsidR="00DD591C" w:rsidRPr="00DD591C" w:rsidRDefault="00DD591C" w:rsidP="000F2A4B">
            <w:pPr>
              <w:spacing w:after="0" w:line="240" w:lineRule="auto"/>
              <w:jc w:val="both"/>
              <w:rPr>
                <w:rFonts w:ascii="Palatino Linotype" w:eastAsia="Calibri" w:hAnsi="Palatino Linotype" w:cs="Times New Roman"/>
                <w:b/>
                <w:sz w:val="20"/>
              </w:rPr>
            </w:pPr>
          </w:p>
        </w:tc>
      </w:tr>
    </w:tbl>
    <w:p w:rsidR="00EB6A8D" w:rsidRDefault="00EB6A8D">
      <w:pPr>
        <w:rPr>
          <w:rFonts w:ascii="Sylfaen" w:eastAsia="Times New Roman" w:hAnsi="Sylfaen" w:cs="Times New Roman"/>
          <w:b/>
          <w:bCs/>
          <w:color w:val="4F81BD"/>
          <w:sz w:val="32"/>
          <w:szCs w:val="26"/>
        </w:rPr>
      </w:pPr>
      <w:bookmarkStart w:id="4" w:name="_Toc340738943"/>
    </w:p>
    <w:p w:rsidR="00DD591C" w:rsidRPr="00A03237" w:rsidRDefault="0039159F" w:rsidP="00DD591C">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00B050"/>
          <w:sz w:val="32"/>
          <w:szCs w:val="26"/>
        </w:rPr>
      </w:pPr>
      <w:r w:rsidRPr="00A03237">
        <w:rPr>
          <w:rFonts w:ascii="Sylfaen" w:eastAsia="Times New Roman" w:hAnsi="Sylfaen" w:cs="Times New Roman"/>
          <w:b/>
          <w:bCs/>
          <w:color w:val="00B050"/>
          <w:sz w:val="32"/>
          <w:szCs w:val="26"/>
        </w:rPr>
        <w:t xml:space="preserve">Organisation </w:t>
      </w:r>
      <w:r w:rsidR="00DD591C" w:rsidRPr="00A03237">
        <w:rPr>
          <w:rFonts w:ascii="Sylfaen" w:eastAsia="Times New Roman" w:hAnsi="Sylfaen" w:cs="Times New Roman"/>
          <w:b/>
          <w:bCs/>
          <w:color w:val="00B050"/>
          <w:sz w:val="32"/>
          <w:szCs w:val="26"/>
        </w:rPr>
        <w:t xml:space="preserve">du projet </w:t>
      </w:r>
      <w:bookmarkEnd w:id="4"/>
    </w:p>
    <w:p w:rsidR="00DD591C" w:rsidRPr="00DD591C" w:rsidRDefault="00A03237" w:rsidP="00DD591C">
      <w:pPr>
        <w:spacing w:after="120"/>
        <w:jc w:val="both"/>
        <w:rPr>
          <w:rFonts w:ascii="Palatino Linotype" w:eastAsia="Calibri" w:hAnsi="Palatino Linotype" w:cs="Times New Roman"/>
          <w:sz w:val="20"/>
        </w:rPr>
      </w:pPr>
      <w:r>
        <w:rPr>
          <w:rFonts w:ascii="Palatino Linotype" w:eastAsia="Calibri" w:hAnsi="Palatino Linotype" w:cs="Times New Roman"/>
          <w:sz w:val="20"/>
        </w:rPr>
        <w:t xml:space="preserve">La gestion du projet </w:t>
      </w:r>
      <w:r w:rsidRPr="00A03237">
        <w:rPr>
          <w:rFonts w:ascii="Palatino Linotype" w:eastAsia="Calibri" w:hAnsi="Palatino Linotype" w:cs="Times New Roman"/>
          <w:sz w:val="20"/>
        </w:rPr>
        <w:t xml:space="preserve">comporte 3 </w:t>
      </w:r>
      <w:r w:rsidR="00DD591C" w:rsidRPr="00A03237">
        <w:rPr>
          <w:rFonts w:ascii="Palatino Linotype" w:eastAsia="Calibri" w:hAnsi="Palatino Linotype" w:cs="Times New Roman"/>
          <w:sz w:val="20"/>
        </w:rPr>
        <w:t xml:space="preserve"> phases principales</w:t>
      </w:r>
      <w:r w:rsidR="00DD591C" w:rsidRPr="00DD591C">
        <w:rPr>
          <w:rFonts w:ascii="Palatino Linotype" w:eastAsia="Calibri" w:hAnsi="Palatino Linotype" w:cs="Times New Roman"/>
          <w:sz w:val="20"/>
        </w:rPr>
        <w:t xml:space="preserve"> suivant DCE :</w:t>
      </w:r>
    </w:p>
    <w:p w:rsidR="00DD591C" w:rsidRPr="00DD591C" w:rsidRDefault="00A03237" w:rsidP="00DD591C">
      <w:pPr>
        <w:numPr>
          <w:ilvl w:val="0"/>
          <w:numId w:val="19"/>
        </w:numPr>
        <w:spacing w:after="120"/>
        <w:contextualSpacing/>
        <w:jc w:val="both"/>
        <w:rPr>
          <w:rFonts w:ascii="Palatino Linotype" w:eastAsia="Calibri" w:hAnsi="Palatino Linotype" w:cs="Times New Roman"/>
          <w:sz w:val="20"/>
        </w:rPr>
      </w:pPr>
      <w:r>
        <w:rPr>
          <w:rFonts w:ascii="Palatino Linotype" w:eastAsia="Calibri" w:hAnsi="Palatino Linotype" w:cs="Times New Roman"/>
          <w:sz w:val="20"/>
        </w:rPr>
        <w:t>l</w:t>
      </w:r>
      <w:r w:rsidR="000F2A4B">
        <w:rPr>
          <w:rFonts w:ascii="Palatino Linotype" w:eastAsia="Calibri" w:hAnsi="Palatino Linotype" w:cs="Times New Roman"/>
          <w:sz w:val="20"/>
        </w:rPr>
        <w:t xml:space="preserve">a préparation du chantier, </w:t>
      </w:r>
      <w:r w:rsidR="00814DDF">
        <w:rPr>
          <w:rFonts w:ascii="Palatino Linotype" w:eastAsia="Calibri" w:hAnsi="Palatino Linotype" w:cs="Times New Roman"/>
          <w:sz w:val="20"/>
        </w:rPr>
        <w:t>2</w:t>
      </w:r>
      <w:r>
        <w:rPr>
          <w:rFonts w:ascii="Palatino Linotype" w:eastAsia="Calibri" w:hAnsi="Palatino Linotype" w:cs="Times New Roman"/>
          <w:sz w:val="20"/>
        </w:rPr>
        <w:t xml:space="preserve"> </w:t>
      </w:r>
      <w:r w:rsidR="00DD591C" w:rsidRPr="00DD591C">
        <w:rPr>
          <w:rFonts w:ascii="Palatino Linotype" w:eastAsia="Calibri" w:hAnsi="Palatino Linotype" w:cs="Times New Roman"/>
          <w:sz w:val="20"/>
        </w:rPr>
        <w:t xml:space="preserve">mois, </w:t>
      </w:r>
    </w:p>
    <w:p w:rsidR="00814DDF" w:rsidRDefault="000F2A4B" w:rsidP="00DD591C">
      <w:pPr>
        <w:numPr>
          <w:ilvl w:val="0"/>
          <w:numId w:val="19"/>
        </w:numPr>
        <w:spacing w:after="120"/>
        <w:contextualSpacing/>
        <w:jc w:val="both"/>
        <w:rPr>
          <w:rFonts w:ascii="Palatino Linotype" w:eastAsia="Calibri" w:hAnsi="Palatino Linotype" w:cs="Times New Roman"/>
          <w:sz w:val="20"/>
        </w:rPr>
      </w:pPr>
      <w:r>
        <w:rPr>
          <w:rFonts w:ascii="Palatino Linotype" w:eastAsia="Calibri" w:hAnsi="Palatino Linotype" w:cs="Times New Roman"/>
          <w:sz w:val="20"/>
        </w:rPr>
        <w:t xml:space="preserve">l’exécution des travaux, </w:t>
      </w:r>
    </w:p>
    <w:p w:rsidR="00DD591C" w:rsidRDefault="00814DDF" w:rsidP="00DD591C">
      <w:pPr>
        <w:numPr>
          <w:ilvl w:val="0"/>
          <w:numId w:val="19"/>
        </w:numPr>
        <w:spacing w:after="120"/>
        <w:contextualSpacing/>
        <w:jc w:val="both"/>
        <w:rPr>
          <w:rFonts w:ascii="Palatino Linotype" w:eastAsia="Calibri" w:hAnsi="Palatino Linotype" w:cs="Times New Roman"/>
          <w:sz w:val="20"/>
        </w:rPr>
      </w:pPr>
      <w:r>
        <w:rPr>
          <w:rFonts w:ascii="Palatino Linotype" w:eastAsia="Calibri" w:hAnsi="Palatino Linotype" w:cs="Times New Roman"/>
          <w:sz w:val="20"/>
        </w:rPr>
        <w:t xml:space="preserve">Démolition </w:t>
      </w:r>
      <w:r w:rsidRPr="00814DDF">
        <w:rPr>
          <w:rFonts w:ascii="Palatino Linotype" w:eastAsia="Calibri" w:hAnsi="Palatino Linotype" w:cs="Times New Roman"/>
          <w:sz w:val="20"/>
        </w:rPr>
        <w:t>2</w:t>
      </w:r>
      <w:r w:rsidR="00DD591C" w:rsidRPr="00814DDF">
        <w:rPr>
          <w:rFonts w:ascii="Palatino Linotype" w:eastAsia="Calibri" w:hAnsi="Palatino Linotype" w:cs="Times New Roman"/>
          <w:sz w:val="20"/>
        </w:rPr>
        <w:t xml:space="preserve"> </w:t>
      </w:r>
      <w:r w:rsidR="00DD591C" w:rsidRPr="00DD591C">
        <w:rPr>
          <w:rFonts w:ascii="Palatino Linotype" w:eastAsia="Calibri" w:hAnsi="Palatino Linotype" w:cs="Times New Roman"/>
          <w:sz w:val="20"/>
        </w:rPr>
        <w:t>mois,</w:t>
      </w:r>
    </w:p>
    <w:p w:rsidR="00814DDF" w:rsidRPr="00DD591C" w:rsidRDefault="00814DDF" w:rsidP="00DD591C">
      <w:pPr>
        <w:numPr>
          <w:ilvl w:val="0"/>
          <w:numId w:val="19"/>
        </w:numPr>
        <w:spacing w:after="120"/>
        <w:contextualSpacing/>
        <w:jc w:val="both"/>
        <w:rPr>
          <w:rFonts w:ascii="Palatino Linotype" w:eastAsia="Calibri" w:hAnsi="Palatino Linotype" w:cs="Times New Roman"/>
          <w:sz w:val="20"/>
        </w:rPr>
      </w:pPr>
      <w:r>
        <w:rPr>
          <w:rFonts w:ascii="Palatino Linotype" w:eastAsia="Calibri" w:hAnsi="Palatino Linotype" w:cs="Times New Roman"/>
          <w:sz w:val="20"/>
        </w:rPr>
        <w:t>Gros-Œuvre 10 mois</w:t>
      </w:r>
    </w:p>
    <w:p w:rsidR="00DD591C" w:rsidRPr="00DD591C" w:rsidRDefault="00DD591C" w:rsidP="00DD591C">
      <w:pPr>
        <w:numPr>
          <w:ilvl w:val="0"/>
          <w:numId w:val="19"/>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et enfin la réception et le service après-vente.</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Notre organisation de chantier vise à garantir la bonne exécution de votre projet (</w:t>
      </w:r>
      <w:r w:rsidRPr="00DD591C">
        <w:rPr>
          <w:rFonts w:ascii="Palatino Linotype" w:eastAsia="Calibri" w:hAnsi="Palatino Linotype" w:cs="Times New Roman"/>
          <w:b/>
          <w:sz w:val="20"/>
        </w:rPr>
        <w:t>zéro retard, zéro réserve, zéro défaut)</w:t>
      </w:r>
      <w:r w:rsidRPr="00DD591C">
        <w:rPr>
          <w:rFonts w:ascii="Palatino Linotype" w:eastAsia="Calibri" w:hAnsi="Palatino Linotype" w:cs="Times New Roman"/>
          <w:sz w:val="20"/>
        </w:rPr>
        <w:t xml:space="preserve"> en garantissant la sécurité du chantier (</w:t>
      </w:r>
      <w:r w:rsidRPr="00DD591C">
        <w:rPr>
          <w:rFonts w:ascii="Palatino Linotype" w:eastAsia="Calibri" w:hAnsi="Palatino Linotype" w:cs="Times New Roman"/>
          <w:b/>
          <w:sz w:val="20"/>
          <w:u w:val="single"/>
        </w:rPr>
        <w:t>objectif 0 accident</w:t>
      </w:r>
      <w:r w:rsidRPr="00DD591C">
        <w:rPr>
          <w:rFonts w:ascii="Palatino Linotype" w:eastAsia="Calibri" w:hAnsi="Palatino Linotype" w:cs="Times New Roman"/>
          <w:sz w:val="20"/>
        </w:rPr>
        <w:t>). Pour cela nous avons mise en place une démarche d’assurance qualité.</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Notre démarche d’assurance qualité vise à prévenir systématiquement et méthodiquement tout dysfonctionnement source de non-qualité. Notre plan d’assurance a pour mission de fiabiliser chaque processus de notre activité.</w:t>
      </w:r>
    </w:p>
    <w:p w:rsidR="00DD591C" w:rsidRPr="00A03237" w:rsidRDefault="00DD591C" w:rsidP="00DD591C">
      <w:pPr>
        <w:keepNext/>
        <w:keepLines/>
        <w:pBdr>
          <w:bottom w:val="single" w:sz="4" w:space="1" w:color="4F81BD"/>
        </w:pBdr>
        <w:spacing w:before="480" w:after="120"/>
        <w:jc w:val="both"/>
        <w:outlineLvl w:val="2"/>
        <w:rPr>
          <w:rFonts w:ascii="Georgia" w:eastAsia="Times New Roman" w:hAnsi="Georgia" w:cs="Times New Roman"/>
          <w:bCs/>
          <w:color w:val="00B050"/>
          <w:sz w:val="24"/>
        </w:rPr>
      </w:pPr>
      <w:bookmarkStart w:id="5" w:name="_Toc340738944"/>
      <w:r w:rsidRPr="00A03237">
        <w:rPr>
          <w:rFonts w:ascii="Georgia" w:eastAsia="Times New Roman" w:hAnsi="Georgia" w:cs="Times New Roman"/>
          <w:bCs/>
          <w:color w:val="00B050"/>
          <w:sz w:val="24"/>
        </w:rPr>
        <w:t>1- Phase de préparation du chantier</w:t>
      </w:r>
      <w:bookmarkEnd w:id="5"/>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La phase de préparation du chantier est primordiale pour la bonne réalisation des travaux. </w:t>
      </w:r>
    </w:p>
    <w:p w:rsidR="00DD591C" w:rsidRPr="00DD591C" w:rsidRDefault="00DD591C" w:rsidP="00DD591C">
      <w:pPr>
        <w:spacing w:after="120"/>
        <w:jc w:val="both"/>
        <w:rPr>
          <w:rFonts w:ascii="Palatino Linotype" w:eastAsia="Calibri" w:hAnsi="Palatino Linotype" w:cs="Times New Roman"/>
          <w:b/>
          <w:sz w:val="20"/>
          <w:szCs w:val="20"/>
        </w:rPr>
      </w:pPr>
      <w:r w:rsidRPr="00DD591C">
        <w:rPr>
          <w:rFonts w:ascii="Palatino Linotype" w:eastAsia="Calibri" w:hAnsi="Palatino Linotype" w:cs="Times New Roman"/>
          <w:sz w:val="20"/>
          <w:szCs w:val="20"/>
        </w:rPr>
        <w:t>La préparation de chantier débute dans le planning joint à l’appel d’offre.</w:t>
      </w:r>
      <w:r w:rsidRPr="00DD591C">
        <w:rPr>
          <w:rFonts w:ascii="Palatino Linotype" w:eastAsia="Calibri" w:hAnsi="Palatino Linotype" w:cs="Times New Roman"/>
          <w:b/>
          <w:sz w:val="20"/>
          <w:szCs w:val="20"/>
        </w:rPr>
        <w:t xml:space="preserve"> </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Durant cette phase, nous règlerons les différents détails concernant l’organisation du chantier, la planification et la coordination :</w:t>
      </w:r>
    </w:p>
    <w:p w:rsidR="00DD591C" w:rsidRPr="00A03237" w:rsidRDefault="00DD591C" w:rsidP="00DD591C">
      <w:pPr>
        <w:keepNext/>
        <w:keepLines/>
        <w:spacing w:before="200" w:after="120"/>
        <w:jc w:val="both"/>
        <w:outlineLvl w:val="3"/>
        <w:rPr>
          <w:rFonts w:ascii="Cambria" w:eastAsia="Times New Roman" w:hAnsi="Cambria" w:cs="Times New Roman"/>
          <w:b/>
          <w:bCs/>
          <w:i/>
          <w:iCs/>
          <w:color w:val="00B050"/>
          <w:sz w:val="20"/>
        </w:rPr>
      </w:pPr>
      <w:r w:rsidRPr="00A03237">
        <w:rPr>
          <w:rFonts w:ascii="Cambria" w:eastAsia="Times New Roman" w:hAnsi="Cambria" w:cs="Times New Roman"/>
          <w:b/>
          <w:bCs/>
          <w:i/>
          <w:iCs/>
          <w:color w:val="00B050"/>
          <w:sz w:val="20"/>
        </w:rPr>
        <w:t>Organisation du chantier</w:t>
      </w:r>
    </w:p>
    <w:p w:rsidR="00DD591C" w:rsidRPr="00DD591C" w:rsidRDefault="00DD591C" w:rsidP="00DD591C">
      <w:pPr>
        <w:numPr>
          <w:ilvl w:val="0"/>
          <w:numId w:val="2"/>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Collecte des documents nécessaires à l'organisation du chantier (DCE, pièces marchés, ordres de service, plans des existants, phasages, …).</w:t>
      </w:r>
    </w:p>
    <w:p w:rsidR="00DD591C" w:rsidRPr="00DD591C" w:rsidRDefault="00DD591C" w:rsidP="00DD591C">
      <w:pPr>
        <w:numPr>
          <w:ilvl w:val="0"/>
          <w:numId w:val="2"/>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Récapitulation des contraintes et formalités nécessaire pour l’établissement du calendrier des travaux.</w:t>
      </w:r>
    </w:p>
    <w:p w:rsidR="00DD591C" w:rsidRPr="00DD591C" w:rsidRDefault="00DD591C" w:rsidP="00DD591C">
      <w:pPr>
        <w:numPr>
          <w:ilvl w:val="0"/>
          <w:numId w:val="2"/>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Désignation des différents intervenants du chantier ainsi que leurs responsabilités sur la base de l’organigramme présenté dans le document ci-joint.</w:t>
      </w:r>
    </w:p>
    <w:p w:rsidR="00DD591C" w:rsidRPr="00DD591C" w:rsidRDefault="00DD591C" w:rsidP="00DD591C">
      <w:pPr>
        <w:numPr>
          <w:ilvl w:val="0"/>
          <w:numId w:val="2"/>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Constitution des pièces administratives d'identification de tous les intervenants directs ou indirects du projet.</w:t>
      </w:r>
    </w:p>
    <w:p w:rsidR="003050D5" w:rsidRPr="00DD591C" w:rsidRDefault="00DD591C" w:rsidP="003050D5">
      <w:pPr>
        <w:numPr>
          <w:ilvl w:val="0"/>
          <w:numId w:val="2"/>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Proposition et suivi ultérieur d'un processus pour la diffusion des informations et la circulation des documents.</w:t>
      </w:r>
    </w:p>
    <w:tbl>
      <w:tblPr>
        <w:tblW w:w="0" w:type="auto"/>
        <w:tblLayout w:type="fixed"/>
        <w:tblCellMar>
          <w:top w:w="113" w:type="dxa"/>
          <w:bottom w:w="113" w:type="dxa"/>
        </w:tblCellMar>
        <w:tblLook w:val="00A0" w:firstRow="1" w:lastRow="0" w:firstColumn="1" w:lastColumn="0" w:noHBand="0" w:noVBand="0"/>
      </w:tblPr>
      <w:tblGrid>
        <w:gridCol w:w="4786"/>
        <w:gridCol w:w="4708"/>
      </w:tblGrid>
      <w:tr w:rsidR="00DD591C" w:rsidRPr="00DD591C" w:rsidTr="002D0F04">
        <w:tc>
          <w:tcPr>
            <w:tcW w:w="4786" w:type="dxa"/>
          </w:tcPr>
          <w:p w:rsidR="003050D5" w:rsidRPr="00A03237" w:rsidRDefault="003050D5" w:rsidP="00AD04DF">
            <w:pPr>
              <w:spacing w:before="240" w:after="120" w:line="240" w:lineRule="auto"/>
              <w:jc w:val="both"/>
              <w:rPr>
                <w:b/>
                <w:bCs/>
                <w:i/>
                <w:iCs/>
                <w:color w:val="00B050"/>
              </w:rPr>
            </w:pPr>
            <w:bookmarkStart w:id="6" w:name="_Toc224698730"/>
            <w:bookmarkStart w:id="7" w:name="_Toc231366421"/>
            <w:bookmarkStart w:id="8" w:name="_Toc231962070"/>
            <w:bookmarkStart w:id="9" w:name="_Toc340738945"/>
            <w:r w:rsidRPr="00A03237">
              <w:rPr>
                <w:rStyle w:val="Emphaseintense"/>
                <w:color w:val="00B050"/>
              </w:rPr>
              <w:lastRenderedPageBreak/>
              <w:t xml:space="preserve">Suivi des </w:t>
            </w:r>
            <w:r w:rsidRPr="00A03237">
              <w:rPr>
                <w:rStyle w:val="Emphaseintense"/>
                <w:rFonts w:asciiTheme="majorHAnsi" w:hAnsiTheme="majorHAnsi"/>
                <w:color w:val="00B050"/>
                <w:sz w:val="20"/>
              </w:rPr>
              <w:t>plans</w:t>
            </w:r>
            <w:r w:rsidRPr="00A03237">
              <w:rPr>
                <w:rStyle w:val="Emphaseintense"/>
                <w:color w:val="00B050"/>
              </w:rPr>
              <w:t xml:space="preserve"> et documents</w:t>
            </w:r>
            <w:bookmarkEnd w:id="6"/>
            <w:bookmarkEnd w:id="7"/>
            <w:bookmarkEnd w:id="8"/>
            <w:bookmarkEnd w:id="9"/>
          </w:p>
          <w:p w:rsidR="00DD591C" w:rsidRPr="00DD591C" w:rsidRDefault="00DD591C" w:rsidP="00DD591C">
            <w:pPr>
              <w:spacing w:after="120" w:line="240" w:lineRule="auto"/>
              <w:jc w:val="both"/>
              <w:rPr>
                <w:rFonts w:ascii="Palatino Linotype" w:eastAsia="Calibri" w:hAnsi="Palatino Linotype" w:cs="Times New Roman"/>
                <w:sz w:val="20"/>
              </w:rPr>
            </w:pPr>
            <w:r w:rsidRPr="00DD591C">
              <w:rPr>
                <w:rFonts w:ascii="Palatino Linotype" w:eastAsia="Calibri" w:hAnsi="Palatino Linotype" w:cs="Times New Roman"/>
                <w:sz w:val="20"/>
              </w:rPr>
              <w:t>Les plans et documents sont suivis par des bordereaux d’envoi informatiques.</w:t>
            </w:r>
          </w:p>
          <w:p w:rsidR="00DD591C" w:rsidRPr="00DD591C" w:rsidRDefault="00DD591C" w:rsidP="00DD591C">
            <w:pPr>
              <w:spacing w:after="120" w:line="240" w:lineRule="auto"/>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La dénomination de chaque document est unique pour en assurer la </w:t>
            </w:r>
            <w:r w:rsidRPr="00DD591C">
              <w:rPr>
                <w:rFonts w:ascii="Palatino Linotype" w:eastAsia="Calibri" w:hAnsi="Palatino Linotype" w:cs="Times New Roman"/>
                <w:sz w:val="20"/>
                <w:u w:val="single"/>
              </w:rPr>
              <w:t>traçabilité</w:t>
            </w:r>
            <w:r w:rsidRPr="00DD591C">
              <w:rPr>
                <w:rFonts w:ascii="Palatino Linotype" w:eastAsia="Calibri" w:hAnsi="Palatino Linotype" w:cs="Times New Roman"/>
                <w:sz w:val="20"/>
              </w:rPr>
              <w:t>.</w:t>
            </w:r>
          </w:p>
          <w:p w:rsidR="00DD591C" w:rsidRPr="00DD591C" w:rsidRDefault="00DD591C" w:rsidP="00DD591C">
            <w:pPr>
              <w:spacing w:after="120" w:line="240" w:lineRule="auto"/>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L’intégralité des références des plans et documents échangés seront </w:t>
            </w:r>
            <w:r w:rsidRPr="00DD591C">
              <w:rPr>
                <w:rFonts w:ascii="Palatino Linotype" w:eastAsia="Calibri" w:hAnsi="Palatino Linotype" w:cs="Times New Roman"/>
                <w:sz w:val="20"/>
                <w:u w:val="single"/>
              </w:rPr>
              <w:t>indexées</w:t>
            </w:r>
            <w:r w:rsidRPr="00DD591C">
              <w:rPr>
                <w:rFonts w:ascii="Palatino Linotype" w:eastAsia="Calibri" w:hAnsi="Palatino Linotype" w:cs="Times New Roman"/>
                <w:sz w:val="20"/>
              </w:rPr>
              <w:t xml:space="preserve"> dans un fichier de suivi pour assurer la traçabilité des échanges et des envois.</w:t>
            </w:r>
          </w:p>
        </w:tc>
        <w:tc>
          <w:tcPr>
            <w:tcW w:w="4708" w:type="dxa"/>
          </w:tcPr>
          <w:p w:rsidR="00DD591C" w:rsidRPr="00DD591C" w:rsidRDefault="00243AED" w:rsidP="00DD591C">
            <w:pPr>
              <w:spacing w:after="120" w:line="240" w:lineRule="auto"/>
              <w:jc w:val="both"/>
              <w:rPr>
                <w:rFonts w:ascii="Palatino Linotype" w:eastAsia="Calibri" w:hAnsi="Palatino Linotype" w:cs="Times New Roman"/>
                <w:sz w:val="20"/>
              </w:rPr>
            </w:pPr>
            <w:r>
              <w:rPr>
                <w:rFonts w:ascii="Palatino Linotype" w:eastAsia="Calibri" w:hAnsi="Palatino Linotype" w:cs="Times New Roman"/>
                <w:noProof/>
                <w:sz w:val="20"/>
                <w:lang w:eastAsia="fr-FR"/>
              </w:rPr>
              <w:drawing>
                <wp:inline distT="0" distB="0" distL="0" distR="0">
                  <wp:extent cx="2849245" cy="4029710"/>
                  <wp:effectExtent l="0" t="0" r="825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245" cy="4029710"/>
                          </a:xfrm>
                          <a:prstGeom prst="rect">
                            <a:avLst/>
                          </a:prstGeom>
                          <a:noFill/>
                          <a:ln>
                            <a:noFill/>
                          </a:ln>
                        </pic:spPr>
                      </pic:pic>
                    </a:graphicData>
                  </a:graphic>
                </wp:inline>
              </w:drawing>
            </w:r>
          </w:p>
        </w:tc>
      </w:tr>
    </w:tbl>
    <w:p w:rsidR="00AD04DF"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Planification de l'organisation du chantier en tenant compte des phasages prévus au marché. </w:t>
      </w:r>
    </w:p>
    <w:p w:rsidR="00AD04DF" w:rsidRPr="00A03237" w:rsidRDefault="00AD04DF" w:rsidP="00AD04DF">
      <w:pPr>
        <w:spacing w:before="240" w:after="120"/>
        <w:jc w:val="both"/>
        <w:rPr>
          <w:rStyle w:val="Emphaseintense"/>
          <w:color w:val="00B050"/>
        </w:rPr>
      </w:pPr>
      <w:r w:rsidRPr="00A03237">
        <w:rPr>
          <w:rStyle w:val="Emphaseintense"/>
          <w:color w:val="00B050"/>
        </w:rPr>
        <w:t>Planification et coordination</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Nous avons prévu les tâches suivantes :</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Etablissement du planning détaillé comprenant pour chaque tâche :</w:t>
      </w:r>
    </w:p>
    <w:p w:rsidR="00DD591C" w:rsidRPr="00DD591C" w:rsidRDefault="00DD591C" w:rsidP="00DD591C">
      <w:pPr>
        <w:numPr>
          <w:ilvl w:val="0"/>
          <w:numId w:val="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des études d'exécution,</w:t>
      </w:r>
    </w:p>
    <w:p w:rsidR="00DD591C" w:rsidRPr="00DD591C" w:rsidRDefault="00DD591C" w:rsidP="00DD591C">
      <w:pPr>
        <w:numPr>
          <w:ilvl w:val="0"/>
          <w:numId w:val="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de la fourniture des plans,</w:t>
      </w:r>
    </w:p>
    <w:p w:rsidR="00DD591C" w:rsidRPr="00DD591C" w:rsidRDefault="00DD591C" w:rsidP="00DD591C">
      <w:pPr>
        <w:numPr>
          <w:ilvl w:val="0"/>
          <w:numId w:val="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élaboration du circuit de vérification et approbation des documents.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Mise en place du circuit de suivi, relances, enregistrement de la circulation des documents,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Mise en place du circuit de suivi de l'approbation des plans d'exécution par le Maître d'œuvre, les contrôleurs techniques et les autres responsables intéressés.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Mise en place du circuit de contrôle du respect du calendrier des études d'exécution, relances des études et de leur coordination.</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Collecte pour la tenue à jour et la mise à disposition du dossier de chantier comportant le marché et tous les documents "bon pour exécution" avec leurs modificatifs éventuels (tenue à jour des nomenclatures de plans).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Tenue à jour de la liste des éventuels devis modificatifs.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Rassemblement des échantillons, relances, archivage et conservation des échantillons retenus. Tenue à jour de listes des échantillons approuvés.</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lastRenderedPageBreak/>
        <w:t>Planification, suivi, relances pour l’établissement et l'envoi des documents divers prévus aux marchés de travaux (application des règlements de sécurité, assurances, etc…).</w:t>
      </w:r>
    </w:p>
    <w:p w:rsidR="00DD591C" w:rsidRPr="00DD591C" w:rsidRDefault="00DD591C" w:rsidP="00DD591C">
      <w:pPr>
        <w:numPr>
          <w:ilvl w:val="0"/>
          <w:numId w:val="3"/>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Etablissement des plannings opérationnels à l'usage du chantier (tous les plannings seront achevés pour la fin de la période de préparation) :</w:t>
      </w:r>
    </w:p>
    <w:p w:rsidR="00DD591C" w:rsidRPr="00DD591C" w:rsidRDefault="00DD591C" w:rsidP="00DD591C">
      <w:pPr>
        <w:numPr>
          <w:ilvl w:val="0"/>
          <w:numId w:val="5"/>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planning général,</w:t>
      </w:r>
    </w:p>
    <w:p w:rsidR="00DD591C" w:rsidRPr="00DD591C" w:rsidRDefault="00DD591C" w:rsidP="00DD591C">
      <w:pPr>
        <w:numPr>
          <w:ilvl w:val="0"/>
          <w:numId w:val="5"/>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planning détaillé,</w:t>
      </w:r>
    </w:p>
    <w:p w:rsidR="00DD591C" w:rsidRPr="00DD591C" w:rsidRDefault="00DD591C" w:rsidP="00DD591C">
      <w:pPr>
        <w:numPr>
          <w:ilvl w:val="0"/>
          <w:numId w:val="5"/>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planning faisant apparaître l’enchaînement des dates d'achèvement des constructions et celles des ouvrages d'aménagement (installation des bâtiments </w:t>
      </w:r>
      <w:r w:rsidR="00A03237">
        <w:rPr>
          <w:rFonts w:ascii="Palatino Linotype" w:eastAsia="Calibri" w:hAnsi="Palatino Linotype" w:cs="Times New Roman"/>
          <w:sz w:val="20"/>
        </w:rPr>
        <w:t>préfabriqués provisoires</w:t>
      </w:r>
      <w:proofErr w:type="gramStart"/>
      <w:r w:rsidR="00A03237">
        <w:rPr>
          <w:rFonts w:ascii="Palatino Linotype" w:eastAsia="Calibri" w:hAnsi="Palatino Linotype" w:cs="Times New Roman"/>
          <w:sz w:val="20"/>
        </w:rPr>
        <w:t xml:space="preserve">, </w:t>
      </w:r>
      <w:r w:rsidRPr="00DD591C">
        <w:rPr>
          <w:rFonts w:ascii="Palatino Linotype" w:eastAsia="Calibri" w:hAnsi="Palatino Linotype" w:cs="Times New Roman"/>
          <w:sz w:val="20"/>
        </w:rPr>
        <w:t>,</w:t>
      </w:r>
      <w:proofErr w:type="gramEnd"/>
      <w:r w:rsidRPr="00DD591C">
        <w:rPr>
          <w:rFonts w:ascii="Palatino Linotype" w:eastAsia="Calibri" w:hAnsi="Palatino Linotype" w:cs="Times New Roman"/>
          <w:sz w:val="20"/>
        </w:rPr>
        <w:t xml:space="preserve"> aménagements extérieurs, voirie provisoire, etc…).</w:t>
      </w:r>
    </w:p>
    <w:p w:rsidR="00DD591C" w:rsidRPr="00DD591C" w:rsidRDefault="00DD591C" w:rsidP="00DD591C">
      <w:pPr>
        <w:numPr>
          <w:ilvl w:val="0"/>
          <w:numId w:val="7"/>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Sur chaque planning, les détails suivants seront donnés :</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Organisation matérielle et collective du chantier.</w:t>
      </w:r>
    </w:p>
    <w:p w:rsidR="00DD591C" w:rsidRPr="00DD591C" w:rsidRDefault="00A03237" w:rsidP="00DD591C">
      <w:pPr>
        <w:numPr>
          <w:ilvl w:val="0"/>
          <w:numId w:val="6"/>
        </w:numPr>
        <w:spacing w:after="120"/>
        <w:contextualSpacing/>
        <w:jc w:val="both"/>
        <w:rPr>
          <w:rFonts w:ascii="Palatino Linotype" w:eastAsia="Calibri" w:hAnsi="Palatino Linotype" w:cs="Times New Roman"/>
          <w:sz w:val="20"/>
        </w:rPr>
      </w:pPr>
      <w:r>
        <w:rPr>
          <w:rFonts w:ascii="Palatino Linotype" w:eastAsia="Calibri" w:hAnsi="Palatino Linotype" w:cs="Times New Roman"/>
          <w:sz w:val="20"/>
        </w:rPr>
        <w:t>Organisation de chantier propre.</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Mise en place et le repliement des moyens essentiels.</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Démarches, formalités, décisions, visas, approbations, etc.</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Commandes, fabrications en usine, approvisionnements, livraisons sur chantier.</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Exécution détaillée des travaux.</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Finition, les vérifications techniques, essais et mise en serv</w:t>
      </w:r>
      <w:r w:rsidR="00A03237">
        <w:rPr>
          <w:rFonts w:ascii="Palatino Linotype" w:eastAsia="Calibri" w:hAnsi="Palatino Linotype" w:cs="Times New Roman"/>
          <w:sz w:val="20"/>
        </w:rPr>
        <w:t xml:space="preserve">ice des </w:t>
      </w:r>
      <w:proofErr w:type="gramStart"/>
      <w:r w:rsidR="00A03237">
        <w:rPr>
          <w:rFonts w:ascii="Palatino Linotype" w:eastAsia="Calibri" w:hAnsi="Palatino Linotype" w:cs="Times New Roman"/>
          <w:sz w:val="20"/>
        </w:rPr>
        <w:t xml:space="preserve">installations </w:t>
      </w:r>
      <w:r w:rsidRPr="00DD591C">
        <w:rPr>
          <w:rFonts w:ascii="Palatino Linotype" w:eastAsia="Calibri" w:hAnsi="Palatino Linotype" w:cs="Times New Roman"/>
          <w:sz w:val="20"/>
        </w:rPr>
        <w:t>,</w:t>
      </w:r>
      <w:proofErr w:type="gramEnd"/>
      <w:r w:rsidRPr="00DD591C">
        <w:rPr>
          <w:rFonts w:ascii="Palatino Linotype" w:eastAsia="Calibri" w:hAnsi="Palatino Linotype" w:cs="Times New Roman"/>
          <w:sz w:val="20"/>
        </w:rPr>
        <w:t xml:space="preserve"> les opérations préalables à la réception des travaux.</w:t>
      </w:r>
    </w:p>
    <w:p w:rsidR="00DD591C" w:rsidRPr="00DD591C" w:rsidRDefault="00DD591C" w:rsidP="00DD591C">
      <w:pPr>
        <w:numPr>
          <w:ilvl w:val="0"/>
          <w:numId w:val="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Visites des commissions de sécurité, d'accessibilité en fonction des phases.</w:t>
      </w:r>
    </w:p>
    <w:p w:rsidR="00DD591C" w:rsidRPr="00A03237" w:rsidRDefault="00DD591C" w:rsidP="00DD591C">
      <w:pPr>
        <w:keepNext/>
        <w:keepLines/>
        <w:pBdr>
          <w:bottom w:val="single" w:sz="4" w:space="1" w:color="4F81BD"/>
        </w:pBdr>
        <w:spacing w:before="480" w:after="120"/>
        <w:jc w:val="both"/>
        <w:outlineLvl w:val="2"/>
        <w:rPr>
          <w:rFonts w:ascii="Georgia" w:eastAsia="Times New Roman" w:hAnsi="Georgia" w:cs="Times New Roman"/>
          <w:bCs/>
          <w:color w:val="00B050"/>
          <w:sz w:val="24"/>
        </w:rPr>
      </w:pPr>
      <w:bookmarkStart w:id="10" w:name="_Toc340738947"/>
      <w:r w:rsidRPr="00A03237">
        <w:rPr>
          <w:rFonts w:ascii="Georgia" w:eastAsia="Times New Roman" w:hAnsi="Georgia" w:cs="Times New Roman"/>
          <w:bCs/>
          <w:color w:val="00B050"/>
          <w:sz w:val="24"/>
        </w:rPr>
        <w:t>2-Phase d'exécution des travaux</w:t>
      </w:r>
      <w:bookmarkEnd w:id="10"/>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Nous avons dégagé deux grands axes principaux, l’organisation générale et le contrôle des délais.</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Ces axes seront assurés</w:t>
      </w:r>
      <w:r w:rsidR="00640021">
        <w:rPr>
          <w:rFonts w:ascii="Palatino Linotype" w:eastAsia="Calibri" w:hAnsi="Palatino Linotype" w:cs="Times New Roman"/>
          <w:sz w:val="20"/>
        </w:rPr>
        <w:t xml:space="preserve"> par</w:t>
      </w:r>
      <w:r w:rsidRPr="00DD591C">
        <w:rPr>
          <w:rFonts w:ascii="Palatino Linotype" w:eastAsia="Calibri" w:hAnsi="Palatino Linotype" w:cs="Times New Roman"/>
          <w:sz w:val="20"/>
        </w:rPr>
        <w:t xml:space="preserve"> le </w:t>
      </w:r>
      <w:r w:rsidR="005D44A4">
        <w:rPr>
          <w:rFonts w:ascii="Palatino Linotype" w:eastAsia="Calibri" w:hAnsi="Palatino Linotype" w:cs="Times New Roman"/>
          <w:sz w:val="20"/>
        </w:rPr>
        <w:t>conducteur de travaux et le chef de chantier,</w:t>
      </w:r>
      <w:r w:rsidRPr="00DD591C">
        <w:rPr>
          <w:rFonts w:ascii="Palatino Linotype" w:eastAsia="Calibri" w:hAnsi="Palatino Linotype" w:cs="Times New Roman"/>
          <w:sz w:val="20"/>
        </w:rPr>
        <w:t xml:space="preserve"> sous</w:t>
      </w:r>
      <w:r w:rsidR="00640021">
        <w:rPr>
          <w:rFonts w:ascii="Palatino Linotype" w:eastAsia="Calibri" w:hAnsi="Palatino Linotype" w:cs="Times New Roman"/>
          <w:sz w:val="20"/>
        </w:rPr>
        <w:t xml:space="preserve"> l’égide du directeur d’exploitation</w:t>
      </w:r>
      <w:r w:rsidRPr="00DD591C">
        <w:rPr>
          <w:rFonts w:ascii="Palatino Linotype" w:eastAsia="Calibri" w:hAnsi="Palatino Linotype" w:cs="Times New Roman"/>
          <w:sz w:val="20"/>
        </w:rPr>
        <w:t xml:space="preserve"> (</w:t>
      </w:r>
      <w:r w:rsidRPr="00DD591C">
        <w:rPr>
          <w:rFonts w:ascii="Palatino Linotype" w:eastAsia="Calibri" w:hAnsi="Palatino Linotype" w:cs="Times New Roman"/>
          <w:b/>
          <w:sz w:val="20"/>
        </w:rPr>
        <w:t>voir organigramme encadrement de chantier</w:t>
      </w:r>
      <w:r w:rsidRPr="00DD591C">
        <w:rPr>
          <w:rFonts w:ascii="Palatino Linotype" w:eastAsia="Calibri" w:hAnsi="Palatino Linotype" w:cs="Times New Roman"/>
          <w:sz w:val="20"/>
        </w:rPr>
        <w:t>).</w:t>
      </w:r>
    </w:p>
    <w:p w:rsidR="00DD591C" w:rsidRPr="00640021" w:rsidRDefault="00DD591C" w:rsidP="00AD04DF">
      <w:pPr>
        <w:spacing w:before="240" w:after="120"/>
        <w:jc w:val="both"/>
        <w:rPr>
          <w:rStyle w:val="Emphaseintense"/>
          <w:rFonts w:asciiTheme="majorHAnsi" w:hAnsiTheme="majorHAnsi"/>
          <w:color w:val="00B050"/>
          <w:sz w:val="20"/>
        </w:rPr>
      </w:pPr>
      <w:r w:rsidRPr="00640021">
        <w:rPr>
          <w:rStyle w:val="Emphaseintense"/>
          <w:rFonts w:asciiTheme="majorHAnsi" w:hAnsiTheme="majorHAnsi"/>
          <w:color w:val="00B050"/>
          <w:sz w:val="20"/>
        </w:rPr>
        <w:t>Organisation générale</w:t>
      </w:r>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Pour la bonne marche du chantier et l’avancement du projet nous comptons prendre les dispositions d’ordre organisationnel générales suivantes :</w:t>
      </w:r>
    </w:p>
    <w:p w:rsidR="00DD591C" w:rsidRPr="00DD591C" w:rsidRDefault="00DD591C" w:rsidP="00DD591C">
      <w:pPr>
        <w:numPr>
          <w:ilvl w:val="0"/>
          <w:numId w:val="7"/>
        </w:numPr>
        <w:spacing w:after="120"/>
        <w:ind w:left="1428"/>
        <w:contextualSpacing/>
        <w:jc w:val="both"/>
        <w:rPr>
          <w:rFonts w:ascii="Palatino Linotype" w:eastAsia="Calibri" w:hAnsi="Palatino Linotype" w:cs="Times New Roman"/>
          <w:sz w:val="20"/>
          <w:u w:val="single"/>
        </w:rPr>
      </w:pPr>
      <w:r w:rsidRPr="00DD591C">
        <w:rPr>
          <w:rFonts w:ascii="Palatino Linotype" w:eastAsia="Calibri" w:hAnsi="Palatino Linotype" w:cs="Times New Roman"/>
          <w:sz w:val="20"/>
        </w:rPr>
        <w:t xml:space="preserve">Maintien d'une liaison générale entre tous les intervenants </w:t>
      </w:r>
      <w:r w:rsidRPr="00DD591C">
        <w:rPr>
          <w:rFonts w:ascii="Palatino Linotype" w:eastAsia="Calibri" w:hAnsi="Palatino Linotype" w:cs="Times New Roman"/>
          <w:sz w:val="20"/>
          <w:u w:val="single"/>
        </w:rPr>
        <w:t>par une présence quotidienne sur le chantier</w:t>
      </w:r>
      <w:r w:rsidRPr="00DD591C">
        <w:rPr>
          <w:rFonts w:ascii="Palatino Linotype" w:eastAsia="Calibri" w:hAnsi="Palatino Linotype" w:cs="Times New Roman"/>
          <w:sz w:val="20"/>
        </w:rPr>
        <w:t>.</w:t>
      </w:r>
    </w:p>
    <w:p w:rsidR="00DD591C" w:rsidRPr="00DD591C" w:rsidRDefault="00DD591C" w:rsidP="00DD591C">
      <w:pPr>
        <w:numPr>
          <w:ilvl w:val="0"/>
          <w:numId w:val="7"/>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Préparation et participation aux réunions hebdomadaires de chantier avec le maître d’œuvre avec établissement d’un compte rendu détaillé. Seront annexés à chaque compte rendu hebdomadaire les points récurrents suivant :</w:t>
      </w:r>
    </w:p>
    <w:p w:rsidR="00DD591C" w:rsidRPr="00DD591C" w:rsidRDefault="00DD591C" w:rsidP="00DD591C">
      <w:pPr>
        <w:numPr>
          <w:ilvl w:val="0"/>
          <w:numId w:val="8"/>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Etat de l'avancement des travaux réalisés,</w:t>
      </w:r>
    </w:p>
    <w:p w:rsidR="00DD591C" w:rsidRPr="00DD591C" w:rsidRDefault="00DD591C" w:rsidP="00DD591C">
      <w:pPr>
        <w:numPr>
          <w:ilvl w:val="0"/>
          <w:numId w:val="8"/>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Etat des travaux prévisionnels,</w:t>
      </w:r>
    </w:p>
    <w:p w:rsidR="00DD591C" w:rsidRPr="00DD591C" w:rsidRDefault="00DD591C" w:rsidP="00DD591C">
      <w:pPr>
        <w:numPr>
          <w:ilvl w:val="0"/>
          <w:numId w:val="8"/>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Effectif engagé.</w:t>
      </w:r>
    </w:p>
    <w:p w:rsidR="00DD591C" w:rsidRPr="00DD591C" w:rsidRDefault="00DD591C" w:rsidP="00DD591C">
      <w:pPr>
        <w:numPr>
          <w:ilvl w:val="0"/>
          <w:numId w:val="9"/>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Participation aux réunions CISSCT sur convocation du coordonnateur SPS.</w:t>
      </w:r>
    </w:p>
    <w:p w:rsidR="00DD591C" w:rsidRPr="00DD591C" w:rsidRDefault="00DD591C" w:rsidP="00DD591C">
      <w:pPr>
        <w:numPr>
          <w:ilvl w:val="0"/>
          <w:numId w:val="9"/>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Tenue du journal de bord relatant journellement les évènements intéressant la marche des travaux : constat des arrêts de chantier pour intempéries, et plus généralement, des évènements susceptibles de justifier un prolongement ou un report du délai d'exécution.</w:t>
      </w:r>
    </w:p>
    <w:p w:rsidR="00DD591C" w:rsidRPr="00DD591C" w:rsidRDefault="00DD591C" w:rsidP="00DD591C">
      <w:pPr>
        <w:numPr>
          <w:ilvl w:val="0"/>
          <w:numId w:val="9"/>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lastRenderedPageBreak/>
        <w:t>Enregistrement des décalages pris en considération par le Maître d'œuvre.</w:t>
      </w:r>
    </w:p>
    <w:p w:rsidR="00DD591C" w:rsidRPr="00DD591C" w:rsidRDefault="00DD591C" w:rsidP="00DD591C">
      <w:pPr>
        <w:numPr>
          <w:ilvl w:val="0"/>
          <w:numId w:val="9"/>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Tenue à jour du dossier de chantier (un exemplaire à jour sera présent sur le chantier) comprenant en particulier :</w:t>
      </w:r>
    </w:p>
    <w:p w:rsidR="00DD591C" w:rsidRPr="00DD591C" w:rsidRDefault="00DD591C" w:rsidP="00DD591C">
      <w:pPr>
        <w:numPr>
          <w:ilvl w:val="0"/>
          <w:numId w:val="10"/>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Les documents du marché et avenants,</w:t>
      </w:r>
    </w:p>
    <w:p w:rsidR="00DD591C" w:rsidRPr="00DD591C" w:rsidRDefault="00DD591C" w:rsidP="00DD591C">
      <w:pPr>
        <w:numPr>
          <w:ilvl w:val="0"/>
          <w:numId w:val="10"/>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Les ordres de service et attachements de travaux établis par le Maître d'œuvre,</w:t>
      </w:r>
    </w:p>
    <w:p w:rsidR="00DD591C" w:rsidRPr="00DD591C" w:rsidRDefault="00DD591C" w:rsidP="00DD591C">
      <w:pPr>
        <w:numPr>
          <w:ilvl w:val="0"/>
          <w:numId w:val="10"/>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Les devis établis et vérifiés à la suite de la publication des fiches de travaux modificatifs,</w:t>
      </w:r>
    </w:p>
    <w:p w:rsidR="00DD591C" w:rsidRPr="00DD591C" w:rsidRDefault="00DD591C" w:rsidP="00DD591C">
      <w:pPr>
        <w:numPr>
          <w:ilvl w:val="0"/>
          <w:numId w:val="10"/>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Le compte-ren</w:t>
      </w:r>
      <w:r w:rsidR="00640021">
        <w:rPr>
          <w:rFonts w:ascii="Palatino Linotype" w:eastAsia="Calibri" w:hAnsi="Palatino Linotype" w:cs="Times New Roman"/>
          <w:sz w:val="20"/>
        </w:rPr>
        <w:t>du de chantier</w:t>
      </w:r>
      <w:r w:rsidRPr="00DD591C">
        <w:rPr>
          <w:rFonts w:ascii="Palatino Linotype" w:eastAsia="Calibri" w:hAnsi="Palatino Linotype" w:cs="Times New Roman"/>
          <w:sz w:val="20"/>
        </w:rPr>
        <w:t>,</w:t>
      </w:r>
    </w:p>
    <w:p w:rsidR="00DD591C" w:rsidRPr="00DD591C" w:rsidRDefault="00DD591C" w:rsidP="00DD591C">
      <w:pPr>
        <w:numPr>
          <w:ilvl w:val="0"/>
          <w:numId w:val="10"/>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La bibliothèque des documents "bon pour exécution" y compris les modificatifs éventuels et les listes correspondantes.</w:t>
      </w:r>
    </w:p>
    <w:p w:rsidR="00DD591C" w:rsidRPr="00DD591C" w:rsidRDefault="00DD591C" w:rsidP="00DD591C">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Gestion</w:t>
      </w:r>
      <w:r w:rsidR="00640021">
        <w:rPr>
          <w:rFonts w:ascii="Palatino Linotype" w:eastAsia="Calibri" w:hAnsi="Palatino Linotype" w:cs="Times New Roman"/>
          <w:sz w:val="20"/>
        </w:rPr>
        <w:t xml:space="preserve"> des limites de prestation </w:t>
      </w:r>
      <w:r w:rsidRPr="00DD591C">
        <w:rPr>
          <w:rFonts w:ascii="Palatino Linotype" w:eastAsia="Calibri" w:hAnsi="Palatino Linotype" w:cs="Times New Roman"/>
          <w:sz w:val="20"/>
        </w:rPr>
        <w:t>selon les pièces du marché.</w:t>
      </w:r>
    </w:p>
    <w:p w:rsidR="00DD591C" w:rsidRPr="00DD591C" w:rsidRDefault="00DD591C" w:rsidP="00DD591C">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Assistance et suivi de l'organisation du chantier (accès, installations, alimentation)</w:t>
      </w:r>
      <w:r w:rsidR="00640021">
        <w:rPr>
          <w:rFonts w:ascii="Palatino Linotype" w:eastAsia="Calibri" w:hAnsi="Palatino Linotype" w:cs="Times New Roman"/>
          <w:sz w:val="20"/>
        </w:rPr>
        <w:t>.</w:t>
      </w:r>
    </w:p>
    <w:p w:rsidR="00DD591C" w:rsidRPr="00DD591C" w:rsidRDefault="00DD591C" w:rsidP="00DD591C">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Pointage du déroulement des prestations concernant l'organisation collective, en particulier hygiène et sécurité.</w:t>
      </w:r>
    </w:p>
    <w:p w:rsidR="00DD591C" w:rsidRPr="00640021" w:rsidRDefault="00DD591C" w:rsidP="00640021">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Prise de toutes les dispositions nécessaires aux travaux de nettoyage pour maintenir en permanence le chantier en parfait état de propreté (bâtiments, abords, installations provisoires, installations de chantier…).</w:t>
      </w:r>
    </w:p>
    <w:p w:rsidR="00DD591C" w:rsidRPr="00DD591C" w:rsidRDefault="00DD591C" w:rsidP="00DD591C">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Maintien des liaisons nécessaires entre les divers concessionnaires (gaz, EDF, téléphone).</w:t>
      </w:r>
    </w:p>
    <w:p w:rsidR="00DD591C" w:rsidRPr="00DD591C" w:rsidRDefault="00DD591C" w:rsidP="00DD591C">
      <w:pPr>
        <w:numPr>
          <w:ilvl w:val="0"/>
          <w:numId w:val="11"/>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Contrôle de l'application des mesures d'hygiène et de sécurité demandées par la Commission d'Hygiène et de Sécurité ou de son Président et le coordonnateur SPS.</w:t>
      </w:r>
    </w:p>
    <w:p w:rsidR="00DD591C" w:rsidRPr="00DD591C" w:rsidRDefault="00DD591C" w:rsidP="00DD591C">
      <w:pPr>
        <w:spacing w:after="120"/>
        <w:ind w:left="1428"/>
        <w:contextualSpacing/>
        <w:jc w:val="both"/>
        <w:rPr>
          <w:rFonts w:ascii="Palatino Linotype" w:eastAsia="Calibri" w:hAnsi="Palatino Linotype" w:cs="Times New Roman"/>
          <w:sz w:val="20"/>
        </w:rPr>
      </w:pPr>
    </w:p>
    <w:p w:rsidR="00DD591C" w:rsidRPr="00640021" w:rsidRDefault="00DD591C" w:rsidP="00DD591C">
      <w:pPr>
        <w:spacing w:after="120"/>
        <w:ind w:firstLine="708"/>
        <w:jc w:val="both"/>
        <w:rPr>
          <w:rStyle w:val="Emphaseintense"/>
          <w:rFonts w:asciiTheme="majorHAnsi" w:hAnsiTheme="majorHAnsi"/>
          <w:color w:val="00B050"/>
          <w:sz w:val="20"/>
          <w:szCs w:val="20"/>
        </w:rPr>
      </w:pPr>
      <w:r w:rsidRPr="00640021">
        <w:rPr>
          <w:rStyle w:val="Emphaseintense"/>
          <w:rFonts w:asciiTheme="majorHAnsi" w:hAnsiTheme="majorHAnsi"/>
          <w:color w:val="00B050"/>
          <w:sz w:val="20"/>
          <w:szCs w:val="20"/>
        </w:rPr>
        <w:t>Contrôle des délais et planification complémentaire</w:t>
      </w:r>
    </w:p>
    <w:p w:rsidR="00DD591C" w:rsidRPr="00DD591C" w:rsidRDefault="00DD591C" w:rsidP="00DD591C">
      <w:pPr>
        <w:spacing w:after="120"/>
        <w:ind w:left="708"/>
        <w:jc w:val="both"/>
        <w:rPr>
          <w:rFonts w:ascii="Palatino Linotype" w:eastAsia="Calibri" w:hAnsi="Palatino Linotype" w:cs="Times New Roman"/>
          <w:sz w:val="20"/>
        </w:rPr>
      </w:pPr>
      <w:r w:rsidRPr="00DD591C">
        <w:rPr>
          <w:rFonts w:ascii="Palatino Linotype" w:eastAsia="Calibri" w:hAnsi="Palatino Linotype" w:cs="Times New Roman"/>
          <w:sz w:val="20"/>
        </w:rPr>
        <w:t>Afin de respecter scrupuleusement les délais prévus pour ce projet, il est de notre responsabilité de contrôler les délais et assurer la maîtrise totale de la planification</w:t>
      </w:r>
      <w:r w:rsidR="00640021">
        <w:rPr>
          <w:rFonts w:ascii="Palatino Linotype" w:eastAsia="Calibri" w:hAnsi="Palatino Linotype" w:cs="Times New Roman"/>
          <w:sz w:val="20"/>
        </w:rPr>
        <w:t xml:space="preserve"> de nos travaux de gros-</w:t>
      </w:r>
      <w:proofErr w:type="spellStart"/>
      <w:r w:rsidR="00640021">
        <w:rPr>
          <w:rFonts w:ascii="Palatino Linotype" w:eastAsia="Calibri" w:hAnsi="Palatino Linotype" w:cs="Times New Roman"/>
          <w:sz w:val="20"/>
        </w:rPr>
        <w:t>oeuvre</w:t>
      </w:r>
      <w:proofErr w:type="spellEnd"/>
      <w:r w:rsidRPr="00DD591C">
        <w:rPr>
          <w:rFonts w:ascii="Palatino Linotype" w:eastAsia="Calibri" w:hAnsi="Palatino Linotype" w:cs="Times New Roman"/>
          <w:sz w:val="20"/>
        </w:rPr>
        <w:t>. Pour ce faire, nous avons prévu les mesures suivantes, sachant qu’elles ne sont pas exhaustives :</w:t>
      </w:r>
    </w:p>
    <w:p w:rsidR="00DD591C" w:rsidRPr="00DD591C" w:rsidRDefault="00640021" w:rsidP="00DD591C">
      <w:pPr>
        <w:numPr>
          <w:ilvl w:val="0"/>
          <w:numId w:val="12"/>
        </w:numPr>
        <w:spacing w:after="120"/>
        <w:ind w:left="1428"/>
        <w:contextualSpacing/>
        <w:jc w:val="both"/>
        <w:rPr>
          <w:rFonts w:ascii="Palatino Linotype" w:eastAsia="Calibri" w:hAnsi="Palatino Linotype" w:cs="Times New Roman"/>
          <w:sz w:val="20"/>
        </w:rPr>
      </w:pPr>
      <w:r>
        <w:rPr>
          <w:rFonts w:ascii="Palatino Linotype" w:eastAsia="Calibri" w:hAnsi="Palatino Linotype" w:cs="Times New Roman"/>
          <w:sz w:val="20"/>
        </w:rPr>
        <w:t xml:space="preserve">Déclenchement de nos </w:t>
      </w:r>
      <w:r w:rsidR="00DD591C" w:rsidRPr="00DD591C">
        <w:rPr>
          <w:rFonts w:ascii="Palatino Linotype" w:eastAsia="Calibri" w:hAnsi="Palatino Linotype" w:cs="Times New Roman"/>
          <w:sz w:val="20"/>
        </w:rPr>
        <w:t>intervention</w:t>
      </w:r>
      <w:r>
        <w:rPr>
          <w:rFonts w:ascii="Palatino Linotype" w:eastAsia="Calibri" w:hAnsi="Palatino Linotype" w:cs="Times New Roman"/>
          <w:sz w:val="20"/>
        </w:rPr>
        <w:t>s</w:t>
      </w:r>
      <w:r w:rsidR="00DD591C" w:rsidRPr="00DD591C">
        <w:rPr>
          <w:rFonts w:ascii="Palatino Linotype" w:eastAsia="Calibri" w:hAnsi="Palatino Linotype" w:cs="Times New Roman"/>
          <w:sz w:val="20"/>
        </w:rPr>
        <w:t xml:space="preserve"> </w:t>
      </w:r>
      <w:r>
        <w:rPr>
          <w:rFonts w:ascii="Palatino Linotype" w:eastAsia="Calibri" w:hAnsi="Palatino Linotype" w:cs="Times New Roman"/>
          <w:sz w:val="20"/>
        </w:rPr>
        <w:t>pour l'exécution de nos</w:t>
      </w:r>
      <w:r w:rsidR="00DD591C" w:rsidRPr="00DD591C">
        <w:rPr>
          <w:rFonts w:ascii="Palatino Linotype" w:eastAsia="Calibri" w:hAnsi="Palatino Linotype" w:cs="Times New Roman"/>
          <w:sz w:val="20"/>
        </w:rPr>
        <w:t xml:space="preserve"> tâches, selon les dispositions convenues lors de l'ordonnancement. Confirmation des dates de début et de fin de tâches.</w:t>
      </w:r>
    </w:p>
    <w:p w:rsidR="00DD591C" w:rsidRPr="00DD591C" w:rsidRDefault="00DD591C" w:rsidP="00DD591C">
      <w:pPr>
        <w:numPr>
          <w:ilvl w:val="0"/>
          <w:numId w:val="12"/>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Rappel des moyens prévus à mettre en œuvre pour respecter les délais prévus.</w:t>
      </w:r>
    </w:p>
    <w:p w:rsidR="00DD591C" w:rsidRPr="00DD591C" w:rsidRDefault="00DD591C" w:rsidP="00DD591C">
      <w:pPr>
        <w:numPr>
          <w:ilvl w:val="0"/>
          <w:numId w:val="12"/>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Pointage permanent de l'avancement</w:t>
      </w:r>
      <w:r w:rsidR="00640021">
        <w:rPr>
          <w:rFonts w:ascii="Palatino Linotype" w:eastAsia="Calibri" w:hAnsi="Palatino Linotype" w:cs="Times New Roman"/>
          <w:sz w:val="20"/>
        </w:rPr>
        <w:t xml:space="preserve"> de nos travaux</w:t>
      </w:r>
      <w:r w:rsidRPr="00DD591C">
        <w:rPr>
          <w:rFonts w:ascii="Palatino Linotype" w:eastAsia="Calibri" w:hAnsi="Palatino Linotype" w:cs="Times New Roman"/>
          <w:sz w:val="20"/>
        </w:rPr>
        <w:t xml:space="preserve"> avec enregistrement des écarts constatés entre les prévisions des calendriers et les dates réelles de début et de fin de tâches.</w:t>
      </w:r>
    </w:p>
    <w:p w:rsidR="00DD591C" w:rsidRPr="00640021" w:rsidRDefault="00DD591C" w:rsidP="00640021">
      <w:pPr>
        <w:numPr>
          <w:ilvl w:val="0"/>
          <w:numId w:val="12"/>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Détermination de l'origine des écarts constatés.</w:t>
      </w:r>
    </w:p>
    <w:p w:rsidR="00DD591C" w:rsidRPr="00DD591C" w:rsidRDefault="00DD591C" w:rsidP="00DD591C">
      <w:pPr>
        <w:numPr>
          <w:ilvl w:val="0"/>
          <w:numId w:val="12"/>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Organisation des visites en fin de phase :</w:t>
      </w:r>
    </w:p>
    <w:p w:rsidR="00DD591C" w:rsidRPr="00DD591C" w:rsidRDefault="00DD591C" w:rsidP="00DD591C">
      <w:pPr>
        <w:numPr>
          <w:ilvl w:val="0"/>
          <w:numId w:val="18"/>
        </w:numPr>
        <w:spacing w:after="120"/>
        <w:ind w:left="1776"/>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Lors du contrôle de la fin de chacune des tâches dans une zone d'intervention, organisation des visites de constat, </w:t>
      </w:r>
    </w:p>
    <w:p w:rsidR="00DD591C" w:rsidRPr="00DD591C" w:rsidRDefault="00DD591C" w:rsidP="00DD591C">
      <w:pPr>
        <w:numPr>
          <w:ilvl w:val="0"/>
          <w:numId w:val="13"/>
        </w:numPr>
        <w:spacing w:after="120"/>
        <w:ind w:left="1428"/>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En cours et en fin de travaux, et à la livraison des bâtiments, déclenchement du nettoyage et de l'entretien du chantier, de ses accès, de ses abords, constat de leur exécution.</w:t>
      </w:r>
    </w:p>
    <w:p w:rsidR="00DD591C" w:rsidRPr="00640021" w:rsidRDefault="00DD591C" w:rsidP="00DD591C">
      <w:pPr>
        <w:keepNext/>
        <w:keepLines/>
        <w:pBdr>
          <w:bottom w:val="single" w:sz="4" w:space="1" w:color="4F81BD"/>
        </w:pBdr>
        <w:spacing w:before="480" w:after="120"/>
        <w:jc w:val="both"/>
        <w:outlineLvl w:val="2"/>
        <w:rPr>
          <w:rFonts w:ascii="Georgia" w:eastAsia="Times New Roman" w:hAnsi="Georgia" w:cs="Times New Roman"/>
          <w:bCs/>
          <w:color w:val="00B050"/>
          <w:sz w:val="24"/>
        </w:rPr>
      </w:pPr>
      <w:bookmarkStart w:id="11" w:name="_Toc340738948"/>
      <w:r w:rsidRPr="00640021">
        <w:rPr>
          <w:rFonts w:ascii="Georgia" w:eastAsia="Times New Roman" w:hAnsi="Georgia" w:cs="Times New Roman"/>
          <w:bCs/>
          <w:color w:val="00B050"/>
          <w:sz w:val="24"/>
        </w:rPr>
        <w:lastRenderedPageBreak/>
        <w:t>3-Phase de réception des travaux et de livraison des ouvrages</w:t>
      </w:r>
      <w:bookmarkEnd w:id="11"/>
    </w:p>
    <w:p w:rsidR="00DD591C" w:rsidRPr="00DD591C" w:rsidRDefault="00DD591C" w:rsidP="00DD591C">
      <w:pPr>
        <w:spacing w:after="120"/>
        <w:jc w:val="both"/>
        <w:rPr>
          <w:rFonts w:ascii="Palatino Linotype" w:eastAsia="Calibri" w:hAnsi="Palatino Linotype" w:cs="Times New Roman"/>
          <w:sz w:val="20"/>
        </w:rPr>
      </w:pPr>
      <w:r w:rsidRPr="00DD591C">
        <w:rPr>
          <w:rFonts w:ascii="Palatino Linotype" w:eastAsia="Calibri" w:hAnsi="Palatino Linotype" w:cs="Times New Roman"/>
          <w:sz w:val="20"/>
        </w:rPr>
        <w:t>L’organisation que nous mettrons en place sera e</w:t>
      </w:r>
      <w:r w:rsidR="00640021">
        <w:rPr>
          <w:rFonts w:ascii="Palatino Linotype" w:eastAsia="Calibri" w:hAnsi="Palatino Linotype" w:cs="Times New Roman"/>
          <w:sz w:val="20"/>
        </w:rPr>
        <w:t>ncadrée par le directeur d’exploitation</w:t>
      </w:r>
      <w:r w:rsidRPr="00DD591C">
        <w:rPr>
          <w:rFonts w:ascii="Palatino Linotype" w:eastAsia="Calibri" w:hAnsi="Palatino Linotype" w:cs="Times New Roman"/>
          <w:sz w:val="20"/>
        </w:rPr>
        <w:t xml:space="preserve"> et reposera sur un </w:t>
      </w:r>
      <w:r w:rsidR="00640021">
        <w:rPr>
          <w:rFonts w:ascii="Palatino Linotype" w:eastAsia="Calibri" w:hAnsi="Palatino Linotype" w:cs="Times New Roman"/>
          <w:sz w:val="20"/>
        </w:rPr>
        <w:t>conducteur de travaux</w:t>
      </w:r>
      <w:r w:rsidR="005D44A4">
        <w:rPr>
          <w:rFonts w:ascii="Palatino Linotype" w:eastAsia="Calibri" w:hAnsi="Palatino Linotype" w:cs="Times New Roman"/>
          <w:sz w:val="20"/>
        </w:rPr>
        <w:t xml:space="preserve"> et le chef de chantier</w:t>
      </w:r>
      <w:r w:rsidRPr="00DD591C">
        <w:rPr>
          <w:rFonts w:ascii="Palatino Linotype" w:eastAsia="Calibri" w:hAnsi="Palatino Linotype" w:cs="Times New Roman"/>
          <w:sz w:val="20"/>
        </w:rPr>
        <w:t>. Notre équipe de réception se chargera des taches suivantes :</w:t>
      </w:r>
    </w:p>
    <w:p w:rsidR="00DD591C" w:rsidRPr="00DD591C" w:rsidRDefault="00DD591C" w:rsidP="00DD591C">
      <w:pPr>
        <w:numPr>
          <w:ilvl w:val="0"/>
          <w:numId w:val="1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De l’établissement du calendrier de réception en coordination avec le Maître d'œuvre.</w:t>
      </w:r>
    </w:p>
    <w:p w:rsidR="00DD591C" w:rsidRPr="00DD591C" w:rsidRDefault="00DD591C" w:rsidP="00DD591C">
      <w:pPr>
        <w:numPr>
          <w:ilvl w:val="0"/>
          <w:numId w:val="1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De la présence aux visites de réception et contrôle, de la diffusion du PV et des réserves éventuelles.</w:t>
      </w:r>
    </w:p>
    <w:p w:rsidR="00DD591C" w:rsidRPr="00DD591C" w:rsidRDefault="00DD591C" w:rsidP="00DD591C">
      <w:pPr>
        <w:numPr>
          <w:ilvl w:val="0"/>
          <w:numId w:val="14"/>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De l’organisation et suivi du processus des levées de réserves :</w:t>
      </w:r>
    </w:p>
    <w:p w:rsidR="00DD591C" w:rsidRPr="00DD591C" w:rsidRDefault="00DD591C" w:rsidP="00DD591C">
      <w:pPr>
        <w:numPr>
          <w:ilvl w:val="0"/>
          <w:numId w:val="1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Pointage périodique de l’avancement.</w:t>
      </w:r>
    </w:p>
    <w:p w:rsidR="00DD591C" w:rsidRPr="00DD591C" w:rsidRDefault="00DD591C" w:rsidP="00DD591C">
      <w:pPr>
        <w:numPr>
          <w:ilvl w:val="0"/>
          <w:numId w:val="1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information au Maître d'œuvre.</w:t>
      </w:r>
    </w:p>
    <w:p w:rsidR="00DD591C" w:rsidRPr="00DD591C" w:rsidRDefault="00DD591C" w:rsidP="00DD591C">
      <w:pPr>
        <w:numPr>
          <w:ilvl w:val="0"/>
          <w:numId w:val="1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Déclenchement, en accord avec la MOE, du démontage des installations de chantier.</w:t>
      </w:r>
    </w:p>
    <w:p w:rsidR="00DD591C" w:rsidRPr="00DD591C" w:rsidRDefault="00DD591C" w:rsidP="00DD591C">
      <w:pPr>
        <w:numPr>
          <w:ilvl w:val="0"/>
          <w:numId w:val="1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Remise en état des lieux.</w:t>
      </w:r>
    </w:p>
    <w:p w:rsidR="00DD591C" w:rsidRPr="00DD591C" w:rsidRDefault="00DD591C" w:rsidP="00DD591C">
      <w:pPr>
        <w:numPr>
          <w:ilvl w:val="0"/>
          <w:numId w:val="16"/>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Constat de leur déroulement.</w:t>
      </w:r>
    </w:p>
    <w:p w:rsidR="00DD591C" w:rsidRPr="00DD591C" w:rsidRDefault="00DD591C" w:rsidP="00DD591C">
      <w:pPr>
        <w:numPr>
          <w:ilvl w:val="0"/>
          <w:numId w:val="17"/>
        </w:numPr>
        <w:spacing w:after="120"/>
        <w:contextualSpacing/>
        <w:jc w:val="both"/>
        <w:rPr>
          <w:rFonts w:ascii="Palatino Linotype" w:eastAsia="Calibri" w:hAnsi="Palatino Linotype" w:cs="Times New Roman"/>
          <w:sz w:val="20"/>
        </w:rPr>
      </w:pPr>
      <w:r w:rsidRPr="00DD591C">
        <w:rPr>
          <w:rFonts w:ascii="Palatino Linotype" w:eastAsia="Calibri" w:hAnsi="Palatino Linotype" w:cs="Times New Roman"/>
          <w:sz w:val="20"/>
        </w:rPr>
        <w:t xml:space="preserve">De la </w:t>
      </w:r>
      <w:r w:rsidR="005D44A4">
        <w:rPr>
          <w:rFonts w:ascii="Palatino Linotype" w:eastAsia="Calibri" w:hAnsi="Palatino Linotype" w:cs="Times New Roman"/>
          <w:sz w:val="20"/>
        </w:rPr>
        <w:t>planification, suivi,</w:t>
      </w:r>
      <w:r w:rsidRPr="00DD591C">
        <w:rPr>
          <w:rFonts w:ascii="Palatino Linotype" w:eastAsia="Calibri" w:hAnsi="Palatino Linotype" w:cs="Times New Roman"/>
          <w:sz w:val="20"/>
        </w:rPr>
        <w:t xml:space="preserve"> pour la constitution et </w:t>
      </w:r>
      <w:r w:rsidR="005D44A4">
        <w:rPr>
          <w:rFonts w:ascii="Palatino Linotype" w:eastAsia="Calibri" w:hAnsi="Palatino Linotype" w:cs="Times New Roman"/>
          <w:sz w:val="20"/>
        </w:rPr>
        <w:t>la remise au Maître d'ouvrage de notre</w:t>
      </w:r>
      <w:r w:rsidRPr="00DD591C">
        <w:rPr>
          <w:rFonts w:ascii="Palatino Linotype" w:eastAsia="Calibri" w:hAnsi="Palatino Linotype" w:cs="Times New Roman"/>
          <w:sz w:val="20"/>
        </w:rPr>
        <w:t xml:space="preserve"> dossier </w:t>
      </w:r>
      <w:r w:rsidRPr="00DD591C">
        <w:rPr>
          <w:rFonts w:ascii="Palatino Linotype" w:eastAsia="Calibri" w:hAnsi="Palatino Linotype" w:cs="Times New Roman"/>
          <w:b/>
          <w:sz w:val="20"/>
        </w:rPr>
        <w:t>DOE</w:t>
      </w:r>
      <w:r w:rsidRPr="00DD591C">
        <w:rPr>
          <w:rFonts w:ascii="Palatino Linotype" w:eastAsia="Calibri" w:hAnsi="Palatino Linotype" w:cs="Times New Roman"/>
          <w:sz w:val="20"/>
        </w:rPr>
        <w:t xml:space="preserve"> : contrôle en liaison avec le MOE du contenu du dossier.</w:t>
      </w:r>
    </w:p>
    <w:p w:rsidR="00AD04DF" w:rsidRPr="005D44A4" w:rsidRDefault="003050D5" w:rsidP="003050D5">
      <w:pPr>
        <w:keepNext/>
        <w:keepLines/>
        <w:pBdr>
          <w:bottom w:val="single" w:sz="4" w:space="1" w:color="4F81BD"/>
        </w:pBdr>
        <w:spacing w:before="480"/>
        <w:outlineLvl w:val="2"/>
        <w:rPr>
          <w:rFonts w:ascii="Georgia" w:eastAsia="Times New Roman" w:hAnsi="Georgia"/>
          <w:bCs/>
          <w:color w:val="00B050"/>
          <w:sz w:val="24"/>
        </w:rPr>
      </w:pPr>
      <w:bookmarkStart w:id="12" w:name="_Toc261350265"/>
      <w:bookmarkStart w:id="13" w:name="_Toc340738962"/>
      <w:r w:rsidRPr="005D44A4">
        <w:rPr>
          <w:rFonts w:ascii="Georgia" w:eastAsia="Times New Roman" w:hAnsi="Georgia"/>
          <w:bCs/>
          <w:color w:val="00B050"/>
          <w:sz w:val="24"/>
        </w:rPr>
        <w:t>4-Service après-vente pour parfait achèvement</w:t>
      </w:r>
      <w:bookmarkEnd w:id="12"/>
      <w:bookmarkEnd w:id="13"/>
    </w:p>
    <w:p w:rsidR="00AD04DF" w:rsidRPr="00AD04DF" w:rsidRDefault="00AD04DF" w:rsidP="00AD04DF">
      <w:pPr>
        <w:spacing w:line="240" w:lineRule="auto"/>
        <w:rPr>
          <w:rFonts w:ascii="Palatino Linotype" w:hAnsi="Palatino Linotype"/>
          <w:sz w:val="20"/>
        </w:rPr>
      </w:pPr>
      <w:r w:rsidRPr="00AD04DF">
        <w:rPr>
          <w:rFonts w:ascii="Palatino Linotype" w:hAnsi="Palatino Linotype"/>
          <w:sz w:val="20"/>
        </w:rPr>
        <w:t xml:space="preserve">Le personnel de chantier aura à cœur de livrer son ouvrage sans réserve afin de minimiser toute intervention ultérieure. </w:t>
      </w:r>
    </w:p>
    <w:p w:rsidR="003050D5" w:rsidRPr="00AD04DF" w:rsidRDefault="00AD04DF" w:rsidP="00AD04DF">
      <w:pPr>
        <w:rPr>
          <w:sz w:val="20"/>
        </w:rPr>
      </w:pPr>
      <w:r w:rsidRPr="00AD04DF">
        <w:rPr>
          <w:rFonts w:ascii="Palatino Linotype" w:hAnsi="Palatino Linotype"/>
          <w:sz w:val="20"/>
        </w:rPr>
        <w:t xml:space="preserve">Pour le parfait achèvement des ouvrages l’entreprise </w:t>
      </w:r>
      <w:r w:rsidR="005D44A4">
        <w:rPr>
          <w:rFonts w:ascii="Palatino Linotype" w:hAnsi="Palatino Linotype"/>
          <w:sz w:val="20"/>
        </w:rPr>
        <w:t>VM Constructions</w:t>
      </w:r>
      <w:r w:rsidRPr="00AD04DF">
        <w:rPr>
          <w:rFonts w:ascii="Palatino Linotype" w:hAnsi="Palatino Linotype"/>
          <w:sz w:val="20"/>
        </w:rPr>
        <w:t xml:space="preserve"> dispose d’un conducteur de travaux SAV spécialement dédié à l’accompagnement de nos clients. L’entreprise </w:t>
      </w:r>
      <w:r w:rsidR="005D44A4">
        <w:rPr>
          <w:rFonts w:ascii="Palatino Linotype" w:hAnsi="Palatino Linotype"/>
          <w:sz w:val="20"/>
        </w:rPr>
        <w:t>VM Constructions</w:t>
      </w:r>
      <w:r w:rsidRPr="00AD04DF">
        <w:rPr>
          <w:rFonts w:ascii="Palatino Linotype" w:hAnsi="Palatino Linotype"/>
          <w:sz w:val="20"/>
        </w:rPr>
        <w:t xml:space="preserve"> fait appel à ses propres équipes de finitions qui ont à leur disposition des moyens de transport et d’intervention autonome afin de garantir une rapidité d’exécution.</w:t>
      </w:r>
      <w:r w:rsidRPr="00AD04DF">
        <w:rPr>
          <w:rFonts w:ascii="Georgia" w:hAnsi="Georgia"/>
          <w:b/>
          <w:smallCaps/>
          <w:noProof/>
          <w:color w:val="4F81BD"/>
          <w:sz w:val="20"/>
          <w:lang w:eastAsia="fr-FR"/>
        </w:rPr>
        <w:t xml:space="preserve"> </w:t>
      </w:r>
    </w:p>
    <w:sectPr w:rsidR="003050D5" w:rsidRPr="00AD04DF" w:rsidSect="0039159F">
      <w:headerReference w:type="default" r:id="rId12"/>
      <w:footerReference w:type="default" r:id="rId13"/>
      <w:pgSz w:w="11906" w:h="16838"/>
      <w:pgMar w:top="1560" w:right="1274"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2B4" w:rsidRDefault="00D072B4" w:rsidP="00DD591C">
      <w:pPr>
        <w:spacing w:after="0" w:line="240" w:lineRule="auto"/>
      </w:pPr>
      <w:r>
        <w:separator/>
      </w:r>
    </w:p>
  </w:endnote>
  <w:endnote w:type="continuationSeparator" w:id="0">
    <w:p w:rsidR="00D072B4" w:rsidRDefault="00D072B4" w:rsidP="00DD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entury Schoolbook">
    <w:altName w:val="Century"/>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155149"/>
      <w:docPartObj>
        <w:docPartGallery w:val="Page Numbers (Bottom of Page)"/>
        <w:docPartUnique/>
      </w:docPartObj>
    </w:sdtPr>
    <w:sdtEndPr/>
    <w:sdtContent>
      <w:sdt>
        <w:sdtPr>
          <w:id w:val="860082579"/>
          <w:docPartObj>
            <w:docPartGallery w:val="Page Numbers (Top of Page)"/>
            <w:docPartUnique/>
          </w:docPartObj>
        </w:sdtPr>
        <w:sdtEndPr/>
        <w:sdtContent>
          <w:p w:rsidR="00DD591C" w:rsidRDefault="00DD591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3573B">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3573B">
              <w:rPr>
                <w:b/>
                <w:bCs/>
                <w:noProof/>
              </w:rPr>
              <w:t>6</w:t>
            </w:r>
            <w:r>
              <w:rPr>
                <w:b/>
                <w:bCs/>
                <w:sz w:val="24"/>
                <w:szCs w:val="24"/>
              </w:rPr>
              <w:fldChar w:fldCharType="end"/>
            </w:r>
          </w:p>
        </w:sdtContent>
      </w:sdt>
    </w:sdtContent>
  </w:sdt>
  <w:p w:rsidR="00DD591C" w:rsidRDefault="00097C1B">
    <w:pPr>
      <w:pStyle w:val="Pieddepage"/>
    </w:pPr>
    <w:r>
      <w:t>Planification &amp; organisation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2B4" w:rsidRDefault="00D072B4" w:rsidP="00DD591C">
      <w:pPr>
        <w:spacing w:after="0" w:line="240" w:lineRule="auto"/>
      </w:pPr>
      <w:r>
        <w:separator/>
      </w:r>
    </w:p>
  </w:footnote>
  <w:footnote w:type="continuationSeparator" w:id="0">
    <w:p w:rsidR="00D072B4" w:rsidRDefault="00D072B4" w:rsidP="00DD5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05" w:rsidRDefault="00B02705" w:rsidP="00B02705">
    <w:pPr>
      <w:pStyle w:val="En-tte"/>
      <w:tabs>
        <w:tab w:val="clear" w:pos="4536"/>
        <w:tab w:val="clear" w:pos="9072"/>
        <w:tab w:val="center" w:pos="0"/>
        <w:tab w:val="right" w:pos="10490"/>
      </w:tabs>
      <w:ind w:right="-24"/>
      <w:rPr>
        <w:b/>
        <w:color w:val="7F7F7F" w:themeColor="text1" w:themeTint="80"/>
        <w:sz w:val="24"/>
      </w:rPr>
    </w:pPr>
    <w:r>
      <w:rPr>
        <w:rFonts w:cstheme="minorHAnsi"/>
        <w:noProof/>
        <w:sz w:val="28"/>
        <w:lang w:eastAsia="fr-FR"/>
      </w:rPr>
      <w:drawing>
        <wp:anchor distT="0" distB="0" distL="114300" distR="114300" simplePos="0" relativeHeight="251659264" behindDoc="1" locked="0" layoutInCell="1" allowOverlap="1" wp14:anchorId="121E961E" wp14:editId="3A71AC67">
          <wp:simplePos x="0" y="0"/>
          <wp:positionH relativeFrom="column">
            <wp:posOffset>-3810</wp:posOffset>
          </wp:positionH>
          <wp:positionV relativeFrom="paragraph">
            <wp:posOffset>28575</wp:posOffset>
          </wp:positionV>
          <wp:extent cx="752475" cy="929640"/>
          <wp:effectExtent l="0" t="0" r="9525"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caps/>
        <w:color w:val="521D02"/>
        <w:sz w:val="38"/>
        <w:szCs w:val="38"/>
        <w14:reflection w14:blurRad="12700" w14:stA="28000" w14:stPos="0" w14:endA="0" w14:endPos="45000" w14:dist="1003" w14:dir="5400000" w14:fadeDir="5400000" w14:sx="100000" w14:sy="-100000" w14:kx="0" w14:ky="0" w14:algn="bl"/>
        <w14:textOutline w14:w="3175" w14:cap="flat" w14:cmpd="sng" w14:algn="ctr">
          <w14:noFill/>
          <w14:prstDash w14:val="solid"/>
          <w14:round/>
        </w14:textOutline>
      </w:rPr>
      <w:t xml:space="preserve">               </w:t>
    </w:r>
    <w:r w:rsidRPr="00672FB3">
      <w:rPr>
        <w:rFonts w:asciiTheme="majorHAnsi" w:hAnsiTheme="majorHAnsi"/>
        <w:b/>
        <w:caps/>
        <w:color w:val="521D02"/>
        <w:sz w:val="38"/>
        <w:szCs w:val="38"/>
        <w14:reflection w14:blurRad="12700" w14:stA="28000" w14:stPos="0" w14:endA="0" w14:endPos="45000" w14:dist="1003" w14:dir="5400000" w14:fadeDir="5400000" w14:sx="100000" w14:sy="-100000" w14:kx="0" w14:ky="0" w14:algn="bl"/>
        <w14:textOutline w14:w="3175" w14:cap="flat" w14:cmpd="sng" w14:algn="ctr">
          <w14:noFill/>
          <w14:prstDash w14:val="solid"/>
          <w14:round/>
        </w14:textOutline>
      </w:rPr>
      <w:t>entreprise générale de bâtiment</w:t>
    </w:r>
  </w:p>
  <w:p w:rsidR="00B02705" w:rsidRDefault="00B02705" w:rsidP="00B02705">
    <w:pPr>
      <w:pStyle w:val="En-tte"/>
      <w:tabs>
        <w:tab w:val="clear" w:pos="4536"/>
        <w:tab w:val="clear" w:pos="9072"/>
        <w:tab w:val="center" w:pos="0"/>
        <w:tab w:val="right" w:pos="10490"/>
      </w:tabs>
      <w:ind w:right="-24"/>
      <w:rPr>
        <w:b/>
        <w:color w:val="7F7F7F" w:themeColor="text1" w:themeTint="80"/>
        <w:sz w:val="24"/>
      </w:rPr>
    </w:pPr>
  </w:p>
  <w:p w:rsidR="00B02705" w:rsidRPr="0078719A" w:rsidRDefault="00B02705" w:rsidP="00B02705">
    <w:pPr>
      <w:pStyle w:val="En-tte"/>
      <w:tabs>
        <w:tab w:val="clear" w:pos="4536"/>
        <w:tab w:val="clear" w:pos="9072"/>
        <w:tab w:val="center" w:pos="0"/>
        <w:tab w:val="right" w:pos="10490"/>
      </w:tabs>
      <w:ind w:right="-24"/>
      <w:jc w:val="right"/>
      <w:rPr>
        <w:b/>
        <w:color w:val="7F7F7F" w:themeColor="text1" w:themeTint="80"/>
        <w:sz w:val="24"/>
      </w:rPr>
    </w:pPr>
    <w:r>
      <w:rPr>
        <w:b/>
        <w:color w:val="7F7F7F" w:themeColor="text1" w:themeTint="80"/>
        <w:sz w:val="24"/>
      </w:rPr>
      <w:t>Hôtel Mademoiselle – Réhabilitation / extension</w:t>
    </w:r>
  </w:p>
  <w:p w:rsidR="00097C1B" w:rsidRDefault="00B02705" w:rsidP="00B02705">
    <w:pPr>
      <w:pStyle w:val="En-tte"/>
    </w:pPr>
    <w:r>
      <w:rPr>
        <w:color w:val="7F7F7F" w:themeColor="text1" w:themeTint="80"/>
      </w:rPr>
      <w:tab/>
    </w:r>
    <w:r>
      <w:rPr>
        <w:color w:val="7F7F7F" w:themeColor="text1" w:themeTint="80"/>
      </w:rPr>
      <w:tab/>
      <w:t>15, rue Mademoiselle (Paris 15</w:t>
    </w:r>
    <w:r w:rsidRPr="00A27CB2">
      <w:rPr>
        <w:color w:val="7F7F7F" w:themeColor="text1" w:themeTint="80"/>
        <w:vertAlign w:val="superscript"/>
      </w:rPr>
      <w:t>ème</w:t>
    </w:r>
  </w:p>
  <w:p w:rsidR="00DD591C" w:rsidRDefault="00DD59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6.3pt;height:96.3pt" o:bullet="t">
        <v:imagedata r:id="rId1" o:title="forward"/>
      </v:shape>
    </w:pict>
  </w:numPicBullet>
  <w:numPicBullet w:numPicBulletId="1">
    <w:pict>
      <v:shape id="_x0000_i1033" type="#_x0000_t75" style="width:163.25pt;height:170.8pt" o:bullet="t">
        <v:imagedata r:id="rId2" o:title="fleche01"/>
      </v:shape>
    </w:pict>
  </w:numPicBullet>
  <w:abstractNum w:abstractNumId="0">
    <w:nsid w:val="009D23EA"/>
    <w:multiLevelType w:val="hybridMultilevel"/>
    <w:tmpl w:val="DE203258"/>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3087D10"/>
    <w:multiLevelType w:val="hybridMultilevel"/>
    <w:tmpl w:val="BAF86C86"/>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3E0432"/>
    <w:multiLevelType w:val="hybridMultilevel"/>
    <w:tmpl w:val="B3649A6E"/>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071AAD"/>
    <w:multiLevelType w:val="hybridMultilevel"/>
    <w:tmpl w:val="79FEA3D4"/>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333F45"/>
    <w:multiLevelType w:val="hybridMultilevel"/>
    <w:tmpl w:val="65BC5D68"/>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8B7567"/>
    <w:multiLevelType w:val="hybridMultilevel"/>
    <w:tmpl w:val="9DF0683E"/>
    <w:lvl w:ilvl="0" w:tplc="040C000F">
      <w:start w:val="1"/>
      <w:numFmt w:val="decimal"/>
      <w:lvlText w:val="%1."/>
      <w:lvlJc w:val="left"/>
      <w:pPr>
        <w:ind w:left="4896" w:hanging="360"/>
      </w:pPr>
    </w:lvl>
    <w:lvl w:ilvl="1" w:tplc="040C0019" w:tentative="1">
      <w:start w:val="1"/>
      <w:numFmt w:val="lowerLetter"/>
      <w:lvlText w:val="%2."/>
      <w:lvlJc w:val="left"/>
      <w:pPr>
        <w:ind w:left="5616" w:hanging="360"/>
      </w:pPr>
    </w:lvl>
    <w:lvl w:ilvl="2" w:tplc="040C001B" w:tentative="1">
      <w:start w:val="1"/>
      <w:numFmt w:val="lowerRoman"/>
      <w:lvlText w:val="%3."/>
      <w:lvlJc w:val="right"/>
      <w:pPr>
        <w:ind w:left="6336" w:hanging="180"/>
      </w:pPr>
    </w:lvl>
    <w:lvl w:ilvl="3" w:tplc="040C000F" w:tentative="1">
      <w:start w:val="1"/>
      <w:numFmt w:val="decimal"/>
      <w:lvlText w:val="%4."/>
      <w:lvlJc w:val="left"/>
      <w:pPr>
        <w:ind w:left="7056" w:hanging="360"/>
      </w:pPr>
    </w:lvl>
    <w:lvl w:ilvl="4" w:tplc="040C0019" w:tentative="1">
      <w:start w:val="1"/>
      <w:numFmt w:val="lowerLetter"/>
      <w:lvlText w:val="%5."/>
      <w:lvlJc w:val="left"/>
      <w:pPr>
        <w:ind w:left="7776" w:hanging="360"/>
      </w:pPr>
    </w:lvl>
    <w:lvl w:ilvl="5" w:tplc="040C001B" w:tentative="1">
      <w:start w:val="1"/>
      <w:numFmt w:val="lowerRoman"/>
      <w:lvlText w:val="%6."/>
      <w:lvlJc w:val="right"/>
      <w:pPr>
        <w:ind w:left="8496" w:hanging="180"/>
      </w:pPr>
    </w:lvl>
    <w:lvl w:ilvl="6" w:tplc="040C000F" w:tentative="1">
      <w:start w:val="1"/>
      <w:numFmt w:val="decimal"/>
      <w:lvlText w:val="%7."/>
      <w:lvlJc w:val="left"/>
      <w:pPr>
        <w:ind w:left="9216" w:hanging="360"/>
      </w:pPr>
    </w:lvl>
    <w:lvl w:ilvl="7" w:tplc="040C0019" w:tentative="1">
      <w:start w:val="1"/>
      <w:numFmt w:val="lowerLetter"/>
      <w:lvlText w:val="%8."/>
      <w:lvlJc w:val="left"/>
      <w:pPr>
        <w:ind w:left="9936" w:hanging="360"/>
      </w:pPr>
    </w:lvl>
    <w:lvl w:ilvl="8" w:tplc="040C001B" w:tentative="1">
      <w:start w:val="1"/>
      <w:numFmt w:val="lowerRoman"/>
      <w:lvlText w:val="%9."/>
      <w:lvlJc w:val="right"/>
      <w:pPr>
        <w:ind w:left="10656" w:hanging="180"/>
      </w:pPr>
    </w:lvl>
  </w:abstractNum>
  <w:abstractNum w:abstractNumId="6">
    <w:nsid w:val="0DB50E7F"/>
    <w:multiLevelType w:val="hybridMultilevel"/>
    <w:tmpl w:val="99CEE70A"/>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0C5203"/>
    <w:multiLevelType w:val="hybridMultilevel"/>
    <w:tmpl w:val="5002F2BA"/>
    <w:lvl w:ilvl="0" w:tplc="B9EC3CA4">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403F80"/>
    <w:multiLevelType w:val="hybridMultilevel"/>
    <w:tmpl w:val="85405866"/>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E81656C"/>
    <w:multiLevelType w:val="hybridMultilevel"/>
    <w:tmpl w:val="64628B7C"/>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EB76B3"/>
    <w:multiLevelType w:val="hybridMultilevel"/>
    <w:tmpl w:val="A970AF06"/>
    <w:lvl w:ilvl="0" w:tplc="2F2E44AE">
      <w:start w:val="1"/>
      <w:numFmt w:val="bullet"/>
      <w:lvlText w:val=""/>
      <w:lvlPicBulletId w:val="0"/>
      <w:lvlJc w:val="left"/>
      <w:pPr>
        <w:ind w:left="720" w:hanging="360"/>
      </w:pPr>
      <w:rPr>
        <w:rFonts w:ascii="Symbol" w:hAnsi="Symbol" w:hint="default"/>
        <w:color w:val="auto"/>
      </w:rPr>
    </w:lvl>
    <w:lvl w:ilvl="1" w:tplc="B9EC3CA4">
      <w:start w:val="1"/>
      <w:numFmt w:val="bullet"/>
      <w:lvlText w:val=""/>
      <w:lvlPicBulletId w:val="1"/>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B920CE"/>
    <w:multiLevelType w:val="hybridMultilevel"/>
    <w:tmpl w:val="8DEE5218"/>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296702D9"/>
    <w:multiLevelType w:val="hybridMultilevel"/>
    <w:tmpl w:val="FA145392"/>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34B718C"/>
    <w:multiLevelType w:val="hybridMultilevel"/>
    <w:tmpl w:val="93F0D7D4"/>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3C205E13"/>
    <w:multiLevelType w:val="hybridMultilevel"/>
    <w:tmpl w:val="6EA414BA"/>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FB54529"/>
    <w:multiLevelType w:val="hybridMultilevel"/>
    <w:tmpl w:val="11369E14"/>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811654"/>
    <w:multiLevelType w:val="hybridMultilevel"/>
    <w:tmpl w:val="4B2C5784"/>
    <w:lvl w:ilvl="0" w:tplc="5844A624">
      <w:start w:val="6"/>
      <w:numFmt w:val="decimal"/>
      <w:lvlText w:val="%1"/>
      <w:lvlJc w:val="left"/>
      <w:pPr>
        <w:ind w:left="4896" w:hanging="360"/>
      </w:pPr>
      <w:rPr>
        <w:rFonts w:ascii="Arial" w:hAnsi="Arial" w:cs="Arial" w:hint="default"/>
        <w:sz w:val="24"/>
      </w:rPr>
    </w:lvl>
    <w:lvl w:ilvl="1" w:tplc="040C0019" w:tentative="1">
      <w:start w:val="1"/>
      <w:numFmt w:val="lowerLetter"/>
      <w:lvlText w:val="%2."/>
      <w:lvlJc w:val="left"/>
      <w:pPr>
        <w:ind w:left="5616" w:hanging="360"/>
      </w:pPr>
    </w:lvl>
    <w:lvl w:ilvl="2" w:tplc="040C001B" w:tentative="1">
      <w:start w:val="1"/>
      <w:numFmt w:val="lowerRoman"/>
      <w:lvlText w:val="%3."/>
      <w:lvlJc w:val="right"/>
      <w:pPr>
        <w:ind w:left="6336" w:hanging="180"/>
      </w:pPr>
    </w:lvl>
    <w:lvl w:ilvl="3" w:tplc="040C000F" w:tentative="1">
      <w:start w:val="1"/>
      <w:numFmt w:val="decimal"/>
      <w:lvlText w:val="%4."/>
      <w:lvlJc w:val="left"/>
      <w:pPr>
        <w:ind w:left="7056" w:hanging="360"/>
      </w:pPr>
    </w:lvl>
    <w:lvl w:ilvl="4" w:tplc="040C0019" w:tentative="1">
      <w:start w:val="1"/>
      <w:numFmt w:val="lowerLetter"/>
      <w:lvlText w:val="%5."/>
      <w:lvlJc w:val="left"/>
      <w:pPr>
        <w:ind w:left="7776" w:hanging="360"/>
      </w:pPr>
    </w:lvl>
    <w:lvl w:ilvl="5" w:tplc="040C001B" w:tentative="1">
      <w:start w:val="1"/>
      <w:numFmt w:val="lowerRoman"/>
      <w:lvlText w:val="%6."/>
      <w:lvlJc w:val="right"/>
      <w:pPr>
        <w:ind w:left="8496" w:hanging="180"/>
      </w:pPr>
    </w:lvl>
    <w:lvl w:ilvl="6" w:tplc="040C000F" w:tentative="1">
      <w:start w:val="1"/>
      <w:numFmt w:val="decimal"/>
      <w:lvlText w:val="%7."/>
      <w:lvlJc w:val="left"/>
      <w:pPr>
        <w:ind w:left="9216" w:hanging="360"/>
      </w:pPr>
    </w:lvl>
    <w:lvl w:ilvl="7" w:tplc="040C0019" w:tentative="1">
      <w:start w:val="1"/>
      <w:numFmt w:val="lowerLetter"/>
      <w:lvlText w:val="%8."/>
      <w:lvlJc w:val="left"/>
      <w:pPr>
        <w:ind w:left="9936" w:hanging="360"/>
      </w:pPr>
    </w:lvl>
    <w:lvl w:ilvl="8" w:tplc="040C001B" w:tentative="1">
      <w:start w:val="1"/>
      <w:numFmt w:val="lowerRoman"/>
      <w:lvlText w:val="%9."/>
      <w:lvlJc w:val="right"/>
      <w:pPr>
        <w:ind w:left="10656" w:hanging="180"/>
      </w:pPr>
    </w:lvl>
  </w:abstractNum>
  <w:abstractNum w:abstractNumId="17">
    <w:nsid w:val="4A9E510B"/>
    <w:multiLevelType w:val="hybridMultilevel"/>
    <w:tmpl w:val="A63850E6"/>
    <w:lvl w:ilvl="0" w:tplc="B9EC3CA4">
      <w:start w:val="1"/>
      <w:numFmt w:val="bullet"/>
      <w:lvlText w:val=""/>
      <w:lvlPicBulletId w:val="1"/>
      <w:lvlJc w:val="left"/>
      <w:pPr>
        <w:ind w:left="1068" w:hanging="360"/>
      </w:pPr>
      <w:rPr>
        <w:rFonts w:ascii="Symbol" w:hAnsi="Symbol" w:hint="default"/>
        <w:color w:val="auto"/>
      </w:rPr>
    </w:lvl>
    <w:lvl w:ilvl="1" w:tplc="B9EC3CA4">
      <w:start w:val="1"/>
      <w:numFmt w:val="bullet"/>
      <w:lvlText w:val=""/>
      <w:lvlPicBulletId w:val="1"/>
      <w:lvlJc w:val="left"/>
      <w:pPr>
        <w:ind w:left="1788" w:hanging="360"/>
      </w:pPr>
      <w:rPr>
        <w:rFonts w:ascii="Symbol" w:hAnsi="Symbol" w:hint="default"/>
        <w:color w:val="auto"/>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DD3604A"/>
    <w:multiLevelType w:val="hybridMultilevel"/>
    <w:tmpl w:val="671E6200"/>
    <w:lvl w:ilvl="0" w:tplc="A06AB356">
      <w:start w:val="6"/>
      <w:numFmt w:val="decimal"/>
      <w:lvlText w:val="%1"/>
      <w:lvlJc w:val="left"/>
      <w:pPr>
        <w:ind w:left="720" w:hanging="360"/>
      </w:pPr>
      <w:rPr>
        <w:rFonts w:ascii="Arial" w:hAnsi="Arial" w:cs="Arial"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2B5979"/>
    <w:multiLevelType w:val="hybridMultilevel"/>
    <w:tmpl w:val="B2BC5A0E"/>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4761C6"/>
    <w:multiLevelType w:val="hybridMultilevel"/>
    <w:tmpl w:val="A964FC52"/>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68306BF"/>
    <w:multiLevelType w:val="hybridMultilevel"/>
    <w:tmpl w:val="0A0229A2"/>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D9C3CEB"/>
    <w:multiLevelType w:val="hybridMultilevel"/>
    <w:tmpl w:val="8738D170"/>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737581B"/>
    <w:multiLevelType w:val="hybridMultilevel"/>
    <w:tmpl w:val="60D65A12"/>
    <w:lvl w:ilvl="0" w:tplc="2F2E44AE">
      <w:start w:val="1"/>
      <w:numFmt w:val="bullet"/>
      <w:lvlText w:val=""/>
      <w:lvlPicBulletId w:val="0"/>
      <w:lvlJc w:val="left"/>
      <w:pPr>
        <w:ind w:left="78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78F7914"/>
    <w:multiLevelType w:val="hybridMultilevel"/>
    <w:tmpl w:val="B0E49D88"/>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8EE06E4"/>
    <w:multiLevelType w:val="hybridMultilevel"/>
    <w:tmpl w:val="FBF6BA84"/>
    <w:lvl w:ilvl="0" w:tplc="B9EC3CA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D656A96"/>
    <w:multiLevelType w:val="hybridMultilevel"/>
    <w:tmpl w:val="889423D0"/>
    <w:lvl w:ilvl="0" w:tplc="2F2E44A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9"/>
  </w:num>
  <w:num w:numId="4">
    <w:abstractNumId w:val="14"/>
  </w:num>
  <w:num w:numId="5">
    <w:abstractNumId w:val="24"/>
  </w:num>
  <w:num w:numId="6">
    <w:abstractNumId w:val="13"/>
  </w:num>
  <w:num w:numId="7">
    <w:abstractNumId w:val="6"/>
  </w:num>
  <w:num w:numId="8">
    <w:abstractNumId w:val="22"/>
  </w:num>
  <w:num w:numId="9">
    <w:abstractNumId w:val="20"/>
  </w:num>
  <w:num w:numId="10">
    <w:abstractNumId w:val="8"/>
  </w:num>
  <w:num w:numId="11">
    <w:abstractNumId w:val="3"/>
  </w:num>
  <w:num w:numId="12">
    <w:abstractNumId w:val="15"/>
  </w:num>
  <w:num w:numId="13">
    <w:abstractNumId w:val="26"/>
  </w:num>
  <w:num w:numId="14">
    <w:abstractNumId w:val="1"/>
  </w:num>
  <w:num w:numId="15">
    <w:abstractNumId w:val="11"/>
  </w:num>
  <w:num w:numId="16">
    <w:abstractNumId w:val="0"/>
  </w:num>
  <w:num w:numId="17">
    <w:abstractNumId w:val="2"/>
  </w:num>
  <w:num w:numId="18">
    <w:abstractNumId w:val="12"/>
  </w:num>
  <w:num w:numId="19">
    <w:abstractNumId w:val="23"/>
  </w:num>
  <w:num w:numId="20">
    <w:abstractNumId w:val="7"/>
  </w:num>
  <w:num w:numId="21">
    <w:abstractNumId w:val="4"/>
  </w:num>
  <w:num w:numId="22">
    <w:abstractNumId w:val="25"/>
  </w:num>
  <w:num w:numId="23">
    <w:abstractNumId w:val="10"/>
  </w:num>
  <w:num w:numId="24">
    <w:abstractNumId w:val="17"/>
  </w:num>
  <w:num w:numId="25">
    <w:abstractNumId w:val="5"/>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1C"/>
    <w:rsid w:val="00086C88"/>
    <w:rsid w:val="00097C1B"/>
    <w:rsid w:val="000D14A5"/>
    <w:rsid w:val="000F2A4B"/>
    <w:rsid w:val="00114212"/>
    <w:rsid w:val="00243AED"/>
    <w:rsid w:val="003050D5"/>
    <w:rsid w:val="0039159F"/>
    <w:rsid w:val="00414862"/>
    <w:rsid w:val="005B1A69"/>
    <w:rsid w:val="005D44A4"/>
    <w:rsid w:val="005F14F4"/>
    <w:rsid w:val="00640021"/>
    <w:rsid w:val="006730EB"/>
    <w:rsid w:val="00710E0E"/>
    <w:rsid w:val="0073573B"/>
    <w:rsid w:val="00814DDF"/>
    <w:rsid w:val="00826D5B"/>
    <w:rsid w:val="009611D7"/>
    <w:rsid w:val="009948CF"/>
    <w:rsid w:val="009C3CF9"/>
    <w:rsid w:val="00A03237"/>
    <w:rsid w:val="00A23F6D"/>
    <w:rsid w:val="00AA01EE"/>
    <w:rsid w:val="00AD04DF"/>
    <w:rsid w:val="00B02705"/>
    <w:rsid w:val="00BD294B"/>
    <w:rsid w:val="00C44A97"/>
    <w:rsid w:val="00D072B4"/>
    <w:rsid w:val="00DD591C"/>
    <w:rsid w:val="00E00B73"/>
    <w:rsid w:val="00E21B53"/>
    <w:rsid w:val="00EB6A8D"/>
    <w:rsid w:val="00EC16F7"/>
    <w:rsid w:val="00EC41E4"/>
    <w:rsid w:val="00F620A2"/>
    <w:rsid w:val="00F64105"/>
    <w:rsid w:val="00F72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59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91C"/>
    <w:rPr>
      <w:rFonts w:ascii="Tahoma" w:hAnsi="Tahoma" w:cs="Tahoma"/>
      <w:sz w:val="16"/>
      <w:szCs w:val="16"/>
    </w:rPr>
  </w:style>
  <w:style w:type="paragraph" w:styleId="En-tte">
    <w:name w:val="header"/>
    <w:basedOn w:val="Normal"/>
    <w:link w:val="En-tteCar"/>
    <w:uiPriority w:val="99"/>
    <w:unhideWhenUsed/>
    <w:rsid w:val="00DD591C"/>
    <w:pPr>
      <w:tabs>
        <w:tab w:val="center" w:pos="4536"/>
        <w:tab w:val="right" w:pos="9072"/>
      </w:tabs>
      <w:spacing w:after="0" w:line="240" w:lineRule="auto"/>
    </w:pPr>
  </w:style>
  <w:style w:type="character" w:customStyle="1" w:styleId="En-tteCar">
    <w:name w:val="En-tête Car"/>
    <w:basedOn w:val="Policepardfaut"/>
    <w:link w:val="En-tte"/>
    <w:uiPriority w:val="99"/>
    <w:rsid w:val="00DD591C"/>
  </w:style>
  <w:style w:type="paragraph" w:styleId="Pieddepage">
    <w:name w:val="footer"/>
    <w:basedOn w:val="Normal"/>
    <w:link w:val="PieddepageCar"/>
    <w:uiPriority w:val="99"/>
    <w:unhideWhenUsed/>
    <w:rsid w:val="00DD5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91C"/>
  </w:style>
  <w:style w:type="character" w:styleId="Emphaseintense">
    <w:name w:val="Intense Emphasis"/>
    <w:basedOn w:val="Policepardfaut"/>
    <w:uiPriority w:val="21"/>
    <w:qFormat/>
    <w:rsid w:val="003050D5"/>
    <w:rPr>
      <w:b/>
      <w:bCs/>
      <w:i/>
      <w:iCs/>
      <w:color w:val="4F81BD" w:themeColor="accent1"/>
    </w:rPr>
  </w:style>
  <w:style w:type="paragraph" w:styleId="Paragraphedeliste">
    <w:name w:val="List Paragraph"/>
    <w:basedOn w:val="Normal"/>
    <w:uiPriority w:val="34"/>
    <w:qFormat/>
    <w:rsid w:val="0039159F"/>
    <w:pPr>
      <w:spacing w:after="120"/>
      <w:ind w:left="720"/>
      <w:contextualSpacing/>
      <w:jc w:val="both"/>
    </w:pPr>
    <w:rPr>
      <w:rFonts w:ascii="Palatino Linotype" w:eastAsia="Calibri" w:hAnsi="Palatino Linotype"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59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91C"/>
    <w:rPr>
      <w:rFonts w:ascii="Tahoma" w:hAnsi="Tahoma" w:cs="Tahoma"/>
      <w:sz w:val="16"/>
      <w:szCs w:val="16"/>
    </w:rPr>
  </w:style>
  <w:style w:type="paragraph" w:styleId="En-tte">
    <w:name w:val="header"/>
    <w:basedOn w:val="Normal"/>
    <w:link w:val="En-tteCar"/>
    <w:uiPriority w:val="99"/>
    <w:unhideWhenUsed/>
    <w:rsid w:val="00DD591C"/>
    <w:pPr>
      <w:tabs>
        <w:tab w:val="center" w:pos="4536"/>
        <w:tab w:val="right" w:pos="9072"/>
      </w:tabs>
      <w:spacing w:after="0" w:line="240" w:lineRule="auto"/>
    </w:pPr>
  </w:style>
  <w:style w:type="character" w:customStyle="1" w:styleId="En-tteCar">
    <w:name w:val="En-tête Car"/>
    <w:basedOn w:val="Policepardfaut"/>
    <w:link w:val="En-tte"/>
    <w:uiPriority w:val="99"/>
    <w:rsid w:val="00DD591C"/>
  </w:style>
  <w:style w:type="paragraph" w:styleId="Pieddepage">
    <w:name w:val="footer"/>
    <w:basedOn w:val="Normal"/>
    <w:link w:val="PieddepageCar"/>
    <w:uiPriority w:val="99"/>
    <w:unhideWhenUsed/>
    <w:rsid w:val="00DD5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91C"/>
  </w:style>
  <w:style w:type="character" w:styleId="Emphaseintense">
    <w:name w:val="Intense Emphasis"/>
    <w:basedOn w:val="Policepardfaut"/>
    <w:uiPriority w:val="21"/>
    <w:qFormat/>
    <w:rsid w:val="003050D5"/>
    <w:rPr>
      <w:b/>
      <w:bCs/>
      <w:i/>
      <w:iCs/>
      <w:color w:val="4F81BD" w:themeColor="accent1"/>
    </w:rPr>
  </w:style>
  <w:style w:type="paragraph" w:styleId="Paragraphedeliste">
    <w:name w:val="List Paragraph"/>
    <w:basedOn w:val="Normal"/>
    <w:uiPriority w:val="34"/>
    <w:qFormat/>
    <w:rsid w:val="0039159F"/>
    <w:pPr>
      <w:spacing w:after="120"/>
      <w:ind w:left="720"/>
      <w:contextualSpacing/>
      <w:jc w:val="both"/>
    </w:pPr>
    <w:rPr>
      <w:rFonts w:ascii="Palatino Linotype" w:eastAsia="Calibri" w:hAnsi="Palatino Linotype"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B1023-A386-46FF-A836-CBD6FA42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1681</Words>
  <Characters>9249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VM Constructions</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Laplanche</dc:creator>
  <cp:lastModifiedBy>Laurent</cp:lastModifiedBy>
  <cp:revision>4</cp:revision>
  <cp:lastPrinted>2014-02-24T08:08:00Z</cp:lastPrinted>
  <dcterms:created xsi:type="dcterms:W3CDTF">2014-02-22T16:11:00Z</dcterms:created>
  <dcterms:modified xsi:type="dcterms:W3CDTF">2014-02-24T08:09:00Z</dcterms:modified>
</cp:coreProperties>
</file>