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Calibri" w:cs="Calibri" w:eastAsia="Calibri" w:hAnsi="Calibri"/>
          <w:b/>
          <w:bCs/>
          <w:color w:val="13546E"/>
          <w:sz w:val="40"/>
          <w:szCs w:val="40"/>
        </w:rPr>
        <w:t xml:space="preserve">COMPTE RENDU INDIVIDUEL</w:t>
      </w:r>
    </w:p>
    <w:p>
      <w:pPr>
        <w:spacing w:after="60"/>
      </w:pPr>
      <w:r>
        <w:rPr>
          <w:rFonts w:ascii="Calibri" w:cs="Calibri" w:eastAsia="Calibri" w:hAnsi="Calibri"/>
          <w:color w:val="1B6E92"/>
          <w:sz w:val="24"/>
          <w:szCs w:val="24"/>
        </w:rPr>
        <w:t xml:space="preserve">SAÉ Analyse de données, Reporting et Datavisualisation</w:t>
      </w:r>
    </w:p>
    <w:p>
      <w:pPr>
        <w:pBdr>
          <w:bottom w:val="single" w:color="2E8B6B" w:sz="18" w:space="6"/>
        </w:pBdr>
        <w:spacing w:after="200"/>
      </w:pPr>
      <w:r>
        <w:rPr>
          <w:rFonts w:ascii="Calibri" w:cs="Calibri" w:eastAsia="Calibri" w:hAnsi="Calibri"/>
          <w:i/>
          <w:iCs/>
          <w:color w:val="6B7A82"/>
          <w:sz w:val="20"/>
          <w:szCs w:val="20"/>
        </w:rPr>
        <w:t xml:space="preserve">Projet CapriTrack : suivi des analyses PCR sur cheptels caprins · Laboratoire Qualyse</w:t>
      </w:r>
    </w:p>
    <w:tbl>
      <w:tblPr>
        <w:tblW w:type="dxa" w:w="9026"/>
        <w:tblBorders>
          <w:top w:val="none"/>
          <w:left w:val="none"/>
          <w:bottom w:val="none"/>
          <w:right w:val="none"/>
          <w:insideH w:val="none"/>
          <w:insideV w:val="none"/>
        </w:tblBorders>
      </w:tblPr>
      <w:tblGrid>
        <w:gridCol w:w="2300"/>
        <w:gridCol w:w="6726"/>
      </w:tblGrid>
      <w:tr>
        <w:tc>
          <w:tcPr>
            <w:tcW w:type="dxa" w:w="2300"/>
            <w:tcMar>
              <w:top w:type="dxa" w:w="30"/>
              <w:left w:type="dxa" w:w="0"/>
              <w:bottom w:type="dxa" w:w="30"/>
              <w:right w:type="dxa" w:w="120"/>
            </w:tcMar>
            <w:vAlign w:val="center"/>
          </w:tcPr>
          <w:p>
            <w:r>
              <w:rPr>
                <w:rFonts w:ascii="Calibri" w:cs="Calibri" w:eastAsia="Calibri" w:hAnsi="Calibri"/>
                <w:b/>
                <w:bCs/>
                <w:color w:val="13546E"/>
                <w:sz w:val="19"/>
                <w:szCs w:val="19"/>
              </w:rPr>
              <w:t xml:space="preserve">Étudiant</w:t>
            </w:r>
          </w:p>
        </w:tc>
        <w:tc>
          <w:tcPr>
            <w:tcW w:type="dxa" w:w="6726"/>
            <w:tcMar>
              <w:top w:type="dxa" w:w="30"/>
              <w:left w:type="dxa" w:w="0"/>
              <w:bottom w:type="dxa" w:w="30"/>
              <w:right w:type="dxa" w:w="0"/>
            </w:tcMar>
            <w:vAlign w:val="center"/>
          </w:tcPr>
          <w:p>
            <w:r>
              <w:rPr>
                <w:rFonts w:ascii="Calibri" w:cs="Calibri" w:eastAsia="Calibri" w:hAnsi="Calibri"/>
                <w:color w:val="3C4A52"/>
                <w:sz w:val="19"/>
                <w:szCs w:val="19"/>
              </w:rPr>
              <w:t xml:space="preserve">Louis RENARD</w:t>
            </w:r>
          </w:p>
        </w:tc>
      </w:tr>
      <w:tr>
        <w:tc>
          <w:tcPr>
            <w:tcW w:type="dxa" w:w="2300"/>
            <w:tcMar>
              <w:top w:type="dxa" w:w="30"/>
              <w:left w:type="dxa" w:w="0"/>
              <w:bottom w:type="dxa" w:w="30"/>
              <w:right w:type="dxa" w:w="120"/>
            </w:tcMar>
            <w:vAlign w:val="center"/>
          </w:tcPr>
          <w:p>
            <w:r>
              <w:rPr>
                <w:rFonts w:ascii="Calibri" w:cs="Calibri" w:eastAsia="Calibri" w:hAnsi="Calibri"/>
                <w:b/>
                <w:bCs/>
                <w:color w:val="13546E"/>
                <w:sz w:val="19"/>
                <w:szCs w:val="19"/>
              </w:rPr>
              <w:t xml:space="preserve">Formation</w:t>
            </w:r>
          </w:p>
        </w:tc>
        <w:tc>
          <w:tcPr>
            <w:tcW w:type="dxa" w:w="6726"/>
            <w:tcMar>
              <w:top w:type="dxa" w:w="30"/>
              <w:left w:type="dxa" w:w="0"/>
              <w:bottom w:type="dxa" w:w="30"/>
              <w:right w:type="dxa" w:w="0"/>
            </w:tcMar>
            <w:vAlign w:val="center"/>
          </w:tcPr>
          <w:p>
            <w:r>
              <w:rPr>
                <w:rFonts w:ascii="Calibri" w:cs="Calibri" w:eastAsia="Calibri" w:hAnsi="Calibri"/>
                <w:color w:val="3C4A52"/>
                <w:sz w:val="19"/>
                <w:szCs w:val="19"/>
              </w:rPr>
              <w:t xml:space="preserve">BUT Science des Données, Semestre 2 (IUT de Niort)</w:t>
            </w:r>
          </w:p>
        </w:tc>
      </w:tr>
      <w:tr>
        <w:tc>
          <w:tcPr>
            <w:tcW w:type="dxa" w:w="2300"/>
            <w:tcMar>
              <w:top w:type="dxa" w:w="30"/>
              <w:left w:type="dxa" w:w="0"/>
              <w:bottom w:type="dxa" w:w="30"/>
              <w:right w:type="dxa" w:w="120"/>
            </w:tcMar>
            <w:vAlign w:val="center"/>
          </w:tcPr>
          <w:p>
            <w:r>
              <w:rPr>
                <w:rFonts w:ascii="Calibri" w:cs="Calibri" w:eastAsia="Calibri" w:hAnsi="Calibri"/>
                <w:b/>
                <w:bCs/>
                <w:color w:val="13546E"/>
                <w:sz w:val="19"/>
                <w:szCs w:val="19"/>
              </w:rPr>
              <w:t xml:space="preserve">Rôle dans l’équipe</w:t>
            </w:r>
          </w:p>
        </w:tc>
        <w:tc>
          <w:tcPr>
            <w:tcW w:type="dxa" w:w="6726"/>
            <w:tcMar>
              <w:top w:type="dxa" w:w="30"/>
              <w:left w:type="dxa" w:w="0"/>
              <w:bottom w:type="dxa" w:w="30"/>
              <w:right w:type="dxa" w:w="0"/>
            </w:tcMar>
            <w:vAlign w:val="center"/>
          </w:tcPr>
          <w:p>
            <w:r>
              <w:rPr>
                <w:rFonts w:ascii="Calibri" w:cs="Calibri" w:eastAsia="Calibri" w:hAnsi="Calibri"/>
                <w:color w:val="3C4A52"/>
                <w:sz w:val="19"/>
                <w:szCs w:val="19"/>
              </w:rPr>
              <w:t xml:space="preserve">Backend : importation, normalisation et mise en base des données</w:t>
            </w:r>
          </w:p>
        </w:tc>
      </w:tr>
      <w:tr>
        <w:tc>
          <w:tcPr>
            <w:tcW w:type="dxa" w:w="2300"/>
            <w:tcMar>
              <w:top w:type="dxa" w:w="30"/>
              <w:left w:type="dxa" w:w="0"/>
              <w:bottom w:type="dxa" w:w="30"/>
              <w:right w:type="dxa" w:w="120"/>
            </w:tcMar>
            <w:vAlign w:val="center"/>
          </w:tcPr>
          <w:p>
            <w:r>
              <w:rPr>
                <w:rFonts w:ascii="Calibri" w:cs="Calibri" w:eastAsia="Calibri" w:hAnsi="Calibri"/>
                <w:b/>
                <w:bCs/>
                <w:color w:val="13546E"/>
                <w:sz w:val="19"/>
                <w:szCs w:val="19"/>
              </w:rPr>
              <w:t xml:space="preserve">Équipe</w:t>
            </w:r>
          </w:p>
        </w:tc>
        <w:tc>
          <w:tcPr>
            <w:tcW w:type="dxa" w:w="6726"/>
            <w:tcMar>
              <w:top w:type="dxa" w:w="30"/>
              <w:left w:type="dxa" w:w="0"/>
              <w:bottom w:type="dxa" w:w="30"/>
              <w:right w:type="dxa" w:w="0"/>
            </w:tcMar>
            <w:vAlign w:val="center"/>
          </w:tcPr>
          <w:p>
            <w:r>
              <w:rPr>
                <w:rFonts w:ascii="Calibri" w:cs="Calibri" w:eastAsia="Calibri" w:hAnsi="Calibri"/>
                <w:color w:val="3C4A52"/>
                <w:sz w:val="19"/>
                <w:szCs w:val="19"/>
              </w:rPr>
              <w:t xml:space="preserve">Manon DE MATHA · Louis RENARD · Mathéo BRIGAUD · Arthur ELETTI</w:t>
            </w:r>
          </w:p>
        </w:tc>
      </w:tr>
      <w:tr>
        <w:tc>
          <w:tcPr>
            <w:tcW w:type="dxa" w:w="2300"/>
            <w:tcMar>
              <w:top w:type="dxa" w:w="30"/>
              <w:left w:type="dxa" w:w="0"/>
              <w:bottom w:type="dxa" w:w="30"/>
              <w:right w:type="dxa" w:w="120"/>
            </w:tcMar>
            <w:vAlign w:val="center"/>
          </w:tcPr>
          <w:p>
            <w:r>
              <w:rPr>
                <w:rFonts w:ascii="Calibri" w:cs="Calibri" w:eastAsia="Calibri" w:hAnsi="Calibri"/>
                <w:b/>
                <w:bCs/>
                <w:color w:val="13546E"/>
                <w:sz w:val="19"/>
                <w:szCs w:val="19"/>
              </w:rPr>
              <w:t xml:space="preserve">Commanditaire</w:t>
            </w:r>
          </w:p>
        </w:tc>
        <w:tc>
          <w:tcPr>
            <w:tcW w:type="dxa" w:w="6726"/>
            <w:tcMar>
              <w:top w:type="dxa" w:w="30"/>
              <w:left w:type="dxa" w:w="0"/>
              <w:bottom w:type="dxa" w:w="30"/>
              <w:right w:type="dxa" w:w="0"/>
            </w:tcMar>
            <w:vAlign w:val="center"/>
          </w:tcPr>
          <w:p>
            <w:r>
              <w:rPr>
                <w:rFonts w:ascii="Calibri" w:cs="Calibri" w:eastAsia="Calibri" w:hAnsi="Calibri"/>
                <w:color w:val="3C4A52"/>
                <w:sz w:val="19"/>
                <w:szCs w:val="19"/>
              </w:rPr>
              <w:t xml:space="preserve">Laboratoire Qualyse (santé animale)</w:t>
            </w:r>
          </w:p>
        </w:tc>
      </w:tr>
    </w:tbl>
    <w:p>
      <w:pPr>
        <w:spacing w:after="120"/>
      </w:pPr>
      <w:r>
        <w:rPr>
          <w:rFonts w:ascii="Calibri" w:cs="Calibri" w:eastAsia="Calibri" w:hAnsi="Calibri"/>
          <w:color w:val="3C4A52"/>
          <w:sz w:val="22"/>
          <w:szCs w:val="22"/>
        </w:rPr>
        <w:t xml:space="preserve"/>
      </w:r>
    </w:p>
    <w:tbl>
      <w:tblPr>
        <w:tblW w:type="dxa" w:w="9026"/>
        <w:tblBorders>
          <w:top w:val="none"/>
          <w:left w:val="single" w:color="13546E" w:sz="24"/>
          <w:bottom w:val="none"/>
          <w:right w:val="none"/>
          <w:insideH w:val="none"/>
          <w:insideV w:val="none"/>
        </w:tblBorders>
      </w:tblPr>
      <w:tblGrid>
        <w:gridCol w:w="9026"/>
      </w:tblGrid>
      <w:tr>
        <w:tc>
          <w:tcPr>
            <w:tcW w:type="dxa" w:w="9026"/>
            <w:shd w:fill="E7F0F5" w:val="clear"/>
            <w:tcMar>
              <w:top w:type="dxa" w:w="140"/>
              <w:left w:type="dxa" w:w="220"/>
              <w:bottom w:type="dxa" w:w="140"/>
              <w:right w:type="dxa" w:w="220"/>
            </w:tcMar>
          </w:tcPr>
          <w:p>
            <w:pPr>
              <w:spacing w:after="60"/>
            </w:pPr>
            <w:r>
              <w:rPr>
                <w:rFonts w:ascii="Calibri" w:cs="Calibri" w:eastAsia="Calibri" w:hAnsi="Calibri"/>
                <w:b/>
                <w:bCs/>
                <w:color w:val="13546E"/>
                <w:sz w:val="21"/>
                <w:szCs w:val="21"/>
              </w:rPr>
              <w:t xml:space="preserve">Apprentissage critique ciblé</w:t>
            </w:r>
          </w:p>
          <w:p>
            <w:pPr>
              <w:spacing w:after="0"/>
            </w:pPr>
            <w:r>
              <w:rPr>
                <w:rFonts w:ascii="Calibri" w:cs="Calibri" w:eastAsia="Calibri" w:hAnsi="Calibri"/>
                <w:i/>
                <w:iCs/>
                <w:color w:val="3C4A52"/>
                <w:sz w:val="22"/>
                <w:szCs w:val="22"/>
              </w:rPr>
              <w:t xml:space="preserve">« Réaliser que les sources de données ont des caractéristiques propres à considérer (variation, précision, mise à jour, etc.) »</w:t>
            </w:r>
          </w:p>
        </w:tc>
      </w:tr>
    </w:tbl>
    <w:p>
      <w:pPr>
        <w:spacing w:after="60"/>
      </w:pPr>
      <w:r>
        <w:rPr>
          <w:rFonts w:ascii="Calibri" w:cs="Calibri" w:eastAsia="Calibri" w:hAnsi="Calibri"/>
          <w:color w:val="3C4A52"/>
          <w:sz w:val="22"/>
          <w:szCs w:val="22"/>
        </w:rPr>
        <w:t xml:space="preserve"/>
      </w:r>
    </w:p>
    <w:p>
      <w:pPr>
        <w:pStyle w:val="Heading2"/>
        <w:pBdr>
          <w:bottom w:val="single" w:color="2E8B6B" w:sz="6" w:space="4"/>
        </w:pBdr>
        <w:spacing w:after="120" w:before="300"/>
      </w:pPr>
      <w:r>
        <w:rPr>
          <w:rFonts w:ascii="Calibri" w:cs="Calibri" w:eastAsia="Calibri" w:hAnsi="Calibri"/>
          <w:b/>
          <w:bCs/>
          <w:color w:val="13546E"/>
          <w:sz w:val="26"/>
          <w:szCs w:val="26"/>
        </w:rPr>
        <w:t xml:space="preserve">Rôle dans le groupe</w:t>
      </w:r>
    </w:p>
    <w:p>
      <w:pPr>
        <w:spacing w:after="160" w:line="276"/>
        <w:jc w:val="both"/>
      </w:pPr>
      <w:r>
        <w:rPr>
          <w:rFonts w:ascii="Calibri" w:cs="Calibri" w:eastAsia="Calibri" w:hAnsi="Calibri"/>
          <w:color w:val="3C4A52"/>
          <w:sz w:val="22"/>
          <w:szCs w:val="22"/>
        </w:rPr>
        <w:t xml:space="preserve">Au sein du groupe, je me suis occupé d’une partie du backend (couche de traitement technique qui n’est ni visible ni accessible directement par l’utilisateur). Plus exactement, je me suis occupé des fonctionnalités d’importation. Parmi les fonctionnalités les plus notables figurent la lecture du fichier source, sa normalisation et sa mise en base de données. Mon objectif était de créer les fonctions les plus robustes et flexibles possible afin de pouvoir accepter des données très hétérogènes.</w:t>
      </w:r>
    </w:p>
    <w:p>
      <w:pPr>
        <w:spacing w:after="160" w:line="276"/>
        <w:jc w:val="both"/>
      </w:pPr>
      <w:r>
        <w:rPr>
          <w:rFonts w:ascii="Calibri" w:cs="Calibri" w:eastAsia="Calibri" w:hAnsi="Calibri"/>
          <w:color w:val="3C4A52"/>
          <w:sz w:val="22"/>
          <w:szCs w:val="22"/>
        </w:rPr>
        <w:t xml:space="preserve">Dans un premier temps, les données sont chargées dans un DataFrame afin d’être facilement manipulées avec Pandas. On détecte ensuite l’origine du fichier (79 ou 86), son format, le nombre de bactéries étudiées (ancien format : 2 ; nouveau format : 4) ainsi que la présence de toutes les colonnes nécessaires. J’ai également géré l’absence de certaines colonnes afin de gagner en robustesse.</w:t>
      </w:r>
    </w:p>
    <w:p>
      <w:pPr>
        <w:spacing w:after="160" w:line="276"/>
        <w:jc w:val="both"/>
      </w:pPr>
      <w:r>
        <w:rPr>
          <w:rFonts w:ascii="Calibri" w:cs="Calibri" w:eastAsia="Calibri" w:hAnsi="Calibri"/>
          <w:color w:val="3C4A52"/>
          <w:sz w:val="22"/>
          <w:szCs w:val="22"/>
        </w:rPr>
        <w:t xml:space="preserve">Vient ensuite l’étape de normalisation. En tant que données d’entreprise produites par l’homme, les données sont de mauvaise qualité (différences de nommage des bactéries d’un fichier à l’autre, présence de « NEG » dans des colonnes numériques, caractères spéciaux non systématiques, etc.). J’ai créé des fonctions pour normaliser ces différentes données afin qu’elles soient homogènes et exploitables. Pour ce faire, j’ai notamment utilisé les expressions régulières (bibliothèque re de Python) ainsi que la bibliothèque unicodedata pour la suppression des caractères spéciaux.</w:t>
      </w:r>
    </w:p>
    <w:p>
      <w:pPr>
        <w:spacing w:after="160" w:line="276"/>
        <w:jc w:val="both"/>
      </w:pPr>
      <w:r>
        <w:rPr>
          <w:rFonts w:ascii="Calibri" w:cs="Calibri" w:eastAsia="Calibri" w:hAnsi="Calibri"/>
          <w:color w:val="3C4A52"/>
          <w:sz w:val="22"/>
          <w:szCs w:val="22"/>
        </w:rPr>
        <w:t xml:space="preserve">Une fois cela fait, j’ai pu créer la connexion à la base de données et mettre en place le processus d’importation en respectant le schéma (MCD) développé par mes camarades. Il a notamment fallu gérer les doublons, l’ajout des exploitants lorsqu’ils n’existaient pas ainsi que le calcul et le stockage des classifications. Ce dernier point a nécessité des modifications au cours du projet afin de nous adapter aux demandes de l’utilisateur.</w:t>
      </w:r>
    </w:p>
    <w:p>
      <w:pPr>
        <w:spacing w:after="160" w:line="276"/>
        <w:jc w:val="both"/>
      </w:pPr>
      <w:r>
        <w:rPr>
          <w:rFonts w:ascii="Calibri" w:cs="Calibri" w:eastAsia="Calibri" w:hAnsi="Calibri"/>
          <w:color w:val="3C4A52"/>
          <w:sz w:val="22"/>
          <w:szCs w:val="22"/>
        </w:rPr>
        <w:t xml:space="preserve">J’ai également assisté mes camarades sur leurs tâches et été assisté par eux sur les miennes. J’ai aussi géré avec Maxence la centralisation des questions et la communication des documents.</w:t>
      </w:r>
    </w:p>
    <w:p>
      <w:pPr>
        <w:pStyle w:val="Heading2"/>
        <w:pBdr>
          <w:bottom w:val="single" w:color="2E8B6B" w:sz="6" w:space="4"/>
        </w:pBdr>
        <w:spacing w:after="120" w:before="300"/>
      </w:pPr>
      <w:r>
        <w:rPr>
          <w:rFonts w:ascii="Calibri" w:cs="Calibri" w:eastAsia="Calibri" w:hAnsi="Calibri"/>
          <w:b/>
          <w:bCs/>
          <w:color w:val="13546E"/>
          <w:sz w:val="26"/>
          <w:szCs w:val="26"/>
        </w:rPr>
        <w:t xml:space="preserve">Lien avec l’apprentissages critique</w:t>
      </w:r>
    </w:p>
    <w:p>
      <w:pPr>
        <w:spacing w:after="160" w:line="276"/>
        <w:jc w:val="both"/>
      </w:pPr>
      <w:r>
        <w:rPr>
          <w:rFonts w:ascii="Calibri" w:cs="Calibri" w:eastAsia="Calibri" w:hAnsi="Calibri"/>
          <w:color w:val="3C4A52"/>
          <w:sz w:val="22"/>
          <w:szCs w:val="22"/>
        </w:rPr>
        <w:t xml:space="preserve">Je pense que l’apprentissage critique que j’ai le plus validé dans ce projet est : « Réaliser que les sources de données ont des caractéristiques propres à considérer (variation, précision, mise à jour, etc.) ». En effet, travailler avec de vraies données professionnelles m’a permis de me rendre compte que ce n’est pas parce que l’on est en entreprise que toutes les données sont propres et directement exploitables. Au contraire, il faut souvent redoubler d’efforts afin de pouvoir accepter et exploiter des données d’origines très variées. Le fait que, d’un fichier à l’autre, les noms des colonnes, les bactéries testées ou encore l’écriture des valeurs puissent changer m’a obligé à m’adapter et à porter une attention particulière à la robustesse des traitements. Cela a été d’autant plus vrai dans la partie de normalisation. Cette expérience m’a permis de mieux comprendre les contraintes liées à l’exploitation de données réelles et l’importance de prendre en compte les spécificités de chaque source de données.</w:t>
      </w:r>
    </w:p>
    <w:p>
      <w:pPr>
        <w:spacing w:after="0" w:before="200"/>
      </w:pPr>
      <w:r>
        <w:rPr>
          <w:rFonts w:ascii="Calibri" w:cs="Calibri" w:eastAsia="Calibri" w:hAnsi="Calibri"/>
          <w:color w:val="3C4A52"/>
          <w:sz w:val="22"/>
          <w:szCs w:val="22"/>
        </w:rPr>
        <w:t xml:space="preserve"/>
      </w:r>
    </w:p>
    <w:tbl>
      <w:tblPr>
        <w:tblW w:type="dxa" w:w="9026"/>
        <w:tblBorders>
          <w:top w:val="none"/>
          <w:left w:val="single" w:color="2E8B6B" w:sz="24"/>
          <w:bottom w:val="none"/>
          <w:right w:val="none"/>
          <w:insideH w:val="none"/>
          <w:insideV w:val="none"/>
        </w:tblBorders>
      </w:tblPr>
      <w:tblGrid>
        <w:gridCol w:w="9026"/>
      </w:tblGrid>
      <w:tr>
        <w:tc>
          <w:tcPr>
            <w:tcW w:type="dxa" w:w="9026"/>
            <w:shd w:fill="E8F4EE" w:val="clear"/>
            <w:tcMar>
              <w:top w:type="dxa" w:w="140"/>
              <w:left w:type="dxa" w:w="220"/>
              <w:bottom w:type="dxa" w:w="140"/>
              <w:right w:type="dxa" w:w="220"/>
            </w:tcMar>
          </w:tcPr>
          <w:p>
            <w:pPr>
              <w:spacing w:after="0"/>
            </w:pPr>
            <w:r>
              <w:rPr>
                <w:rFonts w:ascii="Calibri" w:cs="Calibri" w:eastAsia="Calibri" w:hAnsi="Calibri"/>
                <w:i/>
                <w:iCs/>
                <w:color w:val="3C4A52"/>
                <w:sz w:val="20"/>
                <w:szCs w:val="20"/>
              </w:rPr>
              <w:t xml:space="preserve">« Cette expérience m’a permis de mieux comprendre les contraintes liées à l’exploitation de données réelles et l’importance de prendre en compte les spécificités de chaque source de données. »</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D" w:sz="4" w:space="6"/>
      </w:pBdr>
      <w:tabs>
        <w:tab w:val="right" w:pos="9026"/>
      </w:tabs>
      <w:spacing w:before="60"/>
    </w:pPr>
    <w:r>
      <w:rPr>
        <w:rFonts w:ascii="Calibri" w:cs="Calibri" w:eastAsia="Calibri" w:hAnsi="Calibri"/>
        <w:color w:val="6B7A82"/>
        <w:sz w:val="16"/>
        <w:szCs w:val="16"/>
      </w:rPr>
      <w:t xml:space="preserve">Louis RENARD · BUT Science des Données (Niort)</w:t>
    </w:r>
    <w:r>
      <w:rPr>
        <w:rFonts w:ascii="Calibri" w:cs="Calibri" w:eastAsia="Calibri" w:hAnsi="Calibri"/>
        <w:color w:val="6B7A82"/>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546E" w:sz="6" w:space="6"/>
      </w:pBdr>
      <w:tabs>
        <w:tab w:val="right" w:pos="9026"/>
      </w:tabs>
      <w:spacing w:after="0"/>
    </w:pPr>
    <w:r>
      <w:rPr>
        <w:rFonts w:ascii="Calibri" w:cs="Calibri" w:eastAsia="Calibri" w:hAnsi="Calibri"/>
        <w:b/>
        <w:bCs/>
        <w:color w:val="13546E"/>
        <w:sz w:val="18"/>
        <w:szCs w:val="18"/>
      </w:rPr>
      <w:t xml:space="preserve">CapriTrack</w:t>
    </w:r>
    <w:r>
      <w:rPr>
        <w:rFonts w:ascii="Calibri" w:cs="Calibri" w:eastAsia="Calibri" w:hAnsi="Calibri"/>
        <w:color w:val="6B7A82"/>
        <w:sz w:val="18"/>
        <w:szCs w:val="18"/>
      </w:rPr>
      <w:t xml:space="preserve">  ·  Laboratoire Qualyse</w:t>
    </w:r>
    <w:r>
      <w:rPr>
        <w:rFonts w:ascii="Calibri" w:cs="Calibri" w:eastAsia="Calibri" w:hAnsi="Calibri"/>
        <w:color w:val="6B7A82"/>
        <w:sz w:val="18"/>
        <w:szCs w:val="18"/>
      </w:rPr>
      <w:t xml:space="preserve">	Compte rendu individuel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4A5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2026-06-10T21:02:44.410Z</dcterms:created>
  <dcterms:modified xsi:type="dcterms:W3CDTF">2026-06-10T21:02:44.423Z</dcterms:modified>
</cp:coreProperties>
</file>

<file path=docProps/custom.xml><?xml version="1.0" encoding="utf-8"?>
<Properties xmlns="http://schemas.openxmlformats.org/officeDocument/2006/custom-properties" xmlns:vt="http://schemas.openxmlformats.org/officeDocument/2006/docPropsVTypes"/>
</file>