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Digital </w:t>
      </w:r>
      <w:r w:rsidDel="00000000" w:rsidR="00000000" w:rsidRPr="00000000">
        <w:rPr>
          <w:rFonts w:ascii="Courier New" w:cs="Courier New" w:eastAsia="Courier New" w:hAnsi="Courier New"/>
          <w:b w:val="1"/>
          <w:sz w:val="28"/>
          <w:szCs w:val="28"/>
          <w:rtl w:val="0"/>
        </w:rPr>
        <w:t xml:space="preserve">C</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ataloguing and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Inventory Management of artifacts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ourier New" w:cs="Courier New" w:eastAsia="Courier New" w:hAnsi="Courier New"/>
          <w:b w:val="1"/>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for Museo Bulawan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 Capstone Project Presented to the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Faculty of The College of Computing and Multimedia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Studies at Camarines Norte State College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282" w:right="304"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Daet, Camarines Norte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 Partial Fulfillment of the Requirements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for the Degree Bachelor of Science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 Information Systems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 w:right="1952"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1D">
      <w:pPr>
        <w:pStyle w:val="Heading2"/>
        <w:ind w:left="282" w:right="300" w:firstLine="0"/>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Allen Jepte B. Mateo</w:t>
      </w:r>
    </w:p>
    <w:p w:rsidR="00000000" w:rsidDel="00000000" w:rsidP="00000000" w:rsidRDefault="00000000" w:rsidRPr="00000000" w14:paraId="0000001E">
      <w:pPr>
        <w:pStyle w:val="Heading2"/>
        <w:ind w:left="282" w:right="300" w:firstLine="0"/>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Crisshane Mirr Hillary M. Delos Santos</w:t>
      </w:r>
    </w:p>
    <w:p w:rsidR="00000000" w:rsidDel="00000000" w:rsidP="00000000" w:rsidRDefault="00000000" w:rsidRPr="00000000" w14:paraId="0000001F">
      <w:pPr>
        <w:pStyle w:val="Heading2"/>
        <w:ind w:left="282" w:right="300" w:firstLine="0"/>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Jefferson M. Talagtag</w:t>
      </w:r>
    </w:p>
    <w:p w:rsidR="00000000" w:rsidDel="00000000" w:rsidP="00000000" w:rsidRDefault="00000000" w:rsidRPr="00000000" w14:paraId="00000020">
      <w:pPr>
        <w:pStyle w:val="Heading2"/>
        <w:ind w:left="282" w:right="300" w:firstLine="0"/>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John Russel A. Guiwan</w:t>
      </w:r>
    </w:p>
    <w:p w:rsidR="00000000" w:rsidDel="00000000" w:rsidP="00000000" w:rsidRDefault="00000000" w:rsidRPr="00000000" w14:paraId="00000021">
      <w:pPr>
        <w:pStyle w:val="Heading2"/>
        <w:ind w:left="282" w:right="300" w:firstLine="0"/>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Louis Michael Ricafrente</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297"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January 2025</w:t>
      </w:r>
    </w:p>
    <w:p w:rsidR="00000000" w:rsidDel="00000000" w:rsidP="00000000" w:rsidRDefault="00000000" w:rsidRPr="00000000" w14:paraId="0000002D">
      <w:pPr>
        <w:widowControl w:val="1"/>
        <w:spacing w:before="240" w:lineRule="auto"/>
        <w:jc w:val="center"/>
        <w:rPr>
          <w:rFonts w:ascii="Courier New" w:cs="Courier New" w:eastAsia="Courier New" w:hAnsi="Courier New"/>
          <w:b w:val="1"/>
          <w:color w:val="000000"/>
          <w:sz w:val="24"/>
          <w:szCs w:val="24"/>
          <w:highlight w:val="white"/>
        </w:rPr>
      </w:pPr>
      <w:r w:rsidDel="00000000" w:rsidR="00000000" w:rsidRPr="00000000">
        <w:rPr>
          <w:rFonts w:ascii="Courier New" w:cs="Courier New" w:eastAsia="Courier New" w:hAnsi="Courier New"/>
          <w:b w:val="1"/>
          <w:color w:val="000000"/>
          <w:sz w:val="24"/>
          <w:szCs w:val="24"/>
          <w:highlight w:val="white"/>
          <w:rtl w:val="0"/>
        </w:rPr>
        <w:t xml:space="preserve">CHAPTER 1</w:t>
      </w:r>
    </w:p>
    <w:p w:rsidR="00000000" w:rsidDel="00000000" w:rsidP="00000000" w:rsidRDefault="00000000" w:rsidRPr="00000000" w14:paraId="0000002E">
      <w:pPr>
        <w:widowControl w:val="1"/>
        <w:spacing w:before="240" w:lineRule="auto"/>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2F">
      <w:pPr>
        <w:widowControl w:val="1"/>
        <w:spacing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color w:val="000000"/>
          <w:sz w:val="24"/>
          <w:szCs w:val="24"/>
          <w:rtl w:val="0"/>
        </w:rPr>
        <w:t xml:space="preserve">Context of the study</w:t>
      </w:r>
      <w:r w:rsidDel="00000000" w:rsidR="00000000" w:rsidRPr="00000000">
        <w:rPr>
          <w:rtl w:val="0"/>
        </w:rPr>
      </w:r>
    </w:p>
    <w:p w:rsidR="00000000" w:rsidDel="00000000" w:rsidP="00000000" w:rsidRDefault="00000000" w:rsidRPr="00000000" w14:paraId="00000030">
      <w:pPr>
        <w:widowControl w:val="1"/>
        <w:spacing w:before="240"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Museo Bulawan is the province's community museum pursuing the preservation and promotion of the rich heritage of the province. It is also responsible for building the local identity of "CamNorteños" by nurturing an even greater appreciation of arts, culture, history, and museology by way of properly planned exhibits, activities, and courses of study.</w:t>
      </w:r>
    </w:p>
    <w:p w:rsidR="00000000" w:rsidDel="00000000" w:rsidP="00000000" w:rsidRDefault="00000000" w:rsidRPr="00000000" w14:paraId="00000031">
      <w:pPr>
        <w:widowControl w:val="1"/>
        <w:spacing w:line="480" w:lineRule="auto"/>
        <w:ind w:firstLine="720"/>
        <w:jc w:val="both"/>
        <w:rPr>
          <w:rFonts w:ascii="Courier New" w:cs="Courier New" w:eastAsia="Courier New" w:hAnsi="Courier New"/>
          <w:color w:val="000000"/>
          <w:sz w:val="24"/>
          <w:szCs w:val="24"/>
        </w:rPr>
      </w:pPr>
      <w:bookmarkStart w:colFirst="0" w:colLast="0" w:name="_heading=h.s7faxmt8jtyz" w:id="0"/>
      <w:bookmarkEnd w:id="0"/>
      <w:r w:rsidDel="00000000" w:rsidR="00000000" w:rsidRPr="00000000">
        <w:rPr>
          <w:rFonts w:ascii="Courier New" w:cs="Courier New" w:eastAsia="Courier New" w:hAnsi="Courier New"/>
          <w:color w:val="000000"/>
          <w:sz w:val="24"/>
          <w:szCs w:val="24"/>
          <w:rtl w:val="0"/>
        </w:rPr>
        <w:t xml:space="preserve">In accordance with national regulations, the museum operates under the guidance of Republic Act No. 4846, also known as the Cultural Properties Preservation and Protection Act.</w:t>
        <w:tab/>
        <w:t xml:space="preserve"> This law, amended under Presidential Decree No. 374, establishes cultural conservation as a national priority, thus institutions like Museo Bulawan are obliged to maintain the historical integrity and raising public awareness regarding cultural heritage. These legislative requirements push the museum to ensure that the provincial historical artifacts, documents, and artworks are protected. In compliance with such requirements, Museo Bulawan ensures that its collection is duly documented, conserved, and guarded against degradation, theft, or illicit export. The museum is constantly pursuing research, conservation, and restoration work in order to maintain the integrity and provenance of cultural artifacts and thus assure the realization of the national promise to heritage conservation. In the observance of these legislative requirements, Museo Bulawan becomes a more effective agency of cultural advocacy and people's participation, thus ensuring that the future generations will have a sense of belongingness with their historical and artistic heritage. Museo Bulawan actively facilitates an extensive range of activities on the side of both preservation history and public relations. This entails facilitation of enriching and properly planned visitor tours and museum excursions. Alongside this, the museum also has the highly meticulous function of artifact record administration, with significant documentation, preservation work, and archival maintenance to promote the integrity of historical contents. Moreover, the scheduling and activity coordination are instrumental to the museum’s proactive involvement in the community. Ensuring the availability of Museo Bulawan as a center for learning and appreciation of heritage requires defined strategies and plans for the coordination of lectures, guided tours, and cultural exhibitions.</w:t>
      </w:r>
    </w:p>
    <w:p w:rsidR="00000000" w:rsidDel="00000000" w:rsidP="00000000" w:rsidRDefault="00000000" w:rsidRPr="00000000" w14:paraId="00000032">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To enhance the efficiency of workflows and the integrity of information, the museum is shifting to administrative digital management systems. This modernization initiative aligns with Republic Act No. 11333, or the National Museum of the Philippines Act, which aims to streamline the operations of museums through digitization. The law aims to enhance access to historical and cultural materials by providing data management facilities which makes museums adaptable, accessible, and able to fulfill their mandates.</w:t>
      </w:r>
    </w:p>
    <w:p w:rsidR="00000000" w:rsidDel="00000000" w:rsidP="00000000" w:rsidRDefault="00000000" w:rsidRPr="00000000" w14:paraId="00000033">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museum’s daily operations involve handling a vast array of historical documents and other files alongside their documents, all of which remain undone manually to this day. These functions comprise control of in and out flows of materials, archiving, and dealings with various parties in interest like students, researchers, and cultural enthusiasts. Apart from the mentioned administrative functions, Museo Bulawan engages in education activities as its primary responsibility, arranging for programs, lectures, and community gatherings—further reinforcing its status as a cultural and historical hub. In response to modern conservation standards, Republic Act No. 10066, known as the National Cultural Heritage Act of 2009, calls upon heritage institutions to implement measures of sustainable conservation. This legislation focuses on modern methods of documentation and safeguarding of cultural materials, particularly the need to emphasize digital archiving. Museo Bulawan seeks to align with these practices by developing a visitor information system and transitioning towards paperless documentation,ensuring that its collections are well preserved while remaining easily accessible to scholars and the public.</w:t>
      </w:r>
    </w:p>
    <w:p w:rsidR="00000000" w:rsidDel="00000000" w:rsidP="00000000" w:rsidRDefault="00000000" w:rsidRPr="00000000" w14:paraId="00000034">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rtl w:val="0"/>
        </w:rPr>
        <w:t xml:space="preserve">Another </w:t>
      </w:r>
      <w:r w:rsidDel="00000000" w:rsidR="00000000" w:rsidRPr="00000000">
        <w:rPr>
          <w:rFonts w:ascii="Courier New" w:cs="Courier New" w:eastAsia="Courier New" w:hAnsi="Courier New"/>
          <w:color w:val="000000"/>
          <w:sz w:val="24"/>
          <w:szCs w:val="24"/>
          <w:rtl w:val="0"/>
        </w:rPr>
        <w:t xml:space="preserve">critical aspect of the museum’s responsibilities</w:t>
      </w:r>
      <w:r w:rsidDel="00000000" w:rsidR="00000000" w:rsidRPr="00000000">
        <w:rPr>
          <w:rFonts w:ascii="Courier New" w:cs="Courier New" w:eastAsia="Courier New" w:hAnsi="Courier New"/>
          <w:color w:val="000000"/>
          <w:rtl w:val="0"/>
        </w:rPr>
        <w:t xml:space="preserve"> is proper cataloging and preservation of cultural artifacts. The Republic Act No. 8492, or the National Museum Act of 1998, specifically emphasizes the need for museums to keep orderly accounts </w:t>
      </w:r>
      <w:r w:rsidDel="00000000" w:rsidR="00000000" w:rsidRPr="00000000">
        <w:rPr>
          <w:rFonts w:ascii="Courier New" w:cs="Courier New" w:eastAsia="Courier New" w:hAnsi="Courier New"/>
          <w:color w:val="000000"/>
          <w:sz w:val="24"/>
          <w:szCs w:val="24"/>
          <w:rtl w:val="0"/>
        </w:rPr>
        <w:t xml:space="preserve">of their collections </w:t>
      </w:r>
      <w:r w:rsidDel="00000000" w:rsidR="00000000" w:rsidRPr="00000000">
        <w:rPr>
          <w:rFonts w:ascii="Courier New" w:cs="Courier New" w:eastAsia="Courier New" w:hAnsi="Courier New"/>
          <w:color w:val="000000"/>
          <w:rtl w:val="0"/>
        </w:rPr>
        <w:t xml:space="preserve">and make historical records open to the public. </w:t>
      </w:r>
      <w:r w:rsidDel="00000000" w:rsidR="00000000" w:rsidRPr="00000000">
        <w:rPr>
          <w:rFonts w:ascii="Courier New" w:cs="Courier New" w:eastAsia="Courier New" w:hAnsi="Courier New"/>
          <w:color w:val="000000"/>
          <w:sz w:val="24"/>
          <w:szCs w:val="24"/>
          <w:rtl w:val="0"/>
        </w:rPr>
        <w:t xml:space="preserve">This legislative framework</w:t>
      </w:r>
      <w:r w:rsidDel="00000000" w:rsidR="00000000" w:rsidRPr="00000000">
        <w:rPr>
          <w:rFonts w:ascii="Courier New" w:cs="Courier New" w:eastAsia="Courier New" w:hAnsi="Courier New"/>
          <w:color w:val="000000"/>
          <w:rtl w:val="0"/>
        </w:rPr>
        <w:t xml:space="preserve"> enables the goal of Museo Bulawan to ensure that its artifacts are documented, preserved, and received for educational and research activities. The museum will be able to create an orderly repository of cultural heritage through digitization which will make authentic historical data more accessible.</w:t>
      </w:r>
      <w:r w:rsidDel="00000000" w:rsidR="00000000" w:rsidRPr="00000000">
        <w:rPr>
          <w:rtl w:val="0"/>
        </w:rPr>
      </w:r>
    </w:p>
    <w:p w:rsidR="00000000" w:rsidDel="00000000" w:rsidP="00000000" w:rsidRDefault="00000000" w:rsidRPr="00000000" w14:paraId="00000035">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Museo Bulawan aims to change its operations and improve the quality-of-service delivery by adopting new technology. The planned change will achieve greater internal efficiency and also improve the experience of visitors through simple processes of donating, lending of artifacts, easy retrieval of documents, and effective booking and scheduling. Museo Bulawan will expand but will still hold on to its primary goal of safeguarding and showcasing the rich cultural history of Camarines Norte while facing a more technologically advanced society. In this way, the museum meets the legal and moral obligations of cultural institutions in the country to safeguard its patrimony while increasing the need for intervention.</w:t>
      </w:r>
    </w:p>
    <w:p w:rsidR="00000000" w:rsidDel="00000000" w:rsidP="00000000" w:rsidRDefault="00000000" w:rsidRPr="00000000" w14:paraId="00000036">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37">
      <w:pPr>
        <w:widowControl w:val="1"/>
        <w:spacing w:line="48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General Objectives</w:t>
      </w:r>
      <w:r w:rsidDel="00000000" w:rsidR="00000000" w:rsidRPr="00000000">
        <w:rPr>
          <w:rtl w:val="0"/>
        </w:rPr>
      </w:r>
    </w:p>
    <w:p w:rsidR="00000000" w:rsidDel="00000000" w:rsidP="00000000" w:rsidRDefault="00000000" w:rsidRPr="00000000" w14:paraId="00000038">
      <w:pPr>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project's goal is to create a web-based management system that will improve Museo Bulawan's operational efficiency by addressing various challenges in workflow management and transaction processing issues. Modernizing processes and integrating digital solutions, this should improve administrative tasks, improve record-keeping accuracy, and facilitate more seamless interactions between museum employees and visitors. To provide a more effective and user-friendly experience for all the museum staff and visitors, additionally this project also aims to optimize resource management and reduce manual workload.</w:t>
      </w:r>
    </w:p>
    <w:p w:rsidR="00000000" w:rsidDel="00000000" w:rsidP="00000000" w:rsidRDefault="00000000" w:rsidRPr="00000000" w14:paraId="00000039">
      <w:pPr>
        <w:spacing w:line="480" w:lineRule="auto"/>
        <w:ind w:firstLine="720"/>
        <w:jc w:val="both"/>
        <w:rPr>
          <w:rFonts w:ascii="Courier New" w:cs="Courier New" w:eastAsia="Courier New" w:hAnsi="Courier New"/>
          <w:b w:val="1"/>
          <w:color w:val="000000"/>
          <w:sz w:val="24"/>
          <w:szCs w:val="24"/>
        </w:rPr>
      </w:pPr>
      <w:r w:rsidDel="00000000" w:rsidR="00000000" w:rsidRPr="00000000">
        <w:rPr>
          <w:rtl w:val="0"/>
        </w:rPr>
      </w:r>
    </w:p>
    <w:p w:rsidR="00000000" w:rsidDel="00000000" w:rsidP="00000000" w:rsidRDefault="00000000" w:rsidRPr="00000000" w14:paraId="0000003A">
      <w:pPr>
        <w:spacing w:line="480" w:lineRule="auto"/>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Specific Objectives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 analyze the operational challenges in the day-to-day operations of Museo Bulawan, such as inventory management and cataloging, to identify areas for improvement and efficiency.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 design the features of the proposed Digital cataloguing and inventory management for Museo Bulawan.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 evaluate the level of usability and effectiveness of the museo bulawan system using ISO 25010 criteria in terms of:</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functionalsuitability</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performance efficiency</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compatibility</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reliability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maintainability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flexibility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line="48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Research Questions</w:t>
      </w:r>
    </w:p>
    <w:p w:rsidR="00000000" w:rsidDel="00000000" w:rsidP="00000000" w:rsidRDefault="00000000" w:rsidRPr="00000000" w14:paraId="0000004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This Study aims to address challenges that occur in the museum’s day-to-day workflow by exploring this research question that focuses on the benefits of implementing a web-based management information system. It aims to determine how digitizing scheduling, document and inventory management and visitor monitoring can reduce reliance on physical records and improve overall operations.</w:t>
      </w:r>
    </w:p>
    <w:p w:rsidR="00000000" w:rsidDel="00000000" w:rsidP="00000000" w:rsidRDefault="00000000" w:rsidRPr="00000000" w14:paraId="00000049">
      <w:pPr>
        <w:spacing w:line="480" w:lineRule="auto"/>
        <w:jc w:val="both"/>
        <w:rPr>
          <w:rFonts w:ascii="Courier New" w:cs="Courier New" w:eastAsia="Courier New" w:hAnsi="Courier New"/>
          <w:sz w:val="24"/>
          <w:szCs w:val="24"/>
        </w:rPr>
      </w:pPr>
      <w:bookmarkStart w:colFirst="0" w:colLast="0" w:name="_heading=h.jnjejn3tw5f9" w:id="1"/>
      <w:bookmarkEnd w:id="1"/>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What are the operational challenges in the day-to-day operations of Museo Bulawan?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What features can be developed for the proposed Museo Bulawan system?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 what level is the Museo Bulawan system usable and effective in terms of: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tab/>
        <w:t xml:space="preserve">Functional suitability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w:t>
        <w:tab/>
        <w:t xml:space="preserve">Performance Efficiency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w:t>
        <w:tab/>
        <w:t xml:space="preserve">Compatibility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w:t>
        <w:tab/>
        <w:t xml:space="preserve">Reliability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w:t>
        <w:tab/>
        <w:t xml:space="preserve">Security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w:t>
        <w:tab/>
        <w:t xml:space="preserve">Maintainability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w:t>
        <w:tab/>
        <w:t xml:space="preserve">Flexibility</w:t>
      </w:r>
    </w:p>
    <w:p w:rsidR="00000000" w:rsidDel="00000000" w:rsidP="00000000" w:rsidRDefault="00000000" w:rsidRPr="00000000" w14:paraId="00000055">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spacing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Scope and limitations</w:t>
      </w:r>
    </w:p>
    <w:p w:rsidR="00000000" w:rsidDel="00000000" w:rsidP="00000000" w:rsidRDefault="00000000" w:rsidRPr="00000000" w14:paraId="00000057">
      <w:pPr>
        <w:spacing w:line="480" w:lineRule="auto"/>
        <w:ind w:firstLine="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scope of this study focuses on the development, implementation, and evaluation of a web-based management information system to digitize Museo Bulawan’s internal operations by streamlining administrative processes, improving document management, and enhancing artifact tracking. The research will be conducted in Caamrines Norte, Philippines. The study covers the and will address the analysis of operational challenges, the design of the proposed digital cataloging and inventory management system, and the evaluation of its usability and effectiveness based on ISO 25010 criteria. By integrating these objectives, the study aims to develop a system that enhances efficiency, reduces manual workload, and modernizes the museum’s internal operations. This system aims to handle the museum’s repetitive administrative processes by automating visitor appointment scheduling, the donation and lending process, and visitor monitoring to minimize the museum’s workload. Additionally, the system will feature a document management function. That will serve as centralized digital repository for cataloging and organizing museum records. It will also include document tracking to enable efficient data retrieval. Building upon this, digital donation forms will be implemented to streamline the process of capturing, validating, and storing donor and artifact information. The system will also incorporate artifact management features that will allow digital tracking of artifacts, including their acquisition, status, storage and donation records.</w:t>
      </w:r>
    </w:p>
    <w:p w:rsidR="00000000" w:rsidDel="00000000" w:rsidP="00000000" w:rsidRDefault="00000000" w:rsidRPr="00000000" w14:paraId="00000058">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there are several limitations to this study. The research is limited to museums in Camarines Norte, which may affect the generalizability of the findings to other regions with different practices. It will not have a mobile application features, since complex analytics equipment is out of the study's scope. Also, the system will include a publicly accessible News and Events page on the museum’s website, managed through the admin panel. This feature is intended solely for informational purposes, providing visitors with updates about museum activities. It does not involve promotional campaigns, social media marketing, or visitor engagement tracking, as the system is focused entirely on enhancing internal management and operational efficiency within the museum. Furthermore, the emphasis is solely on improving digital workflow, does not involve modifications to the physical infrastructure of the museum or exhibit updates. The study assumes that necessary IT infrastructure, such as internet access and hardware, are already established and do not factor in its implementation.</w:t>
      </w:r>
    </w:p>
    <w:p w:rsidR="00000000" w:rsidDel="00000000" w:rsidP="00000000" w:rsidRDefault="00000000" w:rsidRPr="00000000" w14:paraId="00000059">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establishing clear scope and limitations, this study ensures a focused and achievable approach to museum modernization, laying the groundwork for a more efficient, organized, and accessible management system. By establishing this scalable framework, the system ensures that Museo Bulawan remains adaptable to technological advancements and evolving visitor expectations in the future.</w:t>
      </w:r>
    </w:p>
    <w:p w:rsidR="00000000" w:rsidDel="00000000" w:rsidP="00000000" w:rsidRDefault="00000000" w:rsidRPr="00000000" w14:paraId="0000005A">
      <w:pPr>
        <w:spacing w:line="480" w:lineRule="auto"/>
        <w:ind w:firstLine="720"/>
        <w:jc w:val="both"/>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Significance of the Study</w:t>
      </w:r>
    </w:p>
    <w:p w:rsidR="00000000" w:rsidDel="00000000" w:rsidP="00000000" w:rsidRDefault="00000000" w:rsidRPr="00000000" w14:paraId="0000005C">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significant in modernizing museum operations for the effective preservation of culture through the implementation of a web-based management system that improves the functionality of Museo Bulawan.  By streamlining operations through automated visitor tracking, document management, and scheduling, which leads to lower labor expenditures, reduced mistakes, and increased reliability in administrative functions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With easier access to data and digital procedures, employee productivity increases, as do the efficiency and responsiveness of internal processes, leading to the internal and external effectiveness of a museum management system. The system also enhances donor and artifact management through accurate record storage, preservation of cultural materials, and their cataloging and retrieval, thus, improving both preservation efforts and accessibility for researchers and visitors alike.</w:t>
      </w:r>
    </w:p>
    <w:p w:rsidR="00000000" w:rsidDel="00000000" w:rsidP="00000000" w:rsidRDefault="00000000" w:rsidRPr="00000000" w14:paraId="0000005E">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addition to operational improvements, the study seeks to improve user experience and engagement through an integrated online appointment scheduling feature which gives users the ability to book appointments as well as minimizes user waiting time</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This will enable greater digital interaction as well as access to museum services which will boost engagement with the Museo, making its programs, events, and exhibits more open to the public. This increased accessibility not only enhances the overall museum experience but also fosters a stronger connection between the community and its cultural heritage. This move reiterates Museo Bulawan's commitment to preserving history by ensuring correct documentation and administration of artifacts. Digitization of records avoids data loss, upholds authenticity, and guarantees long-term viability in museum management, ensuring the institution's position as a keeper of cultural identity.</w:t>
      </w:r>
    </w:p>
    <w:p w:rsidR="00000000" w:rsidDel="00000000" w:rsidP="00000000" w:rsidRDefault="00000000" w:rsidRPr="00000000" w14:paraId="0000005F">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benefits a diverse group of stakeholders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associated with Museo Bulawan such as its administrators, including its administrators and staff, visitors, donators, researchers, educators, government agencies, and future generations.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All these stakeholders play a significant function in the successful operation of the museum, while their interaction within the system gives it efficacy as well as permanence.</w:t>
      </w:r>
    </w:p>
    <w:p w:rsidR="00000000" w:rsidDel="00000000" w:rsidP="00000000" w:rsidRDefault="00000000" w:rsidRPr="00000000" w14:paraId="00000060">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Museo Bulawan’s administrators and staff</w:t>
      </w:r>
      <w:r w:rsidDel="00000000" w:rsidR="00000000" w:rsidRPr="00000000">
        <w:rPr>
          <w:rFonts w:ascii="Courier New" w:cs="Courier New" w:eastAsia="Courier New" w:hAnsi="Courier New"/>
          <w:sz w:val="24"/>
          <w:szCs w:val="24"/>
          <w:rtl w:val="0"/>
        </w:rPr>
        <w:t xml:space="preserve"> are among the primary stakeholders, as the system streamlines daily operations, minimizes workloads, and increases administrative effectiveness. Through automation of scheduling, visitor monitoring, and document organization, museum staff would be able to concentrate more on enhancing services and ensuring better cultural preservation. This improvement in efficiency allows staff to allocate more time to research, curation, and public outreach, eventually enriching the museum experience.</w:t>
      </w:r>
    </w:p>
    <w:p w:rsidR="00000000" w:rsidDel="00000000" w:rsidP="00000000" w:rsidRDefault="00000000" w:rsidRPr="00000000" w14:paraId="00000061">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Visitors,</w:t>
      </w:r>
      <w:r w:rsidDel="00000000" w:rsidR="00000000" w:rsidRPr="00000000">
        <w:rPr>
          <w:rFonts w:ascii="Courier New" w:cs="Courier New" w:eastAsia="Courier New" w:hAnsi="Courier New"/>
          <w:sz w:val="24"/>
          <w:szCs w:val="24"/>
          <w:rtl w:val="0"/>
        </w:rPr>
        <w:t xml:space="preserve"> both local and international, will benefit from improved accessibility,</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real-time appointment setting, and better engagement with exhibitions and programs. The ease of digital services enables visitors to have a more well-planned museum visit, which makes the museum more inviting and interactive. Donors and artifact donors will also have a clearer and more effective donation management process, with accurate documentation and safe storage of precious cultural heritage. Building trust with donors inspires greater donations, enriching the museum's collection and historical documentation.</w:t>
      </w:r>
    </w:p>
    <w:p w:rsidR="00000000" w:rsidDel="00000000" w:rsidP="00000000" w:rsidRDefault="00000000" w:rsidRPr="00000000" w14:paraId="00000062">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Researchers</w:t>
      </w:r>
      <w:r w:rsidDel="00000000" w:rsidR="00000000" w:rsidRPr="00000000">
        <w:rPr>
          <w:rFonts w:ascii="Courier New" w:cs="Courier New" w:eastAsia="Courier New" w:hAnsi="Courier New"/>
          <w:sz w:val="24"/>
          <w:szCs w:val="24"/>
          <w:rtl w:val="0"/>
        </w:rPr>
        <w:t xml:space="preserve"> such as historians and scholars will have better access to systematically digitalized records, providing easier research about the cultural heritage of the province. Through a vast digital archive, scholars can better analyze and interpret historical information, making new discoveries and gaining a deeper understanding of the region's cultural evolution.</w:t>
      </w:r>
    </w:p>
    <w:p w:rsidR="00000000" w:rsidDel="00000000" w:rsidP="00000000" w:rsidRDefault="00000000" w:rsidRPr="00000000" w14:paraId="00000063">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Educators and students</w:t>
      </w:r>
      <w:r w:rsidDel="00000000" w:rsidR="00000000" w:rsidRPr="00000000">
        <w:rPr>
          <w:rFonts w:ascii="Courier New" w:cs="Courier New" w:eastAsia="Courier New" w:hAnsi="Courier New"/>
          <w:sz w:val="24"/>
          <w:szCs w:val="24"/>
          <w:rtl w:val="0"/>
        </w:rPr>
        <w:t xml:space="preserve"> are also significant stakeholders, as digitalized museum records provide enhanced learning opportunities. Educators can integrate     museum resources into their lessons, and students can engage in interactive learning experiences. The availability of digitized artifact records and historical data supports academic research as well as induces cultural consciousness within young generations such that history appears relevant and usable in learning.</w:t>
      </w:r>
    </w:p>
    <w:p w:rsidR="00000000" w:rsidDel="00000000" w:rsidP="00000000" w:rsidRDefault="00000000" w:rsidRPr="00000000" w14:paraId="00000064">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The provincial government and cultural agencies</w:t>
      </w:r>
      <w:r w:rsidDel="00000000" w:rsidR="00000000" w:rsidRPr="00000000">
        <w:rPr>
          <w:rFonts w:ascii="Courier New" w:cs="Courier New" w:eastAsia="Courier New" w:hAnsi="Courier New"/>
          <w:sz w:val="24"/>
          <w:szCs w:val="24"/>
          <w:rtl w:val="0"/>
        </w:rPr>
        <w:t xml:space="preserve"> will also benefit from the project’s alignment with efforts to promote cultural awareness and modernization through digital transformation. The government stands to gain from the growth in tourism, economic output, and the management of public resources. A well-managed digital museum can serve as a cultural and educational attraction, drawing more visitors in and injecting revenue into development at the local level. Effective documentation and preservation of artifacts will also aid in educational and research efforts, enabling policymakers to make informed cultural development choices. The system can further be replicated as an example to other government-controlled cultural institutions, with the benefits of digital innovation in heritage management.</w:t>
      </w:r>
    </w:p>
    <w:p w:rsidR="00000000" w:rsidDel="00000000" w:rsidP="00000000" w:rsidRDefault="00000000" w:rsidRPr="00000000" w14:paraId="00000065">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Future generations</w:t>
      </w:r>
      <w:r w:rsidDel="00000000" w:rsidR="00000000" w:rsidRPr="00000000">
        <w:rPr>
          <w:rFonts w:ascii="Courier New" w:cs="Courier New" w:eastAsia="Courier New" w:hAnsi="Courier New"/>
          <w:sz w:val="24"/>
          <w:szCs w:val="24"/>
          <w:rtl w:val="0"/>
        </w:rPr>
        <w:t xml:space="preserve"> are among the most significant stakeholders, as digital preservation makes cultural heritage available for future years. Through the modernization of museum management and documentation, this research protects precious historical and cultural information that will be transferred to future scholars, educators, and citizens. As technology progresses, the digital framework created through this research can be developed further and modified so that cultural preservation is always prioritized in an ever-more digital world. The project ensures long-term sustainability for museum operations, where the cultural identity and history of the province continue to be researched and valued by generations to come.</w:t>
      </w:r>
    </w:p>
    <w:p w:rsidR="00000000" w:rsidDel="00000000" w:rsidP="00000000" w:rsidRDefault="00000000" w:rsidRPr="00000000" w14:paraId="00000066">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u w:val="single"/>
          <w:rtl w:val="0"/>
        </w:rPr>
        <w:t xml:space="preserve">Other museums and cultural institutions</w:t>
      </w:r>
      <w:r w:rsidDel="00000000" w:rsidR="00000000" w:rsidRPr="00000000">
        <w:rPr>
          <w:rFonts w:ascii="Courier New" w:cs="Courier New" w:eastAsia="Courier New" w:hAnsi="Courier New"/>
          <w:sz w:val="24"/>
          <w:szCs w:val="24"/>
          <w:rtl w:val="0"/>
        </w:rPr>
        <w:t xml:space="preserve"> museums can use this study as an example in applying sustainable and technology-based operations. Through the presentation of the benefits of digital change, this work helps ensure the long-term conservation of cultural heritage while improving the administration of the museum, visitor experience, educational convenience, and the sharing of knowledge among different generations. Through collaboration and exchange of knowledge, museums can share this system, and institutions committed to saving history in new and effective ways can be established.</w:t>
      </w:r>
    </w:p>
    <w:p w:rsidR="00000000" w:rsidDel="00000000" w:rsidP="00000000" w:rsidRDefault="00000000" w:rsidRPr="00000000" w14:paraId="00000067">
      <w:pPr>
        <w:spacing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embracing digital transformation, Museo Bulawan ensures the sustainability and accessibility of its collections, protecting the cultural identity of the province for future generations. Not only does this research improve the museum experience of today but also promises the future of heritage preservation, verifying that technology can be an effective ally in keeping and championing history in a rapidly changing world.</w:t>
      </w:r>
    </w:p>
    <w:p w:rsidR="00000000" w:rsidDel="00000000" w:rsidP="00000000" w:rsidRDefault="00000000" w:rsidRPr="00000000" w14:paraId="00000068">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9">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A">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B">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C">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D">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E">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6F">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0">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1">
      <w:pPr>
        <w:widowControl w:val="1"/>
        <w:jc w:val="center"/>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2">
      <w:pPr>
        <w:widowControl w:val="1"/>
        <w:jc w:val="left"/>
        <w:rPr>
          <w:rFonts w:ascii="Courier New" w:cs="Courier New" w:eastAsia="Courier New" w:hAnsi="Courier New"/>
          <w:b w:val="1"/>
          <w:sz w:val="24"/>
          <w:szCs w:val="24"/>
          <w:highlight w:val="white"/>
        </w:rPr>
      </w:pPr>
      <w:r w:rsidDel="00000000" w:rsidR="00000000" w:rsidRPr="00000000">
        <w:rPr>
          <w:rtl w:val="0"/>
        </w:rPr>
      </w:r>
    </w:p>
    <w:p w:rsidR="00000000" w:rsidDel="00000000" w:rsidP="00000000" w:rsidRDefault="00000000" w:rsidRPr="00000000" w14:paraId="00000073">
      <w:pPr>
        <w:widowControl w:val="1"/>
        <w:jc w:val="center"/>
        <w:rPr>
          <w:rFonts w:ascii="Courier New" w:cs="Courier New" w:eastAsia="Courier New" w:hAnsi="Courier New"/>
          <w:b w:val="1"/>
          <w:color w:val="000000"/>
          <w:sz w:val="24"/>
          <w:szCs w:val="24"/>
          <w:highlight w:val="white"/>
        </w:rPr>
      </w:pPr>
      <w:r w:rsidDel="00000000" w:rsidR="00000000" w:rsidRPr="00000000">
        <w:rPr>
          <w:rFonts w:ascii="Courier New" w:cs="Courier New" w:eastAsia="Courier New" w:hAnsi="Courier New"/>
          <w:b w:val="1"/>
          <w:color w:val="000000"/>
          <w:sz w:val="24"/>
          <w:szCs w:val="24"/>
          <w:highlight w:val="white"/>
          <w:rtl w:val="0"/>
        </w:rPr>
        <w:t xml:space="preserve">CHAPTER II</w:t>
      </w:r>
    </w:p>
    <w:p w:rsidR="00000000" w:rsidDel="00000000" w:rsidP="00000000" w:rsidRDefault="00000000" w:rsidRPr="00000000" w14:paraId="00000074">
      <w:pPr>
        <w:widowControl w:val="1"/>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5">
      <w:pPr>
        <w:widowControl w:val="1"/>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6">
      <w:pPr>
        <w:widowControl w:val="1"/>
        <w:rPr>
          <w:rFonts w:ascii="Courier New" w:cs="Courier New" w:eastAsia="Courier New" w:hAnsi="Courier New"/>
          <w:b w:val="1"/>
          <w:color w:val="000000"/>
          <w:sz w:val="24"/>
          <w:szCs w:val="24"/>
          <w:highlight w:val="white"/>
        </w:rPr>
      </w:pPr>
      <w:r w:rsidDel="00000000" w:rsidR="00000000" w:rsidRPr="00000000">
        <w:rPr>
          <w:rtl w:val="0"/>
        </w:rPr>
      </w:r>
    </w:p>
    <w:p w:rsidR="00000000" w:rsidDel="00000000" w:rsidP="00000000" w:rsidRDefault="00000000" w:rsidRPr="00000000" w14:paraId="00000077">
      <w:pPr>
        <w:widowControl w:val="1"/>
        <w:spacing w:line="48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Review of related Literature</w:t>
      </w:r>
      <w:r w:rsidDel="00000000" w:rsidR="00000000" w:rsidRPr="00000000">
        <w:rPr>
          <w:rtl w:val="0"/>
        </w:rPr>
      </w:r>
    </w:p>
    <w:p w:rsidR="00000000" w:rsidDel="00000000" w:rsidP="00000000" w:rsidRDefault="00000000" w:rsidRPr="00000000" w14:paraId="00000078">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museum's digitalization has transformed the way cultural institutions preserve, manage, and present historical data. With the increasing demand for effective inventory management systems, most museums, including Museo Bulawan, should from manual recording and adopt digital cataloging. This chapter discusses related literature on digital cataloging in museums, including its advantages, disadvantages, and uses.</w:t>
      </w:r>
    </w:p>
    <w:p w:rsidR="00000000" w:rsidDel="00000000" w:rsidP="00000000" w:rsidRDefault="00000000" w:rsidRPr="00000000" w14:paraId="00000079">
      <w:pPr>
        <w:widowControl w:val="1"/>
        <w:spacing w:line="48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7A">
      <w:pPr>
        <w:widowControl w:val="1"/>
        <w:spacing w:line="480" w:lineRule="auto"/>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Operational challenges in museo bulawan identifying areas for improvement</w:t>
      </w:r>
    </w:p>
    <w:p w:rsidR="00000000" w:rsidDel="00000000" w:rsidP="00000000" w:rsidRDefault="00000000" w:rsidRPr="00000000" w14:paraId="0000007B">
      <w:pPr>
        <w:widowControl w:val="1"/>
        <w:spacing w:line="480" w:lineRule="auto"/>
        <w:ind w:firstLine="720"/>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000000"/>
          <w:sz w:val="24"/>
          <w:szCs w:val="24"/>
          <w:rtl w:val="0"/>
        </w:rPr>
        <w:t xml:space="preserve">The main aim of the Museo Bulawan Information System is to enhance the management of the museum's inventory through accurate documentation and tracking of artifacts in storage. Proper record management is crucial in the preservation of historical and cultural artifacts, especially where poor inventory processes lead to their loss. In the opinion of Smith (2023), computer-based inventory systems promote efficiency and accuracy of operations and correct inaccuracies in documentation of artifacts. </w:t>
      </w:r>
      <w:r w:rsidDel="00000000" w:rsidR="00000000" w:rsidRPr="00000000">
        <w:rPr>
          <w:rFonts w:ascii="Courier New" w:cs="Courier New" w:eastAsia="Courier New" w:hAnsi="Courier New"/>
          <w:color w:val="ff0000"/>
          <w:sz w:val="24"/>
          <w:szCs w:val="24"/>
          <w:rtl w:val="0"/>
        </w:rPr>
        <w:t xml:space="preserve">By adopting a single electronic system, Museo Bulawan should reduce errors related to manual record-keeping.</w:t>
      </w:r>
    </w:p>
    <w:p w:rsidR="00000000" w:rsidDel="00000000" w:rsidP="00000000" w:rsidRDefault="00000000" w:rsidRPr="00000000" w14:paraId="0000007C">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Digital cataloging offers community archives great potential benefits through the recording, preservation, and facilitating of access to local material. However, there are several challenges in applying digital cataloging in this context. Community archives tend to have limited technical infrastructure, had trouble training staff, and had a hard time integrating digital tools into current workflows. The digital inclusion framework developed by Thomas et al. (2020) takes into account the capacity to access, purchase, and own the digital capabilities required to effectively employ online technology. These factors play a significant role for the success of digital cataloging efforts in museums such as Museo Bulawan, where traditional manual workflows present challenges in information accessibility and accuracy. Holcombe-James (2022) further emphasized that digital cataloging in community archives is challenged by irregular funding, limited access to digital technology, and the difficulty of migrating from paper-based to digital record-keeping systems.</w:t>
      </w:r>
    </w:p>
    <w:p w:rsidR="00000000" w:rsidDel="00000000" w:rsidP="00000000" w:rsidRDefault="00000000" w:rsidRPr="00000000" w14:paraId="0000007D">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adoption of digital systems for inventory has greatly enhanced the efficiency and accuracy of museum management. Record-keeping is essential in maintaining historical and cultural artifacts since manual means of inventory tend to cause misplacement and inconsistency.  Di Muccio (2024) observed that museums typically do not have consistent cataloging standards compared to libraries, causing inefficiencies in record-keeping and information dissemination Standardized procedures, like those of libraries, would improve inter-institutional coordination and data integrity in Museo Bulawan's digitalization. Further, Llabres, E. (2023) also pointed out that automated inventory systems bring ease through the minimizing of item tracking, minimizing workload, and enhancing catalog precision. By replacing error-prone manual processes, Museo Bulawan can maximize operations so staff members can concentrate on visitor interactions and artifact conservation.</w:t>
      </w:r>
    </w:p>
    <w:p w:rsidR="00000000" w:rsidDel="00000000" w:rsidP="00000000" w:rsidRDefault="00000000" w:rsidRPr="00000000" w14:paraId="0000007E">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Museo Bulawan continues to have manual inventory procedures in its operational processes, a process marred with too many inaccuracies and inefficiencies. The utilization of paper records in tracing artifacts increases the risks of human errors, loss of data, and retrieval delays. Odili and Iheanacho (2022) noted that manual systems are likely to create discrepancies and inefficiencies in museum operations. The shift to a digital inventory system allows Museo Bulawan to circumvent these risks and improve the accuracy of its artifact management system.</w:t>
      </w:r>
    </w:p>
    <w:p w:rsidR="00000000" w:rsidDel="00000000" w:rsidP="00000000" w:rsidRDefault="00000000" w:rsidRPr="00000000" w14:paraId="0000007F">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transition to a web-based inventory system has further improved museum operations by increasing access and efficiency. Paper documentation takes time to access information and update, resulting in a delay in museum operations. Agboola et al. (2022) highlighted that digital inventory systems facilitate real-time updates and online access, making it easier to manage, maintain and track museum collections. For Museo Bulawan, the web-based system enables tracking of acquisitions, transfers, and scheduling preparation to the advantage of curators and researchers A structured digital catalog improves organization and retrieval of museum artifacts. With increasing collections in museums, an effective system is required for easy access to </w:t>
      </w:r>
      <w:r w:rsidDel="00000000" w:rsidR="00000000" w:rsidRPr="00000000">
        <w:rPr>
          <w:rFonts w:ascii="Courier New" w:cs="Courier New" w:eastAsia="Courier New" w:hAnsi="Courier New"/>
          <w:sz w:val="24"/>
          <w:szCs w:val="24"/>
          <w:rtl w:val="0"/>
        </w:rPr>
        <w:t xml:space="preserve">relevant</w:t>
      </w:r>
      <w:r w:rsidDel="00000000" w:rsidR="00000000" w:rsidRPr="00000000">
        <w:rPr>
          <w:rFonts w:ascii="Courier New" w:cs="Courier New" w:eastAsia="Courier New" w:hAnsi="Courier New"/>
          <w:color w:val="000000"/>
          <w:sz w:val="24"/>
          <w:szCs w:val="24"/>
          <w:rtl w:val="0"/>
        </w:rPr>
        <w:t xml:space="preserve"> information without compromising data security. Kist et al. (2023) explained how the use of image cataloging standards innovates access to museum collections by creating audience-focused methods of data ordering.  Museo Bulawan’s digital catalog guarantees all artifacts to be extensively documented, ordered systematically, and made accessible, thereby supporting research and exhibit planning.</w:t>
      </w:r>
    </w:p>
    <w:p w:rsidR="00000000" w:rsidDel="00000000" w:rsidP="00000000" w:rsidRDefault="00000000" w:rsidRPr="00000000" w14:paraId="00000080">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Digital cataloging not only enhances museum management but also improves user engagement, particularly in virtual museum spaces. Lee and Park (2024) emphasized that digital cataloging boosts engagement by offering interactive content, personalized tours, and dynamic search functionalities, creating an immersive visitor experience. Museo Bulawan’s transition to a digital catalog allows for enhanced accessibility, enabling visitors to explore the museum’s collection through tailored digital experiences, fostering deeper cultural appreciation.</w:t>
      </w:r>
    </w:p>
    <w:p w:rsidR="00000000" w:rsidDel="00000000" w:rsidP="00000000" w:rsidRDefault="00000000" w:rsidRPr="00000000" w14:paraId="00000081">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Although there are benefits in using digital systems, Museo Bulawan traditionally depended on manual inventory methods, which are inaccurate and time-consuming. Using paper records maximizes the possibilities of human errors, data loss, and slower retrieval. Llabres (2023) pointed out that manual systems promote inconsistencies and inefficiencies in museum operations. The shift to a digital inventory system serves to minimize such risks, and with it comes a more efficient and less prone to errors artifact management strategy. The implementation of a digital database at Museo Bulawan should greatly facilitates research and learning activities. Museums are institutions of learning, and well-managed information databases save teachers and students time and effort and facilitate easier access to materials relevant to them. Miksa (2021) emphasized that online cataloging facilitates the retrieval and organization of museum information, which assists in academic research. Museo Bulawan's digital platform enhances its position as an educational institution by creating a thorough artifact database.</w:t>
      </w:r>
    </w:p>
    <w:p w:rsidR="00000000" w:rsidDel="00000000" w:rsidP="00000000" w:rsidRDefault="00000000" w:rsidRPr="00000000" w14:paraId="00000082">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Further, online access spreads the museum beyond physical presence. Most museums are using digital mediums to reach greater audiences and access collections remotely. Park (2021) noted that online catalogs of museums allow people to learn about exhibits, enhancing a deeper appreciation for culture.  Integrating an online catalog, Museo Bulawan allows the museums to disseminate information more efficiently to students, historians, and the general population to access its collection, developing historical consciousness as well as information sharing. The transition to digital management aligns Museo Bulawan with global trends in museum modernization Most institutions have adopted digital tools to enhance artifact documentation and visitor interaction. Baião and Carvalho (2021) highlighted that digital systems improve internal operations while enhancing public accessibility.  Through the implementation of a digital information system, Museo Bulawan facilitates effective collection management and enhanced interactive experiences for visitors. </w:t>
      </w:r>
    </w:p>
    <w:p w:rsidR="00000000" w:rsidDel="00000000" w:rsidP="00000000" w:rsidRDefault="00000000" w:rsidRPr="00000000" w14:paraId="00000083">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Efficient museum administration entails various processes, such as acquisition, preservation, and planning for exhibitions. Vaka (2024) that digital inventory systems rationalize these procedures, eliminating redundancy and enhancing the workflow. Museo Bulawan’s central platform consolidates all museum activities, resulting in enhanced operational efficiency. </w:t>
      </w:r>
    </w:p>
    <w:p w:rsidR="00000000" w:rsidDel="00000000" w:rsidP="00000000" w:rsidRDefault="00000000" w:rsidRPr="00000000" w14:paraId="00000084">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Although it is advantageous, conversion to digital inventory systems poses financial and technical concerns. Limited funding and technical constraints often hinder the adoption of digital platforms, especially for smaller institutions. Nikolaou (2024) found that resource constraints pose significant barriers to museum digitization efforts. Moreover, challenges in adapting to new digital systems may slow down the transition process. However, Museo Bulawan’s commitment to modernization ensures that its digital transformation is a strategic investment in long-term operational sustainability.</w:t>
      </w:r>
    </w:p>
    <w:p w:rsidR="00000000" w:rsidDel="00000000" w:rsidP="00000000" w:rsidRDefault="00000000" w:rsidRPr="00000000" w14:paraId="00000085">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An organized digital inventory system not only enhances museum operations but also visitor experiences. An organized collection and easy-to-access information led to a more enjoyable museum experience.  Li (2024) found that museum visitors appreciate interactive displays and thorough artifact descriptions. Through the use of an easy-to-use digital system, Museo Bulawan increases visitor satisfaction with thorough artifact information and an organized, engaging museum experience. Overall, the implementation of digital inventory systems in Museo Bulawan complies with contemporary museum management techniques, resolving inefficiencies linked to manual documentation.  Through the utilization of a structured digital catalog and centralized system, the museum enhances artifact management, facilitates research, and increases visitor interaction. Though challenges are faced, Museo Bulawan's digitalization is an important measure toward long-term sustainability and better museum operations.</w:t>
      </w:r>
    </w:p>
    <w:p w:rsidR="00000000" w:rsidDel="00000000" w:rsidP="00000000" w:rsidRDefault="00000000" w:rsidRPr="00000000" w14:paraId="00000086">
      <w:pPr>
        <w:widowControl w:val="1"/>
        <w:spacing w:line="48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87">
      <w:pPr>
        <w:widowControl w:val="1"/>
        <w:spacing w:line="480" w:lineRule="auto"/>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Development of digital features for Museo Bulawan's management system</w:t>
      </w:r>
    </w:p>
    <w:p w:rsidR="00000000" w:rsidDel="00000000" w:rsidP="00000000" w:rsidRDefault="00000000" w:rsidRPr="00000000" w14:paraId="00000088">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integration of digital technologies in cultural preservation offers innovative solutions for improvement of documentation, accessibility, and sharing of heritage information.  Siliutina et al. (2024) highlight that mobilization of the traditional and digital components adds complexity to cultural heritage conservation but also unlocks the potential for improved documentation and preservation. Museo Bulawan may utilize digital technology for effective archiving and cataloging of artifacts for long-term preservation and enhance their accessibility to researchers and the public.</w:t>
      </w:r>
    </w:p>
    <w:p w:rsidR="00000000" w:rsidDel="00000000" w:rsidP="00000000" w:rsidRDefault="00000000" w:rsidRPr="00000000" w14:paraId="00000089">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Digital cataloguing plays a pivotal role in heritage preservation. Städtler (2024) points out that the application of authority data to digital collections optimizes search and, therefore, the discovery of artifacts is better. Mishra and Singh (2024), however, notice that inconsistency in cataloging practices can result in suboptimal search results and recommend the adoption of standardized metadata for museum databases. For Museo Bulawan, the application of structured models of cataloging can facilitate retrieval of data, enhancing research and public engagement.</w:t>
      </w:r>
    </w:p>
    <w:p w:rsidR="00000000" w:rsidDel="00000000" w:rsidP="00000000" w:rsidRDefault="00000000" w:rsidRPr="00000000" w14:paraId="0000008A">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Accuracy, completeness</w:t>
        <w:tab/>
        <w:t xml:space="preserve">, and consistency of metadata are crucial in museum collection management. Zavalin and Zavalina (2023) highlight that accurate metadata increases the discoverability of artifacts and conservation, resulting in efficient museum collection management. Proper documentation of Museo Bulawan's collections can greatly enhance access and preservation standards, aligning to international best practices.</w:t>
      </w:r>
    </w:p>
    <w:p w:rsidR="00000000" w:rsidDel="00000000" w:rsidP="00000000" w:rsidRDefault="00000000" w:rsidRPr="00000000" w14:paraId="0000008B">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It is also essential in optimizing museum operations in order to achieve efficient resource allocation and sustainability. Basso, Casarin, and Funari (2023) explore how museums can achieve maximum operational efficiency in terms of producing interdependent outputs, and giving directions in enhanced resource management and operational efficiency to be utilized by Museo Bulawan in optimizing its digital and physical conservation processes to ensure sustainable </w:t>
      </w:r>
    </w:p>
    <w:p w:rsidR="00000000" w:rsidDel="00000000" w:rsidP="00000000" w:rsidRDefault="00000000" w:rsidRPr="00000000" w14:paraId="0000008C">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Librarians and curators are key individuals in indigenous knowledge preservation and sharing. Chigwada and Ngulube (2024) explain how indigenous knowledge can be preserved in various forms of digital media, such as digital text, audio data, video documentation, and interactive multimedia. Digitization of traditional stories, artifacts, and histories in the case of Museo Bulawan ensures the long-term preservation of the province's cultural histories with the easier access via the internet.</w:t>
      </w:r>
    </w:p>
    <w:p w:rsidR="00000000" w:rsidDel="00000000" w:rsidP="00000000" w:rsidRDefault="00000000" w:rsidRPr="00000000" w14:paraId="0000008D">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ethical implications of artifact preservation are also a top priority. Palmer (2024) explains the role of museums in safeguarding cultural identity and addressing historic injustices with regard to looted artifacts. While Museo Bulawan focuses on the preservation of local heritage, ensuring the ethical acquisition and documentation of artifacts strengthens its role as a cultural steward for the community.</w:t>
      </w:r>
    </w:p>
    <w:p w:rsidR="00000000" w:rsidDel="00000000" w:rsidP="00000000" w:rsidRDefault="00000000" w:rsidRPr="00000000" w14:paraId="0000008E">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Furthermore, cultural heritage access has been acknowledged as a basic human right. Senatore et al. (2025) argue that digital resources are a critical component of identity formation and community engagement. The implementation of digital archives at Museo Bulawan the potential to close gaps in accessibility by enabling people who wants to access the museum’s collections easily. However, as Nikolaou (2024) indicates, museum digitalization will be confronted by institutional hurdles of meager technical expertise and resources. Solving these problems lies at the core of long-term accessibility and sustainability in digital heritage.</w:t>
      </w:r>
    </w:p>
    <w:p w:rsidR="00000000" w:rsidDel="00000000" w:rsidP="00000000" w:rsidRDefault="00000000" w:rsidRPr="00000000" w14:paraId="0000008F">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Cloud computing services present a feasible method of enhancing availability and preservation of artifacts. Tsipis et al. (2024) suggest the concept of Digital Repository as a Service (D-RaaS) where cloud storage functions to facilitate the availability and preservation of cultural heritage content. In embracing a comparable cloud-based approach, Museo Bulawan is able to achieve the sustainability of its digital repository, hence long-term availability of artifacts and alleviating constraints with physical storage.</w:t>
      </w:r>
    </w:p>
    <w:p w:rsidR="00000000" w:rsidDel="00000000" w:rsidP="00000000" w:rsidRDefault="00000000" w:rsidRPr="00000000" w14:paraId="00000090">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long-term sustainability of museum collections relies on conservation, preservation, and documentation. Panda and Kaur (2025) clarify that digital preservation safeguards cultural materials from technological obsolescence and environmental degradation. Cloud storage and systematic documentation practices can be adopted by Museo Bulawan to offer resilience to its digital documents.  Similarly, Abo Zeid (2022) discusses the role played by new technologies such as QR codes towards improving museum collection management and access to artifacts. The use of such technology has the potential to simplify the preservation and public outreach activities of Museo Bulawan.</w:t>
      </w:r>
    </w:p>
    <w:p w:rsidR="00000000" w:rsidDel="00000000" w:rsidP="00000000" w:rsidRDefault="00000000" w:rsidRPr="00000000" w14:paraId="00000091">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 case study on the Radya Pustaka Solo Museum highlights the necessity of proactive digital preservation efforts. Sadono et al. (2025) document the museum's digitization of Javanese manuscripts to prevent further degradation. Similarly, Museo Bulawan can initiate digitization initiatives to preserve delicate artifacts, preventing irreversible damage while ensuring continuous public access.</w:t>
      </w:r>
    </w:p>
    <w:p w:rsidR="00000000" w:rsidDel="00000000" w:rsidP="00000000" w:rsidRDefault="00000000" w:rsidRPr="00000000" w14:paraId="00000092">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New technologies, including decision-support systems, are also part of cultural resource management. Petraki et al. (2025) discuss how digital technologies can be used to enhance decision-making in heritage conservation. With the integration of these technologies, Museo Bulawan can develop interactive databases and automated retrieval systems to support artifact management and optimize visitor experiences.</w:t>
      </w:r>
    </w:p>
    <w:p w:rsidR="00000000" w:rsidDel="00000000" w:rsidP="00000000" w:rsidRDefault="00000000" w:rsidRPr="00000000" w14:paraId="00000093">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Documentation as a conservation strategy also emerges in literature. interdisciplinary collaboration is emphasized in museum documentation by Barok (2025) in turning artifacts into manageable knowledge objects. Systematic documentation as a Museo Bulawan conservation strategy can help researchers and curators’ study, interpret, and report on artifacts efficiently.</w:t>
      </w:r>
    </w:p>
    <w:p w:rsidR="00000000" w:rsidDel="00000000" w:rsidP="00000000" w:rsidRDefault="00000000" w:rsidRPr="00000000" w14:paraId="00000094">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Cultural object conservation remains a major concern for conventional museums. Liu et al. (2025) describe how objects are subjected to natural degradation and human causes of degradation. In order to reduce these risks, Museo Bulawan can use controlled environments, digital restoration, and preventive conservation to conserve its collections for the future.</w:t>
      </w:r>
    </w:p>
    <w:p w:rsidR="00000000" w:rsidDel="00000000" w:rsidP="00000000" w:rsidRDefault="00000000" w:rsidRPr="00000000" w14:paraId="00000095">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96">
      <w:pPr>
        <w:widowControl w:val="1"/>
        <w:spacing w:line="480" w:lineRule="auto"/>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sz w:val="24"/>
          <w:szCs w:val="24"/>
          <w:rtl w:val="0"/>
        </w:rPr>
        <w:t xml:space="preserve">S</w:t>
      </w:r>
      <w:r w:rsidDel="00000000" w:rsidR="00000000" w:rsidRPr="00000000">
        <w:rPr>
          <w:rFonts w:ascii="Courier New" w:cs="Courier New" w:eastAsia="Courier New" w:hAnsi="Courier New"/>
          <w:b w:val="1"/>
          <w:color w:val="000000"/>
          <w:sz w:val="24"/>
          <w:szCs w:val="24"/>
          <w:rtl w:val="0"/>
        </w:rPr>
        <w:t xml:space="preserve">ystem evaluation using ISO 25010</w:t>
      </w:r>
    </w:p>
    <w:p w:rsidR="00000000" w:rsidDel="00000000" w:rsidP="00000000" w:rsidRDefault="00000000" w:rsidRPr="00000000" w14:paraId="00000097">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ISO/IEC 25010 standard under the SQuaRE (System and Software Quality Requirements and Evaluation) approach consolidates earlier quality models like those of McCall's and Boehm's to offer a holistic method of software assessment (Panduwiyasa et al., 2021). Pratama and Mutiara (2021) observe that it is superior to ISO 9126-1 since it includes modern measures like security and compatibility. For Museo Bulawan, the use of ISO 25010 addresses international compliance as well as the specific issues of cultural heritage digitization, particularly public access and data preservation. Studies in diverse fields—health, e-commerce, and public services—affirm its versatility, providing insights translatable to the museum's digitization to modern formats.</w:t>
      </w:r>
    </w:p>
    <w:p w:rsidR="00000000" w:rsidDel="00000000" w:rsidP="00000000" w:rsidRDefault="00000000" w:rsidRPr="00000000" w14:paraId="00000098">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Functional suitability</w:t>
      </w:r>
      <w:r w:rsidDel="00000000" w:rsidR="00000000" w:rsidRPr="00000000">
        <w:rPr>
          <w:rFonts w:ascii="Courier New" w:cs="Courier New" w:eastAsia="Courier New" w:hAnsi="Courier New"/>
          <w:color w:val="000000"/>
          <w:sz w:val="24"/>
          <w:szCs w:val="24"/>
          <w:rtl w:val="0"/>
        </w:rPr>
        <w:t xml:space="preserve"> measures how much software aligns with user-defined requirements. Debnath et al. (2021) demonstrate this with a case study involving digital transformation in public sector organizations, where ISO 25010 functional requirements improved task automation and user satisfaction. Their research supports Mishra and Singh (2024) in their focus on automated museum cataloging systems that minimize manual errors by 30% through standardized metadata. Likewise, Libadia et al. (2025) created a web-based ERMS for the Office of Senior Citizen Affairs (OSCA) of the Philippines with real-time monitoring and member registration. Their use of Laravel and MySQL guaranteed modularity, which Museo Bulawan can adopt to automate archival operations. Städtler (2024) also explains the need for authority data in search accuracy for digital libraries, a key feature for Museo Bulawan's historical archives.</w:t>
      </w:r>
    </w:p>
    <w:p w:rsidR="00000000" w:rsidDel="00000000" w:rsidP="00000000" w:rsidRDefault="00000000" w:rsidRPr="00000000" w14:paraId="00000099">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Performance efficiency</w:t>
      </w:r>
      <w:r w:rsidDel="00000000" w:rsidR="00000000" w:rsidRPr="00000000">
        <w:rPr>
          <w:rFonts w:ascii="Courier New" w:cs="Courier New" w:eastAsia="Courier New" w:hAnsi="Courier New"/>
          <w:color w:val="000000"/>
          <w:sz w:val="24"/>
          <w:szCs w:val="24"/>
          <w:rtl w:val="0"/>
        </w:rPr>
        <w:t xml:space="preserve"> metrics measure resource optimization across different workloads. Falco and Robiolo (2021) created a catalogue of ISO 25010 performance metrics for industrial use, emphasizing the necessity of scalable architecture to sustain high traffic—a primary requirement for Museo Bulawan's public websites. Zefanya et al. (2025) stress-tested the BIKINBIKIN Hub coworking space system using Apache JMeter and Pingdom, with a mean of 0.93 seconds in page loading time. Museo Bulawan can utilize their process to stress-test its database for concurrent user access. Kurniasari and Rochimah (2025) suggest an ISO 25010-based framework of website performance efficiency measurements, including media compression and CDN integration. Museo Bulawan can utilize these processes so that it can store large image databases without sacrificing speed.</w:t>
      </w:r>
    </w:p>
    <w:p w:rsidR="00000000" w:rsidDel="00000000" w:rsidP="00000000" w:rsidRDefault="00000000" w:rsidRPr="00000000" w14:paraId="0000009A">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Compatibility</w:t>
      </w:r>
      <w:r w:rsidDel="00000000" w:rsidR="00000000" w:rsidRPr="00000000">
        <w:rPr>
          <w:rFonts w:ascii="Courier New" w:cs="Courier New" w:eastAsia="Courier New" w:hAnsi="Courier New"/>
          <w:color w:val="000000"/>
          <w:sz w:val="24"/>
          <w:szCs w:val="24"/>
          <w:rtl w:val="0"/>
        </w:rPr>
        <w:t xml:space="preserve"> ensures smooth operation on devices and platforms. Debnath et al. (2021) suggest responsive design for desktop and mobile usage, a theme used in Setyaningrum et al.'s (2025) CodeIgniter sales platform for MSGLOW Banyumas. Their site achieved 92.67% functional suitability with cross-platform support for transactions, a scenario Museo Bulawan can implement for ticket sale and virtual exhibitions. Libadia et al. (2025) also used testing for compatibility through the implementation of OSCA's ERMS in Laravel, ensuring smooth operation on Windows and Linux servers. For Museo Bulawan, implementation of similar cross-platform frameworks will increase accessibility for different users, including researchers and teachers.</w:t>
      </w:r>
    </w:p>
    <w:p w:rsidR="00000000" w:rsidDel="00000000" w:rsidP="00000000" w:rsidRDefault="00000000" w:rsidRPr="00000000" w14:paraId="0000009B">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Usability is intuitive design and user satisfaction. Pratama and Mutiara (2021) performed usability testing of Halodoc's healthcare app using USE Questionnaires and UI/Application Exerciser Monkey and attained a usability score of 82%.Their mixed-methods approach—utilizing AHP-weighted surveys and automated testing—can be replicated by Museo Bulawan to evaluate visitor-facing interfaces. Zhang (2024) cites low-code/no-code (LC/NC) platforms as a solution for non-technical users, citing their drag-and-drop interfaces cutting training time by 40%. Yulianty and Kurniawati (2021) rated the Bios Portal banking website 4.87/5 based on ISO 25010 usability standards, although they noted resource utilization as a weakness. Museo Bulawan can overcome this by utilizing collaborative feedback tools, as proposed in their study, to iteratively optimize user journeys.</w:t>
      </w:r>
    </w:p>
    <w:p w:rsidR="00000000" w:rsidDel="00000000" w:rsidP="00000000" w:rsidRDefault="00000000" w:rsidRPr="00000000" w14:paraId="0000009C">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Reliability</w:t>
      </w:r>
      <w:r w:rsidDel="00000000" w:rsidR="00000000" w:rsidRPr="00000000">
        <w:rPr>
          <w:rFonts w:ascii="Courier New" w:cs="Courier New" w:eastAsia="Courier New" w:hAnsi="Courier New"/>
          <w:color w:val="000000"/>
          <w:sz w:val="24"/>
          <w:szCs w:val="24"/>
          <w:rtl w:val="0"/>
        </w:rPr>
        <w:t xml:space="preserve"> guarantees stable performance under stress. Nugraha et al. (2024) stress-tested the e-PPGBM medical records system in rural Indonesia, achieving 4.513/5 for reliability via redundancy protocols. Their results are consistent with Holcombe-James (2022), who attributes systematic cataloguing to minimized data loss in cultural archives. Taufiq Abdul Ghaffur and Nurkhamid (2021) confirmed reliability in a school activity system via black-box testing, with 100% uptime during maximum usage. For Museo Bulawan, implementing similar stress-testing tools such as JMeter and redundant cloud backups (as in Casiño's (2025) IoT attendance system) will protect against downtime during high-traffic events such as exhibitions.</w:t>
      </w:r>
    </w:p>
    <w:p w:rsidR="00000000" w:rsidDel="00000000" w:rsidP="00000000" w:rsidRDefault="00000000" w:rsidRPr="00000000" w14:paraId="0000009D">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Security</w:t>
      </w:r>
      <w:r w:rsidDel="00000000" w:rsidR="00000000" w:rsidRPr="00000000">
        <w:rPr>
          <w:rFonts w:ascii="Courier New" w:cs="Courier New" w:eastAsia="Courier New" w:hAnsi="Courier New"/>
          <w:color w:val="000000"/>
          <w:sz w:val="24"/>
          <w:szCs w:val="24"/>
          <w:rtl w:val="0"/>
        </w:rPr>
        <w:t xml:space="preserve"> protects against unauthorized access and data loss. Dhillon et al. (2021) cite encryption and multi-factor authentication as non-negotiable for public systems, a position repeated in Prabowo's (2024) audit of Indonesia's information security index. Prabowo's application of ISO 25010's "freedom from risk" measurement in audit processes cut down vulnerabilities by 25%. Städtler's (2024) insistence on authority data controls to safeguard against tampering in digital libraries is a feature Museo Bulawan's sensitive archives must have. Moreover, Libadia et al. (2025) applied role-based access to OSCA's ERMS, restricting editing of records to authorized personnel—a feature Museo Bulawan can implement to safeguard historical data.</w:t>
      </w:r>
    </w:p>
    <w:p w:rsidR="00000000" w:rsidDel="00000000" w:rsidP="00000000" w:rsidRDefault="00000000" w:rsidRPr="00000000" w14:paraId="0000009E">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Maintainability</w:t>
      </w:r>
      <w:r w:rsidDel="00000000" w:rsidR="00000000" w:rsidRPr="00000000">
        <w:rPr>
          <w:rFonts w:ascii="Courier New" w:cs="Courier New" w:eastAsia="Courier New" w:hAnsi="Courier New"/>
          <w:color w:val="000000"/>
          <w:sz w:val="24"/>
          <w:szCs w:val="24"/>
          <w:rtl w:val="0"/>
        </w:rPr>
        <w:t xml:space="preserve"> refers to ease of update and scalability. Falco and Robiolo (2021) emphasize modular architectures for long-term adaptability, a practice used in Liang and Gumabay's (2025) CRM system, which received 4.51/5 for maintainability with version-controlled updates. Libadia et al. (2025) also proved this with OSCA's ERMS, where Laravel's MVC architecture made it easy to add features.Museo Bulawan can achieve the same by utilizing Git for versioning and standardized metadata schemas (Di Muccio, 2024) to enable database additions.</w:t>
      </w:r>
    </w:p>
    <w:p w:rsidR="00000000" w:rsidDel="00000000" w:rsidP="00000000" w:rsidRDefault="00000000" w:rsidRPr="00000000" w14:paraId="0000009F">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u w:val="single"/>
          <w:rtl w:val="0"/>
        </w:rPr>
        <w:t xml:space="preserve">Portability</w:t>
      </w:r>
      <w:r w:rsidDel="00000000" w:rsidR="00000000" w:rsidRPr="00000000">
        <w:rPr>
          <w:rFonts w:ascii="Courier New" w:cs="Courier New" w:eastAsia="Courier New" w:hAnsi="Courier New"/>
          <w:color w:val="000000"/>
          <w:sz w:val="24"/>
          <w:szCs w:val="24"/>
          <w:rtl w:val="0"/>
        </w:rPr>
        <w:t xml:space="preserve"> guarantees flexibility across environments. Akgül (2024) assessed Turkish government websites and indicated that cloud compatibility enhanced portability scores by 18%. Zhang (2024) also recommends LC/NC platforms because of cross-environment flexibility that minimizes vendor lock-in risks. For Museo Bulawan, containerizing the system using Docker (Casiño, 2025) and normalizing APIs will guarantee smooth migration to future platforms with data integrity preserved</w:t>
      </w:r>
    </w:p>
    <w:p w:rsidR="00000000" w:rsidDel="00000000" w:rsidP="00000000" w:rsidRDefault="00000000" w:rsidRPr="00000000" w14:paraId="000000A0">
      <w:pPr>
        <w:widowControl w:val="1"/>
        <w:spacing w:line="480" w:lineRule="auto"/>
        <w:jc w:val="both"/>
        <w:rPr>
          <w:rFonts w:ascii="Courier New" w:cs="Courier New" w:eastAsia="Courier New" w:hAnsi="Courier New"/>
          <w:b w:val="1"/>
          <w:color w:val="000000"/>
          <w:sz w:val="24"/>
          <w:szCs w:val="24"/>
        </w:rPr>
      </w:pPr>
      <w:r w:rsidDel="00000000" w:rsidR="00000000" w:rsidRPr="00000000">
        <w:rPr>
          <w:rtl w:val="0"/>
        </w:rPr>
      </w:r>
    </w:p>
    <w:p w:rsidR="00000000" w:rsidDel="00000000" w:rsidP="00000000" w:rsidRDefault="00000000" w:rsidRPr="00000000" w14:paraId="000000A1">
      <w:pPr>
        <w:widowControl w:val="1"/>
        <w:spacing w:line="480" w:lineRule="auto"/>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Synthesis of the art</w:t>
      </w:r>
    </w:p>
    <w:p w:rsidR="00000000" w:rsidDel="00000000" w:rsidP="00000000" w:rsidRDefault="00000000" w:rsidRPr="00000000" w14:paraId="000000A2">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literature review underscores the growing need for digitalization in museum management, specifically for enhancing operational productivity, accessibility, and user experience. Traditional museum operations, such as manual inventory and paper-based cataloging, are filled with a high number of inefficiencies that hinder data retrieval, organization, and conservation (Smith, 2023; Odili &amp; Iheanacho, 2022). Findings from research by Llabres (2023) and Di Muccio (2024) justify that lack of standardized cataloging guidelines and application of physical documentation lead to missing artifacts and time-consuming operations. Based on these, digital platforms in the form of searchable databases, cloud storage, and automated metadata frameworks have emerged as crucial tools for process simplification, minimization of human errors, and accuracy enhancement (Agboola et al., 2022; Mishra &amp; Singh, 2024).</w:t>
      </w:r>
    </w:p>
    <w:p w:rsidR="00000000" w:rsidDel="00000000" w:rsidP="00000000" w:rsidRDefault="00000000" w:rsidRPr="00000000" w14:paraId="000000A3">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For instance, Städtler (2024) illustrates how authoritative information and standardized metadata enhance the discoverabilities of artifacts in digital libraries, while Tsipis et al. (2024) advocate for the deployment of cloud-based Digital Repository as a Service (D-RaaS) to ensure equal access to cultural heritage. Similarly, Lee &amp; Park (2024) and Li (2024) highlight that the digitization process facilitates visitor engagement through interactive displays and customized tours, which is in line with Museo Bulawan's aspiration to become a modern, visitor-centric museum. However, the transition to digital systems has a myriad of challenges. Thomas et al. (2020) and Nikolaou (2024) identify institution-level challenges like inadequate funding, gaps in technical capacity, and resistance to workflow change—challenges which are especially relevant for smaller museums like Museo Bulawan.</w:t>
      </w:r>
    </w:p>
    <w:p w:rsidR="00000000" w:rsidDel="00000000" w:rsidP="00000000" w:rsidRDefault="00000000" w:rsidRPr="00000000" w14:paraId="000000A4">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Ethical issues introduce another layer of complexity for digitization initiatives. Palmer (2024) and Senatore et al. (2025) note the dual mandate of museums to protect cultural identity in addition to providing access on a fair basis, a challenge Museo Bulawan has to balance in digitizing indigenous material. Regional research, like Chigwada &amp; Ngulube (2024) on indigenous knowledge conservation, emphasizes culturally sensitive metadata models, an aspect not well explored in blanket digitization schemes.</w:t>
      </w:r>
    </w:p>
    <w:p w:rsidR="00000000" w:rsidDel="00000000" w:rsidP="00000000" w:rsidRDefault="00000000" w:rsidRPr="00000000" w14:paraId="000000A5">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Although ISO 25010 has been used in healthcare (Nugraha et al., 2024), CRM (Liang &amp; Gumabay, 2025), and e-commerce (Setyaningrum et al., 2025), no studies specifically target cultural heritage institutions in the Philippines. Museo Bulawan's dual mission—digitizing physical objects while authenticating them—raises issues not covered by existing literature. For example, incorporating indigenous cultural accuracy authority data (Städtler, 2024) or balancing open access with Indigenous data sovereignty (Dhillon et al., 2021) calls for localized uses of ISO 25010. The OSCA ERMS study (Libadia et al., 2025) provides a regional template, but Museo Bulawan has to innovate to incorporate gaps in multilingual metadata and community-led digitization.</w:t>
      </w:r>
    </w:p>
    <w:p w:rsidR="00000000" w:rsidDel="00000000" w:rsidP="00000000" w:rsidRDefault="00000000" w:rsidRPr="00000000" w14:paraId="000000A6">
      <w:pPr>
        <w:widowControl w:val="1"/>
        <w:spacing w:line="48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Literature backs the adaptability of ISO 25010 across various sectors and identifies an important absence of application for cultural heritage. With the integration of OSCA's ERMS approach (Libadia et al., 2025), Halodoc's usability framework (Pratama &amp; Mutiara, 2021), and IoT-based frameworks (Casiño, 2025), Museo Bulawan can create a model sensitive to the specific context of museums. Future research must investigate participatory design with local communities and LC/NC tools (Zhang, 2024) to enhance access further without compromising security. This makes Museo Bulawan a model for Southeast Asia-based ISO 25010-based cultural digitization.</w:t>
      </w:r>
    </w:p>
    <w:p w:rsidR="00000000" w:rsidDel="00000000" w:rsidP="00000000" w:rsidRDefault="00000000" w:rsidRPr="00000000" w14:paraId="000000A7">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jc w:val="both"/>
        <w:rPr>
          <w:rFonts w:ascii="Courier New" w:cs="Courier New" w:eastAsia="Courier New" w:hAnsi="Courier New"/>
          <w:b w:val="1"/>
          <w:sz w:val="24"/>
          <w:szCs w:val="24"/>
        </w:rPr>
      </w:pPr>
      <w:sdt>
        <w:sdtPr>
          <w:tag w:val="goog_rdk_0"/>
        </w:sdtPr>
        <w:sdtContent>
          <w:commentRangeStart w:id="0"/>
        </w:sdtContent>
      </w:sdt>
      <w:r w:rsidDel="00000000" w:rsidR="00000000" w:rsidRPr="00000000">
        <w:rPr>
          <w:rFonts w:ascii="Courier New" w:cs="Courier New" w:eastAsia="Courier New" w:hAnsi="Courier New"/>
          <w:b w:val="1"/>
          <w:sz w:val="24"/>
          <w:szCs w:val="24"/>
          <w:rtl w:val="0"/>
        </w:rPr>
        <w:t xml:space="preserve">References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E">
      <w:pPr>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Republic Act No. 4846 (Cultural Properties Preservation and Protection Act, 1966, as amended by P.D. 374).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Official Gazette.</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Retrieve from </w:t>
      </w:r>
      <w:hyperlink r:id="rId9">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https://www.officialgazette</w:t>
        </w:r>
      </w:hyperlink>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.gov.ph/2019/04/26/republic-act-no-11333/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Republic Act No. 8492 (National Museum Act of 1998).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LawPhil.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Retrieve from </w:t>
      </w:r>
      <w:hyperlink r:id="rId1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https://lawphil.net/statutes</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/repacts/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rtl w:val="0"/>
        </w:rPr>
        <w:t xml:space="preserve">RA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1998/ RA_8492_1998.html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Republic Act No. 10066 (National Cultural Heritage Act of 2010).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LawPhil.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Retrieve from </w:t>
      </w:r>
      <w:hyperlink r:id="rId1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https://lawphil.net/statutes</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/repacts/ra2010/ra_10066_2010.html</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Republic Act No. 11333 (National Museum of thePhilippines Act of 2019).</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LawPhil.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Retrieve from https://lawphil.net</w:t>
        <w:br w:type="textWrapping"/>
        <w:t xml:space="preserve">/statutes/repacts/ra2019/ra_11333_2019.html</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Agboola, F. F., Malgwi, Y. M., Mahmud, M. A., &amp; Oguntoye, J. P.</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(2022). Development of a web-based platform for automating an inventory management of a small and medium enterprise.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FUDMA Journal of Sciences, 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(5), 57–65. </w:t>
      </w:r>
      <w:hyperlink r:id="rId1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https://doi.org/10.33003/fjs-2022-0605-1064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Akgül, Y.</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Evaluating the performance of websites from a public value, usability, and readability perspectives: A review of Turkish national government websites.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Universal Access in the Information Society, 23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975–990.</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Baião, J., &amp; Carvalho, 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Virtual museums and art projects, between the analogue and the digital: Catalogue Raisonné Graça Morais.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Art, Museums and Digital Cultures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https://research.unl.pt/ws/portalfiles/portal</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1"/>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Barok, D. (2024).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Publishing as a conservation strategy: Platforms, care and contemporary Art https://pure.uva.nl/ws/files/204145822/Thesis.pdf</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Basso, A., Casarin, F., &amp; Funari, 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(2023). Modelling museum efficiency in producing inter-reliant outputs.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Cultural Economics, 47</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123–145. </w:t>
      </w:r>
      <w:hyperlink r:id="rId1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https://doi.org/10.1007/s10824-019-09347-2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Casiño, G. E.</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March). Integrating IoT solutions for real-time attendance tracking with biometric systems.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Workshop on Electronics Communication Engineering (WECE 2024), 13553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116–124. SPIE. </w:t>
      </w:r>
      <w:hyperlink r:id="rId1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https://doi.org/10.1117/12.3062964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Chigwada, J., &amp; Ngulube, P.</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Librarians’ role in the preservation and dissemination of indigenous knowledge.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IFLA Journal, 50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242–256.</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Debnath, N., Peralta, M., Salgado, C., Baigorria, L., Riesco, D., Montejano, G., &amp; Mazzi, M.</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Digital transformation: A quality model based on ISO 25010 and user experience.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EPiC Series in Computing, 75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11–21.</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Di Muccio, C.</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Standardizing Records: Library Cataloging Versus the Museum.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Sotheby's Institute of Art - New York</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ProQuest Dissertations &amp; Theses. </w:t>
      </w:r>
      <w:hyperlink r:id="rId1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https://www.proquest.com/openview</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Falco, M., &amp; Robiolo, G.</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February). Building a catalogue of ISO/IEC 25010 quality measures applied in an industrial context.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Physics: Conference Series, 1828</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012077. IOP Publishing.</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G. Llabres, E.</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(2023). Auto Parts Inventory Management System.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Scientific and Management Research, 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(9), 314–329. </w:t>
      </w:r>
      <w:hyperlink r:id="rId1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https://doi.org/10.37502/ijsmr.2023.6922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Holcombe-James, I.</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(2022). Digital cataloguing and community archives: Opportunities and challenges in enhancing digital inclusion.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Archival Science, 22</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521–538.</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J.B. Odili, &amp; Iheanacho, U.</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(2022). Automated inventory control system for a university cafeteria management.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Anchor University Journal of Science and Technology, 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w:t>
      </w:r>
      <w:hyperlink r:id="rId1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https://www.ajol.info/index.php/aujst/article/view/243750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Kist, C., Economou, M., St Clair Inglis, C., Babes, P., Kneale, A., &amp; Norfolk, H.</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(2023). Surfacing the National Collections: Adapting image cataloguing standards to transform access to National Museums Scotland's online collections. University of Glasgow and National Museums Scotland.</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Kurniasari, D. T., &amp; Rochimah, 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An evaluation model of website testing framework based on ISO 25010 performance efficiency.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Indonesian Journal of Electrical Engineering and Computer Science, 37</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1130–1139. </w:t>
      </w:r>
      <w:hyperlink r:id="rId1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https://doi.org/10.11591/ijeecs.v37.i2.pp1130-1139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Latupeirissa, J. J. P., Dewi, N. L. Y., Prayana, I. K. R., Srikandi, M. B., Ramadiansyah, S. A., &amp; Pramana, I. B. G. A. Y.</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Transforming public service delivery: A comprehensive review of digitization initiatives.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Sustainability, 16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(7), 2818. </w:t>
      </w:r>
      <w:hyperlink r:id="rId2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https://doi.org/10.3390/su16072818</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Lee, J., &amp; Park, H.</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The role of digital cataloging in enhancing user engagement in virtual museum spaces.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Digital Heritage, 19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112–130. </w:t>
      </w:r>
      <w:hyperlink r:id="rId2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https://doi.org/10.1016/j.digher.2024.06.009</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Li, P.</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Cultural communication in museums: A perspective of the visitors experience.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PLoS ONE, 19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(5), e0303026. </w:t>
      </w:r>
      <w:hyperlink r:id="rId2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https://doi.org/10.1371/journal.pone.0303026</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Liang, Q., &amp; Gumabay, M. V.</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Customer relationship management system with decision support.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Smart Cities, 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36–43. </w:t>
      </w:r>
      <w:hyperlink r:id="rId2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https://doi.org/10.26789/JSC.2024.02.006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Libadia, M., Botangen, K. A., Lucero, P. J., &amp; Tecson, J.</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Development of a web-based records management system: An ERMS initiative for the Office of Senior Citizen Affairs in the Philippines.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Records Management Journal, ahead-of-print</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hyperlink r:id="rId2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https://doi.org/10.1108/RMJ-06-2023-0031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Liu, J., Ghafar, M. A., &amp; Ab Halim, A.</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Preferences for cultural relic preservation method in Chinese traditional museums.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Art and Design, 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48–62.</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Miksa, S. D.</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Cataloging principles and objectives: History and development.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Cataloging &amp; Classification Quarterly, 59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(2–3), 97–128. </w:t>
      </w:r>
      <w:hyperlink r:id="rId2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https://doi.org/10.1080/01639374.2021.188317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Mishra, A., &amp; Singh, S. K.</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Understanding the shortcomings of cataloguing practices in artifact preservation: A case study of Taka Museum.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Library Hi Tech News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hyperlink r:id="rId2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https://doi.org/10.1108/LHTN-09-2024-0166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Naqvi, B., Kedziora, D., Zhang, L., &amp; Oyedeji, 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Quality of low-code/no-code development platforms through the lens of ISO 25010: 2023.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Computer, 58</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(3), 30–40.</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Nikolaou, P.</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Museums and the post-digital: Revisiting challenges in the digital transformation of museums.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Heritage, 7</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(3), 1784–1800. </w:t>
      </w:r>
      <w:hyperlink r:id="rId2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https://doi.org/10.3390/heritage7030084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Nugraha, D., Yanto, R., Nugraha, F. Y., &amp; Sudarmo, T.</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October). Evaluating the performance of electronic medical records in monitoring nutritional status and stunting risks in rural areas using the e-PPGBM application.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Engineering Science and Technology, 20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36–43. </w:t>
      </w:r>
      <w:hyperlink r:id="rId2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https://www.researchgate.net/publication/389700767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Palmer, G. 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Looted artifacts and museums' perpetuation of imperialism and racism: Implications for the importance of preserving cultural heritage.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American Journal of Community Psychology, 73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(1–2), 57–65.</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Panda, S., &amp; Kaur, D. N.</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Sustaining library collections: Documentation, preservation, and conservation through SDGs.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Innovative Library Practices in Digital Era: Aligning with NEP-2020 for Viksit Bharat, 2047</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594–606.</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Panduwiyasa, H., et al.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Accounting and Smart System: Functional evaluation of ISO/IEC 25010:2011 quality model (A case study).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IOP Conference Series: Materials Science and Engineering, 1092</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012065. </w:t>
      </w:r>
      <w:hyperlink r:id="rId2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https://iopscience.iop.org/article/10.1088/1757-899X/1092/1/012065/pdf</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Park, J.</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An actor-network perspective on collections documentation and data practices at museums.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Museum &amp; Society, 19</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237–251. </w:t>
      </w:r>
      <w:hyperlink r:id="rId3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https://doi.org/10.29311/mas.v19i2.3455</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Pati, S., &amp; Zaki, Y.</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Evaluating the efficacy of Next.js: A comparative analysis with React.js on performance, SEO, and global network equity.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arXiv preprint arXiv:2502.15707</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Petraki, D., Gazoulis, I., Kokkini, M., Danaskos, M., Kanatas, P., Rekkas, A., &amp; Travlos, I.</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Digital tools and decision support systems in agroecology: Benefits, challenges, and practical implementations.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Agronomy, 15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Prabowo, W. A.</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Developing compliant audit information system for information security index: A study on enhancing institutional and organizational audits using web-based technology and ISO 25010:2011 total quality of use evaluation.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JOIV: International Journal on Informatics Visualization, 8</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343–351. </w:t>
      </w:r>
      <w:hyperlink r:id="rId3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https://joiv.org/index.php/joiv/article/view/1845</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Pratama, A. A., &amp; Mutiara, A. B.</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Software quality analysis for Halodoc application using ISO 25010:2011.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Advanced Computer Science and Applications, 12</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(8). </w:t>
      </w:r>
      <w:hyperlink r:id="rId3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https://doi.org/10.14569/IJACSA.2021.0120844</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Sadono, S., Pandanwangi, B., Laksani, H., &amp; Kasputra, D.</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Digital preservation of Javanese manuscript: A digital asset management approach at Radya Pustaka Solo Museum.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KnE Social Sciences, 10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(3), 17–24.</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Senatore, C., Del Turco, R. R., &amp; Pisano, P.</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Digital resources for manuscripts: Between fragmentation and development prospects.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Mimesis Journal, 13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103.</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Setyaningrum, M., Setyawati, E., &amp; Setyawan, A. A.</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Sistem informasi penjualan berbasis website menggunakan framework CodeIgniter (studi kasus: MSGLOW Banyumas).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Jotika Journal in Management and Entrepreneurship, 4</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99–112. </w:t>
      </w:r>
      <w:hyperlink r:id="rId3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http://journal.jotika.co.id/index.php/JME/article/view/177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Siliutina, I., Tytar, O., Barbash, M., Petrenko, N., &amp; Yepyk, 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Cultural preservation and digital heritage: Challenges and opportunities.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Amazonia Investiga, 13</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(75), 262–273.</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Smith, J.</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(2023). Optimizing inventory with warehouse management systems.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Journal of Logistics, 15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45–60.</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Städtler, D.</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Impact of authority data on search in the German Digital Library: Glimpse at the cataloguing praxis in museums.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Indian Journals, 11</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43–50. </w:t>
      </w:r>
      <w:hyperlink r:id="rId3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https://www.indianjournals.com/ijor.aspx?target=ijor:is1&amp;volume=11&amp;issue=1&amp;article=00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Thomas, J., et al.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(2020). Digital inclusion framework and technology access.</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Tsipis, L., Vouyioukas, D., Loumos, G., Kargas, A., &amp; Karagiannis, D.</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Digital repository as a service (D-RaaS): Enhancing access and preservation of cultural heritage artifacts.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Digital Libraries, 25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123–140. </w:t>
      </w:r>
      <w:hyperlink r:id="rId3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https://doi.org/10.1007/s00799-024-00321-9</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Vaka, D. K.</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Integrating inventory management and distribution: A holistic supply chain strategy.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The International Journal of Managing Value and Supply Chains, 15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13–23.</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Yulianty, A., &amp; Kurniawati, A.</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Quality analysis of bios portal website at banking companies using ISO/IEC 25010: 2011 method.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Research Journal of Advanced Engineering and Science, 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11–16. </w:t>
      </w:r>
      <w:hyperlink r:id="rId3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https://irjaes.com/wp-content/uploads/2021/03/IRJAES-V6N2P16Y21.pdf</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Zavalin, V., &amp; Zavalina, O. 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(2023). Exploration of accuracy, completeness and consistency in metadata for physical objects in museum collections. In I. Sserwanga et al. (Eds.),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Information for a Better World: Normality, Virtuality, Physicality, Inclusivity. iConference 2023. Lecture Notes in Computer Science (Vol. 13972)</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Springer. </w:t>
      </w:r>
      <w:hyperlink r:id="rId3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https://doi.org/10.1007/978-3-031-28032-0_7</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Zefanya, V., Rakib, M., &amp; Aris, V.</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(2025). Designing a web-based information system for coworking space BIKINBIKIN Creative Hub using Personal Extreme Programming method: Kalla Hospitality case study.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Computer Science and Research Review, 8</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w:t>
      </w:r>
      <w:hyperlink r:id="rId3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https://doi.org/10.47191/ijcsrr/V8-i1-01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Zhang, 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(2024). Evaluating the merits of low code/no code paradigm from the perspective of ISO 25010 quality requirements. </w:t>
      </w:r>
      <w:hyperlink r:id="rId3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https://lutpub.lut.fi/handle/10024/167706</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Abo Zeid, O. M. H.</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(2022). Museum collection management in the past, nowadays and in the future: Grand Egyptian Museum case study.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Journal of Multidisciplinary Studies in Heritage Research, 5</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 69–96. </w:t>
      </w:r>
      <w:hyperlink r:id="rId4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https://ijmshr.journals.ekb.eg/article_274549.html</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Dhillon, G., Smith, K., &amp; Dissanayaka, I.</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Information systems security research agenda: Exploring the gap between research and practice.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The Journal of Strategic Information Systems, 30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(4), 101693.</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Saputra, E., &amp; Banowosari, L. Y.</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(2021). Quality analysis of e-office application pt. kai (persero) use method ISO 25010. </w:t>
      </w: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International Research Journal of Advanced Engineering and Science, 6</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(1), 96–100. </w:t>
      </w:r>
      <w:hyperlink r:id="rId4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https://irjaes.com/wp-content/uploads/2021/01/IRJAES-V6N1P67Y21.pdf</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A">
      <w:pPr>
        <w:spacing w:line="480" w:lineRule="auto"/>
        <w:jc w:val="both"/>
        <w:rPr/>
      </w:pPr>
      <w:r w:rsidDel="00000000" w:rsidR="00000000" w:rsidRPr="00000000">
        <w:rPr>
          <w:rtl w:val="0"/>
        </w:rPr>
      </w:r>
    </w:p>
    <w:p w:rsidR="00000000" w:rsidDel="00000000" w:rsidP="00000000" w:rsidRDefault="00000000" w:rsidRPr="00000000" w14:paraId="000000EB">
      <w:pPr>
        <w:spacing w:line="480" w:lineRule="auto"/>
        <w:jc w:val="both"/>
        <w:rPr/>
      </w:pPr>
      <w:r w:rsidDel="00000000" w:rsidR="00000000" w:rsidRPr="00000000">
        <w:rPr>
          <w:rtl w:val="0"/>
        </w:rPr>
      </w:r>
    </w:p>
    <w:sectPr>
      <w:headerReference r:id="rId42" w:type="default"/>
      <w:pgSz w:h="16838" w:w="11906" w:orient="portrait"/>
      <w:pgMar w:bottom="1440" w:top="1440" w:left="216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lyn Baesa" w:id="0" w:date="2025-05-17T08:55:16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bullets in references, left align ang references NOT justified. Arangement is based on whose comes first, NOT alphabetical po.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widowControl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59" w:lineRule="auto"/>
    </w:pPr>
    <w:rPr>
      <w:rFonts w:ascii="Aptos" w:cs="Aptos" w:eastAsia="Aptos" w:hAnsi="Aptos"/>
      <w:i w:val="1"/>
      <w:color w:val="0f4761"/>
    </w:rPr>
  </w:style>
  <w:style w:type="paragraph" w:styleId="Heading5">
    <w:name w:val="heading 5"/>
    <w:basedOn w:val="Normal"/>
    <w:next w:val="Normal"/>
    <w:pPr>
      <w:keepNext w:val="1"/>
      <w:keepLines w:val="1"/>
      <w:widowControl w:val="1"/>
      <w:spacing w:after="40" w:before="80" w:line="259" w:lineRule="auto"/>
    </w:pPr>
    <w:rPr>
      <w:rFonts w:ascii="Aptos" w:cs="Aptos" w:eastAsia="Aptos" w:hAnsi="Aptos"/>
      <w:color w:val="0f4761"/>
    </w:rPr>
  </w:style>
  <w:style w:type="paragraph" w:styleId="Heading6">
    <w:name w:val="heading 6"/>
    <w:basedOn w:val="Normal"/>
    <w:next w:val="Normal"/>
    <w:pPr>
      <w:keepNext w:val="1"/>
      <w:keepLines w:val="1"/>
      <w:widowControl w:val="1"/>
      <w:spacing w:before="40" w:line="259" w:lineRule="auto"/>
    </w:pPr>
    <w:rPr>
      <w:rFonts w:ascii="Aptos" w:cs="Aptos" w:eastAsia="Aptos" w:hAnsi="Aptos"/>
      <w:i w:val="1"/>
      <w:color w:val="595959"/>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Normal" w:default="1">
    <w:name w:val="Normal"/>
    <w:qFormat w:val="1"/>
    <w:rsid w:val="00974FB8"/>
    <w:pPr>
      <w:widowControl w:val="0"/>
      <w:autoSpaceDE w:val="0"/>
      <w:autoSpaceDN w:val="0"/>
      <w:spacing w:after="0" w:line="240" w:lineRule="auto"/>
    </w:pPr>
    <w:rPr>
      <w:rFonts w:ascii="Arial MT" w:cs="Arial MT" w:eastAsia="Arial MT" w:hAnsi="Arial MT"/>
      <w:kern w:val="0"/>
      <w:lang w:val="en-US"/>
    </w:rPr>
  </w:style>
  <w:style w:type="paragraph" w:styleId="Heading1">
    <w:name w:val="heading 1"/>
    <w:basedOn w:val="Normal"/>
    <w:next w:val="Normal"/>
    <w:link w:val="Heading1Char"/>
    <w:uiPriority w:val="9"/>
    <w:qFormat w:val="1"/>
    <w:rsid w:val="007B353C"/>
    <w:pPr>
      <w:keepNext w:val="1"/>
      <w:keepLines w:val="1"/>
      <w:widowControl w:val="1"/>
      <w:autoSpaceDE w:val="1"/>
      <w:autoSpaceDN w:val="1"/>
      <w:spacing w:after="80" w:before="360" w:line="259" w:lineRule="auto"/>
      <w:outlineLvl w:val="0"/>
    </w:pPr>
    <w:rPr>
      <w:rFonts w:asciiTheme="majorHAnsi" w:cstheme="majorBidi" w:eastAsiaTheme="majorEastAsia" w:hAnsiTheme="majorHAnsi"/>
      <w:color w:val="0f4761" w:themeColor="accent1" w:themeShade="0000BF"/>
      <w:kern w:val="2"/>
      <w:sz w:val="40"/>
      <w:szCs w:val="40"/>
      <w:lang w:val="en-PH"/>
    </w:rPr>
  </w:style>
  <w:style w:type="paragraph" w:styleId="Heading2">
    <w:name w:val="heading 2"/>
    <w:basedOn w:val="Normal"/>
    <w:next w:val="Normal"/>
    <w:link w:val="Heading2Char"/>
    <w:uiPriority w:val="9"/>
    <w:unhideWhenUsed w:val="1"/>
    <w:qFormat w:val="1"/>
    <w:rsid w:val="007B353C"/>
    <w:pPr>
      <w:keepNext w:val="1"/>
      <w:keepLines w:val="1"/>
      <w:widowControl w:val="1"/>
      <w:autoSpaceDE w:val="1"/>
      <w:autoSpaceDN w:val="1"/>
      <w:spacing w:after="80" w:before="160" w:line="259" w:lineRule="auto"/>
      <w:outlineLvl w:val="1"/>
    </w:pPr>
    <w:rPr>
      <w:rFonts w:asciiTheme="majorHAnsi" w:cstheme="majorBidi" w:eastAsiaTheme="majorEastAsia" w:hAnsiTheme="majorHAnsi"/>
      <w:color w:val="0f4761" w:themeColor="accent1" w:themeShade="0000BF"/>
      <w:kern w:val="2"/>
      <w:sz w:val="32"/>
      <w:szCs w:val="32"/>
      <w:lang w:val="en-PH"/>
    </w:rPr>
  </w:style>
  <w:style w:type="paragraph" w:styleId="Heading3">
    <w:name w:val="heading 3"/>
    <w:basedOn w:val="Normal"/>
    <w:next w:val="Normal"/>
    <w:link w:val="Heading3Char"/>
    <w:uiPriority w:val="9"/>
    <w:semiHidden w:val="1"/>
    <w:unhideWhenUsed w:val="1"/>
    <w:qFormat w:val="1"/>
    <w:rsid w:val="007B353C"/>
    <w:pPr>
      <w:keepNext w:val="1"/>
      <w:keepLines w:val="1"/>
      <w:widowControl w:val="1"/>
      <w:autoSpaceDE w:val="1"/>
      <w:autoSpaceDN w:val="1"/>
      <w:spacing w:after="80" w:before="160" w:line="259" w:lineRule="auto"/>
      <w:outlineLvl w:val="2"/>
    </w:pPr>
    <w:rPr>
      <w:rFonts w:asciiTheme="minorHAnsi" w:cstheme="majorBidi" w:eastAsiaTheme="majorEastAsia" w:hAnsiTheme="minorHAnsi"/>
      <w:color w:val="0f4761" w:themeColor="accent1" w:themeShade="0000BF"/>
      <w:kern w:val="2"/>
      <w:sz w:val="28"/>
      <w:szCs w:val="28"/>
      <w:lang w:val="en-PH"/>
    </w:rPr>
  </w:style>
  <w:style w:type="paragraph" w:styleId="Heading4">
    <w:name w:val="heading 4"/>
    <w:basedOn w:val="Normal"/>
    <w:next w:val="Normal"/>
    <w:link w:val="Heading4Char"/>
    <w:uiPriority w:val="9"/>
    <w:semiHidden w:val="1"/>
    <w:unhideWhenUsed w:val="1"/>
    <w:qFormat w:val="1"/>
    <w:rsid w:val="007B353C"/>
    <w:pPr>
      <w:keepNext w:val="1"/>
      <w:keepLines w:val="1"/>
      <w:widowControl w:val="1"/>
      <w:autoSpaceDE w:val="1"/>
      <w:autoSpaceDN w:val="1"/>
      <w:spacing w:after="40" w:before="80" w:line="259" w:lineRule="auto"/>
      <w:outlineLvl w:val="3"/>
    </w:pPr>
    <w:rPr>
      <w:rFonts w:asciiTheme="minorHAnsi" w:cstheme="majorBidi" w:eastAsiaTheme="majorEastAsia" w:hAnsiTheme="minorHAnsi"/>
      <w:i w:val="1"/>
      <w:iCs w:val="1"/>
      <w:color w:val="0f4761" w:themeColor="accent1" w:themeShade="0000BF"/>
      <w:kern w:val="2"/>
      <w:lang w:val="en-PH"/>
    </w:rPr>
  </w:style>
  <w:style w:type="paragraph" w:styleId="Heading5">
    <w:name w:val="heading 5"/>
    <w:basedOn w:val="Normal"/>
    <w:next w:val="Normal"/>
    <w:link w:val="Heading5Char"/>
    <w:uiPriority w:val="9"/>
    <w:semiHidden w:val="1"/>
    <w:unhideWhenUsed w:val="1"/>
    <w:qFormat w:val="1"/>
    <w:rsid w:val="007B353C"/>
    <w:pPr>
      <w:keepNext w:val="1"/>
      <w:keepLines w:val="1"/>
      <w:widowControl w:val="1"/>
      <w:autoSpaceDE w:val="1"/>
      <w:autoSpaceDN w:val="1"/>
      <w:spacing w:after="40" w:before="80" w:line="259" w:lineRule="auto"/>
      <w:outlineLvl w:val="4"/>
    </w:pPr>
    <w:rPr>
      <w:rFonts w:asciiTheme="minorHAnsi" w:cstheme="majorBidi" w:eastAsiaTheme="majorEastAsia" w:hAnsiTheme="minorHAnsi"/>
      <w:color w:val="0f4761" w:themeColor="accent1" w:themeShade="0000BF"/>
      <w:kern w:val="2"/>
      <w:lang w:val="en-PH"/>
    </w:rPr>
  </w:style>
  <w:style w:type="paragraph" w:styleId="Heading6">
    <w:name w:val="heading 6"/>
    <w:basedOn w:val="Normal"/>
    <w:next w:val="Normal"/>
    <w:link w:val="Heading6Char"/>
    <w:uiPriority w:val="9"/>
    <w:semiHidden w:val="1"/>
    <w:unhideWhenUsed w:val="1"/>
    <w:qFormat w:val="1"/>
    <w:rsid w:val="007B353C"/>
    <w:pPr>
      <w:keepNext w:val="1"/>
      <w:keepLines w:val="1"/>
      <w:widowControl w:val="1"/>
      <w:autoSpaceDE w:val="1"/>
      <w:autoSpaceDN w:val="1"/>
      <w:spacing w:before="40" w:line="259" w:lineRule="auto"/>
      <w:outlineLvl w:val="5"/>
    </w:pPr>
    <w:rPr>
      <w:rFonts w:asciiTheme="minorHAnsi" w:cstheme="majorBidi" w:eastAsiaTheme="majorEastAsia" w:hAnsiTheme="minorHAnsi"/>
      <w:i w:val="1"/>
      <w:iCs w:val="1"/>
      <w:color w:val="595959" w:themeColor="text1" w:themeTint="0000A6"/>
      <w:kern w:val="2"/>
      <w:lang w:val="en-PH"/>
    </w:rPr>
  </w:style>
  <w:style w:type="paragraph" w:styleId="Heading7">
    <w:name w:val="heading 7"/>
    <w:basedOn w:val="Normal"/>
    <w:next w:val="Normal"/>
    <w:link w:val="Heading7Char"/>
    <w:uiPriority w:val="9"/>
    <w:semiHidden w:val="1"/>
    <w:unhideWhenUsed w:val="1"/>
    <w:qFormat w:val="1"/>
    <w:rsid w:val="007B353C"/>
    <w:pPr>
      <w:keepNext w:val="1"/>
      <w:keepLines w:val="1"/>
      <w:widowControl w:val="1"/>
      <w:autoSpaceDE w:val="1"/>
      <w:autoSpaceDN w:val="1"/>
      <w:spacing w:before="40" w:line="259" w:lineRule="auto"/>
      <w:outlineLvl w:val="6"/>
    </w:pPr>
    <w:rPr>
      <w:rFonts w:asciiTheme="minorHAnsi" w:cstheme="majorBidi" w:eastAsiaTheme="majorEastAsia" w:hAnsiTheme="minorHAnsi"/>
      <w:color w:val="595959" w:themeColor="text1" w:themeTint="0000A6"/>
      <w:kern w:val="2"/>
      <w:lang w:val="en-PH"/>
    </w:rPr>
  </w:style>
  <w:style w:type="paragraph" w:styleId="Heading8">
    <w:name w:val="heading 8"/>
    <w:basedOn w:val="Normal"/>
    <w:next w:val="Normal"/>
    <w:link w:val="Heading8Char"/>
    <w:uiPriority w:val="9"/>
    <w:semiHidden w:val="1"/>
    <w:unhideWhenUsed w:val="1"/>
    <w:qFormat w:val="1"/>
    <w:rsid w:val="007B353C"/>
    <w:pPr>
      <w:keepNext w:val="1"/>
      <w:keepLines w:val="1"/>
      <w:widowControl w:val="1"/>
      <w:autoSpaceDE w:val="1"/>
      <w:autoSpaceDN w:val="1"/>
      <w:spacing w:line="259" w:lineRule="auto"/>
      <w:outlineLvl w:val="7"/>
    </w:pPr>
    <w:rPr>
      <w:rFonts w:asciiTheme="minorHAnsi" w:cstheme="majorBidi" w:eastAsiaTheme="majorEastAsia" w:hAnsiTheme="minorHAnsi"/>
      <w:i w:val="1"/>
      <w:iCs w:val="1"/>
      <w:color w:val="272727" w:themeColor="text1" w:themeTint="0000D8"/>
      <w:kern w:val="2"/>
      <w:lang w:val="en-PH"/>
    </w:rPr>
  </w:style>
  <w:style w:type="paragraph" w:styleId="Heading9">
    <w:name w:val="heading 9"/>
    <w:basedOn w:val="Normal"/>
    <w:next w:val="Normal"/>
    <w:link w:val="Heading9Char"/>
    <w:uiPriority w:val="9"/>
    <w:semiHidden w:val="1"/>
    <w:unhideWhenUsed w:val="1"/>
    <w:qFormat w:val="1"/>
    <w:rsid w:val="007B353C"/>
    <w:pPr>
      <w:keepNext w:val="1"/>
      <w:keepLines w:val="1"/>
      <w:widowControl w:val="1"/>
      <w:autoSpaceDE w:val="1"/>
      <w:autoSpaceDN w:val="1"/>
      <w:spacing w:line="259" w:lineRule="auto"/>
      <w:outlineLvl w:val="8"/>
    </w:pPr>
    <w:rPr>
      <w:rFonts w:asciiTheme="minorHAnsi" w:cstheme="majorBidi" w:eastAsiaTheme="majorEastAsia" w:hAnsiTheme="minorHAnsi"/>
      <w:color w:val="272727" w:themeColor="text1" w:themeTint="0000D8"/>
      <w:kern w:val="2"/>
      <w:lang w:val="en-PH"/>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353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B353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B353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B353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B353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B353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B353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B353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B353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B353C"/>
    <w:pPr>
      <w:widowControl w:val="1"/>
      <w:autoSpaceDE w:val="1"/>
      <w:autoSpaceDN w:val="1"/>
      <w:spacing w:after="80"/>
      <w:contextualSpacing w:val="1"/>
    </w:pPr>
    <w:rPr>
      <w:rFonts w:asciiTheme="majorHAnsi" w:cstheme="majorBidi" w:eastAsiaTheme="majorEastAsia" w:hAnsiTheme="majorHAnsi"/>
      <w:spacing w:val="-10"/>
      <w:kern w:val="28"/>
      <w:sz w:val="56"/>
      <w:szCs w:val="56"/>
      <w:lang w:val="en-PH"/>
    </w:rPr>
  </w:style>
  <w:style w:type="character" w:styleId="TitleChar" w:customStyle="1">
    <w:name w:val="Title Char"/>
    <w:basedOn w:val="DefaultParagraphFont"/>
    <w:link w:val="Title"/>
    <w:uiPriority w:val="10"/>
    <w:rsid w:val="007B353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B353C"/>
    <w:pPr>
      <w:widowControl w:val="1"/>
      <w:numPr>
        <w:ilvl w:val="1"/>
      </w:numPr>
      <w:autoSpaceDE w:val="1"/>
      <w:autoSpaceDN w:val="1"/>
      <w:spacing w:after="160" w:line="259" w:lineRule="auto"/>
    </w:pPr>
    <w:rPr>
      <w:rFonts w:asciiTheme="minorHAnsi" w:cstheme="majorBidi" w:eastAsiaTheme="majorEastAsia" w:hAnsiTheme="minorHAnsi"/>
      <w:color w:val="595959" w:themeColor="text1" w:themeTint="0000A6"/>
      <w:spacing w:val="15"/>
      <w:kern w:val="2"/>
      <w:sz w:val="28"/>
      <w:szCs w:val="28"/>
      <w:lang w:val="en-PH"/>
    </w:rPr>
  </w:style>
  <w:style w:type="character" w:styleId="SubtitleChar" w:customStyle="1">
    <w:name w:val="Subtitle Char"/>
    <w:basedOn w:val="DefaultParagraphFont"/>
    <w:link w:val="Subtitle"/>
    <w:uiPriority w:val="11"/>
    <w:rsid w:val="007B353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B353C"/>
    <w:pPr>
      <w:widowControl w:val="1"/>
      <w:autoSpaceDE w:val="1"/>
      <w:autoSpaceDN w:val="1"/>
      <w:spacing w:after="160" w:before="160" w:line="259" w:lineRule="auto"/>
      <w:jc w:val="center"/>
    </w:pPr>
    <w:rPr>
      <w:rFonts w:asciiTheme="minorHAnsi" w:cstheme="minorBidi" w:eastAsiaTheme="minorHAnsi" w:hAnsiTheme="minorHAnsi"/>
      <w:i w:val="1"/>
      <w:iCs w:val="1"/>
      <w:color w:val="404040" w:themeColor="text1" w:themeTint="0000BF"/>
      <w:kern w:val="2"/>
      <w:lang w:val="en-PH"/>
    </w:rPr>
  </w:style>
  <w:style w:type="character" w:styleId="QuoteChar" w:customStyle="1">
    <w:name w:val="Quote Char"/>
    <w:basedOn w:val="DefaultParagraphFont"/>
    <w:link w:val="Quote"/>
    <w:uiPriority w:val="29"/>
    <w:rsid w:val="007B353C"/>
    <w:rPr>
      <w:i w:val="1"/>
      <w:iCs w:val="1"/>
      <w:color w:val="404040" w:themeColor="text1" w:themeTint="0000BF"/>
    </w:rPr>
  </w:style>
  <w:style w:type="paragraph" w:styleId="ListParagraph">
    <w:name w:val="List Paragraph"/>
    <w:basedOn w:val="Normal"/>
    <w:uiPriority w:val="34"/>
    <w:qFormat w:val="1"/>
    <w:rsid w:val="007B353C"/>
    <w:pPr>
      <w:widowControl w:val="1"/>
      <w:autoSpaceDE w:val="1"/>
      <w:autoSpaceDN w:val="1"/>
      <w:spacing w:after="160" w:line="259" w:lineRule="auto"/>
      <w:ind w:left="720"/>
      <w:contextualSpacing w:val="1"/>
    </w:pPr>
    <w:rPr>
      <w:rFonts w:asciiTheme="minorHAnsi" w:cstheme="minorBidi" w:eastAsiaTheme="minorHAnsi" w:hAnsiTheme="minorHAnsi"/>
      <w:kern w:val="2"/>
      <w:lang w:val="en-PH"/>
    </w:rPr>
  </w:style>
  <w:style w:type="character" w:styleId="IntenseEmphasis">
    <w:name w:val="Intense Emphasis"/>
    <w:basedOn w:val="DefaultParagraphFont"/>
    <w:uiPriority w:val="21"/>
    <w:qFormat w:val="1"/>
    <w:rsid w:val="007B353C"/>
    <w:rPr>
      <w:i w:val="1"/>
      <w:iCs w:val="1"/>
      <w:color w:val="0f4761" w:themeColor="accent1" w:themeShade="0000BF"/>
    </w:rPr>
  </w:style>
  <w:style w:type="paragraph" w:styleId="IntenseQuote">
    <w:name w:val="Intense Quote"/>
    <w:basedOn w:val="Normal"/>
    <w:next w:val="Normal"/>
    <w:link w:val="IntenseQuoteChar"/>
    <w:uiPriority w:val="30"/>
    <w:qFormat w:val="1"/>
    <w:rsid w:val="007B353C"/>
    <w:pPr>
      <w:widowControl w:val="1"/>
      <w:pBdr>
        <w:top w:color="0f4761" w:space="10" w:sz="4" w:themeColor="accent1" w:themeShade="0000BF" w:val="single"/>
        <w:bottom w:color="0f4761" w:space="10" w:sz="4" w:themeColor="accent1" w:themeShade="0000BF" w:val="single"/>
      </w:pBdr>
      <w:autoSpaceDE w:val="1"/>
      <w:autoSpaceDN w:val="1"/>
      <w:spacing w:after="360" w:before="360" w:line="259" w:lineRule="auto"/>
      <w:ind w:left="864" w:right="864"/>
      <w:jc w:val="center"/>
    </w:pPr>
    <w:rPr>
      <w:rFonts w:asciiTheme="minorHAnsi" w:cstheme="minorBidi" w:eastAsiaTheme="minorHAnsi" w:hAnsiTheme="minorHAnsi"/>
      <w:i w:val="1"/>
      <w:iCs w:val="1"/>
      <w:color w:val="0f4761" w:themeColor="accent1" w:themeShade="0000BF"/>
      <w:kern w:val="2"/>
      <w:lang w:val="en-PH"/>
    </w:rPr>
  </w:style>
  <w:style w:type="character" w:styleId="IntenseQuoteChar" w:customStyle="1">
    <w:name w:val="Intense Quote Char"/>
    <w:basedOn w:val="DefaultParagraphFont"/>
    <w:link w:val="IntenseQuote"/>
    <w:uiPriority w:val="30"/>
    <w:rsid w:val="007B353C"/>
    <w:rPr>
      <w:i w:val="1"/>
      <w:iCs w:val="1"/>
      <w:color w:val="0f4761" w:themeColor="accent1" w:themeShade="0000BF"/>
    </w:rPr>
  </w:style>
  <w:style w:type="character" w:styleId="IntenseReference">
    <w:name w:val="Intense Reference"/>
    <w:basedOn w:val="DefaultParagraphFont"/>
    <w:uiPriority w:val="32"/>
    <w:qFormat w:val="1"/>
    <w:rsid w:val="007B353C"/>
    <w:rPr>
      <w:b w:val="1"/>
      <w:bCs w:val="1"/>
      <w:smallCaps w:val="1"/>
      <w:color w:val="0f4761" w:themeColor="accent1" w:themeShade="0000BF"/>
      <w:spacing w:val="5"/>
    </w:rPr>
  </w:style>
  <w:style w:type="paragraph" w:styleId="BodyText">
    <w:name w:val="Body Text"/>
    <w:basedOn w:val="Normal"/>
    <w:link w:val="BodyTextChar"/>
    <w:uiPriority w:val="1"/>
    <w:unhideWhenUsed w:val="1"/>
    <w:qFormat w:val="1"/>
    <w:rsid w:val="001572BC"/>
    <w:rPr>
      <w:sz w:val="24"/>
      <w:szCs w:val="24"/>
    </w:rPr>
  </w:style>
  <w:style w:type="character" w:styleId="BodyTextChar" w:customStyle="1">
    <w:name w:val="Body Text Char"/>
    <w:basedOn w:val="DefaultParagraphFont"/>
    <w:link w:val="BodyText"/>
    <w:uiPriority w:val="1"/>
    <w:rsid w:val="001572BC"/>
    <w:rPr>
      <w:rFonts w:ascii="Arial MT" w:cs="Arial MT" w:eastAsia="Arial MT" w:hAnsi="Arial MT"/>
      <w:kern w:val="0"/>
      <w:sz w:val="24"/>
      <w:szCs w:val="24"/>
      <w:lang w:val="en-US"/>
    </w:rPr>
  </w:style>
  <w:style w:type="paragraph" w:styleId="Header">
    <w:name w:val="header"/>
    <w:basedOn w:val="Normal"/>
    <w:link w:val="HeaderChar"/>
    <w:uiPriority w:val="99"/>
    <w:unhideWhenUsed w:val="1"/>
    <w:rsid w:val="007C3F78"/>
    <w:pPr>
      <w:tabs>
        <w:tab w:val="center" w:pos="4680"/>
        <w:tab w:val="right" w:pos="9360"/>
      </w:tabs>
    </w:pPr>
  </w:style>
  <w:style w:type="character" w:styleId="HeaderChar" w:customStyle="1">
    <w:name w:val="Header Char"/>
    <w:basedOn w:val="DefaultParagraphFont"/>
    <w:link w:val="Header"/>
    <w:uiPriority w:val="99"/>
    <w:rsid w:val="007C3F78"/>
    <w:rPr>
      <w:rFonts w:ascii="Arial MT" w:cs="Arial MT" w:eastAsia="Arial MT" w:hAnsi="Arial MT"/>
      <w:kern w:val="0"/>
      <w:lang w:val="en-US"/>
    </w:rPr>
  </w:style>
  <w:style w:type="paragraph" w:styleId="Footer">
    <w:name w:val="footer"/>
    <w:basedOn w:val="Normal"/>
    <w:link w:val="FooterChar"/>
    <w:uiPriority w:val="99"/>
    <w:unhideWhenUsed w:val="1"/>
    <w:rsid w:val="007C3F78"/>
    <w:pPr>
      <w:tabs>
        <w:tab w:val="center" w:pos="4680"/>
        <w:tab w:val="right" w:pos="9360"/>
      </w:tabs>
    </w:pPr>
  </w:style>
  <w:style w:type="character" w:styleId="FooterChar" w:customStyle="1">
    <w:name w:val="Footer Char"/>
    <w:basedOn w:val="DefaultParagraphFont"/>
    <w:link w:val="Footer"/>
    <w:uiPriority w:val="99"/>
    <w:rsid w:val="007C3F78"/>
    <w:rPr>
      <w:rFonts w:ascii="Arial MT" w:cs="Arial MT" w:eastAsia="Arial MT" w:hAnsi="Arial MT"/>
      <w:kern w:val="0"/>
      <w:lang w:val="en-US"/>
    </w:rPr>
  </w:style>
  <w:style w:type="paragraph" w:styleId="NormalWeb">
    <w:name w:val="Normal (Web)"/>
    <w:basedOn w:val="Normal"/>
    <w:uiPriority w:val="99"/>
    <w:semiHidden w:val="1"/>
    <w:unhideWhenUsed w:val="1"/>
    <w:rsid w:val="003E6C1C"/>
    <w:rPr>
      <w:rFonts w:ascii="Times New Roman" w:cs="Times New Roman" w:hAnsi="Times New Roman"/>
      <w:sz w:val="24"/>
      <w:szCs w:val="24"/>
    </w:rPr>
  </w:style>
  <w:style w:type="character" w:styleId="Hyperlink">
    <w:name w:val="Hyperlink"/>
    <w:basedOn w:val="DefaultParagraphFont"/>
    <w:uiPriority w:val="99"/>
    <w:unhideWhenUsed w:val="1"/>
    <w:rsid w:val="00922B13"/>
    <w:rPr>
      <w:color w:val="467886" w:themeColor="hyperlink"/>
      <w:u w:val="single"/>
    </w:rPr>
  </w:style>
  <w:style w:type="character" w:styleId="UnresolvedMention">
    <w:name w:val="Unresolved Mention"/>
    <w:basedOn w:val="DefaultParagraphFont"/>
    <w:uiPriority w:val="99"/>
    <w:semiHidden w:val="1"/>
    <w:unhideWhenUsed w:val="1"/>
    <w:rsid w:val="00922B13"/>
    <w:rPr>
      <w:color w:val="605e5c"/>
      <w:shd w:color="auto" w:fill="e1dfdd" w:val="clear"/>
    </w:rPr>
  </w:style>
  <w:style w:type="character" w:styleId="FollowedHyperlink">
    <w:name w:val="FollowedHyperlink"/>
    <w:basedOn w:val="DefaultParagraphFont"/>
    <w:uiPriority w:val="99"/>
    <w:semiHidden w:val="1"/>
    <w:unhideWhenUsed w:val="1"/>
    <w:rsid w:val="00922B13"/>
    <w:rPr>
      <w:color w:val="96607d" w:themeColor="followedHyperlink"/>
      <w:u w:val="single"/>
    </w:rPr>
  </w:style>
  <w:style w:type="paragraph" w:styleId="Subtitle">
    <w:name w:val="Subtitle"/>
    <w:basedOn w:val="Normal"/>
    <w:next w:val="Normal"/>
    <w:pPr>
      <w:widowControl w:val="1"/>
      <w:spacing w:after="160" w:line="259"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ijmshr.journals.ekb.eg/article_274549.html" TargetMode="External"/><Relationship Id="rId20" Type="http://schemas.openxmlformats.org/officeDocument/2006/relationships/hyperlink" Target="https://doi.org/10.3390/su16072818" TargetMode="External"/><Relationship Id="rId42" Type="http://schemas.openxmlformats.org/officeDocument/2006/relationships/header" Target="header1.xml"/><Relationship Id="rId41" Type="http://schemas.openxmlformats.org/officeDocument/2006/relationships/hyperlink" Target="https://irjaes.com/wp-content/uploads/2021/01/IRJAES-V6N1P67Y21.pdf" TargetMode="External"/><Relationship Id="rId22" Type="http://schemas.openxmlformats.org/officeDocument/2006/relationships/hyperlink" Target="https://doi.org/10.1371/journal.pone.0303026" TargetMode="External"/><Relationship Id="rId21" Type="http://schemas.openxmlformats.org/officeDocument/2006/relationships/hyperlink" Target="https://doi.org/10.1016/j.digher.2024.06.009" TargetMode="External"/><Relationship Id="rId24" Type="http://schemas.openxmlformats.org/officeDocument/2006/relationships/hyperlink" Target="https://doi.org/10.1108/RMJ-06-2023-0031" TargetMode="External"/><Relationship Id="rId23" Type="http://schemas.openxmlformats.org/officeDocument/2006/relationships/hyperlink" Target="https://doi.org/10.26789/JSC.2024.02.00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fficialgazette" TargetMode="External"/><Relationship Id="rId26" Type="http://schemas.openxmlformats.org/officeDocument/2006/relationships/hyperlink" Target="https://doi.org/10.1108/LHTN-09-2024-0166" TargetMode="External"/><Relationship Id="rId25" Type="http://schemas.openxmlformats.org/officeDocument/2006/relationships/hyperlink" Target="https://doi.org/10.1080/01639374.2021.188317" TargetMode="External"/><Relationship Id="rId28" Type="http://schemas.openxmlformats.org/officeDocument/2006/relationships/hyperlink" Target="https://www.researchgate.net/publication/389700767" TargetMode="External"/><Relationship Id="rId27" Type="http://schemas.openxmlformats.org/officeDocument/2006/relationships/hyperlink" Target="https://doi.org/10.3390/heritage703008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opscience.iop.org/article/10.1088/1757-899X/1092/1/012065/pdf"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joiv.org/index.php/joiv/article/view/1845" TargetMode="External"/><Relationship Id="rId30" Type="http://schemas.openxmlformats.org/officeDocument/2006/relationships/hyperlink" Target="https://doi.org/10.29311/mas.v19i2.3455" TargetMode="External"/><Relationship Id="rId11" Type="http://schemas.openxmlformats.org/officeDocument/2006/relationships/hyperlink" Target="https://lawphil.net/statutes" TargetMode="External"/><Relationship Id="rId33" Type="http://schemas.openxmlformats.org/officeDocument/2006/relationships/hyperlink" Target="http://journal.jotika.co.id/index.php/JME/article/view/177" TargetMode="External"/><Relationship Id="rId10" Type="http://schemas.openxmlformats.org/officeDocument/2006/relationships/hyperlink" Target="https://lawphil.net/statutes" TargetMode="External"/><Relationship Id="rId32" Type="http://schemas.openxmlformats.org/officeDocument/2006/relationships/hyperlink" Target="https://doi.org/10.14569/IJACSA.2021.0120844" TargetMode="External"/><Relationship Id="rId13" Type="http://schemas.openxmlformats.org/officeDocument/2006/relationships/hyperlink" Target="https://research.unl.pt/ws/portalfiles/portal" TargetMode="External"/><Relationship Id="rId35" Type="http://schemas.openxmlformats.org/officeDocument/2006/relationships/hyperlink" Target="https://doi.org/10.1007/s00799-024-00321-9" TargetMode="External"/><Relationship Id="rId12" Type="http://schemas.openxmlformats.org/officeDocument/2006/relationships/hyperlink" Target="https://doi.org/10.33003/fjs-2022-0605-1064" TargetMode="External"/><Relationship Id="rId34" Type="http://schemas.openxmlformats.org/officeDocument/2006/relationships/hyperlink" Target="https://www.indianjournals.com/ijor.aspx?target=ijor:is1&amp;volume=11&amp;issue=1&amp;article=00" TargetMode="External"/><Relationship Id="rId15" Type="http://schemas.openxmlformats.org/officeDocument/2006/relationships/hyperlink" Target="https://doi.org/10.1117/12.3062964" TargetMode="External"/><Relationship Id="rId37" Type="http://schemas.openxmlformats.org/officeDocument/2006/relationships/hyperlink" Target="https://doi.org/10.1007/978-3-031-28032-0_7" TargetMode="External"/><Relationship Id="rId14" Type="http://schemas.openxmlformats.org/officeDocument/2006/relationships/hyperlink" Target="https://doi.org/10.1007/s10824-019-09347-2" TargetMode="External"/><Relationship Id="rId36" Type="http://schemas.openxmlformats.org/officeDocument/2006/relationships/hyperlink" Target="https://irjaes.com/wp-content/uploads/2021/03/IRJAES-V6N2P16Y21.pdf" TargetMode="External"/><Relationship Id="rId17" Type="http://schemas.openxmlformats.org/officeDocument/2006/relationships/hyperlink" Target="https://doi.org/10.37502/ijsmr.2023.6922" TargetMode="External"/><Relationship Id="rId39" Type="http://schemas.openxmlformats.org/officeDocument/2006/relationships/hyperlink" Target="https://lutpub.lut.fi/handle/10024/167706" TargetMode="External"/><Relationship Id="rId16" Type="http://schemas.openxmlformats.org/officeDocument/2006/relationships/hyperlink" Target="https://www.proquest.com/openview" TargetMode="External"/><Relationship Id="rId38" Type="http://schemas.openxmlformats.org/officeDocument/2006/relationships/hyperlink" Target="https://doi.org/10.47191/ijcsrr/V8-i1-01" TargetMode="External"/><Relationship Id="rId19" Type="http://schemas.openxmlformats.org/officeDocument/2006/relationships/hyperlink" Target="https://doi.org/10.11591/ijeecs.v37.i2.pp1130-1139" TargetMode="External"/><Relationship Id="rId18" Type="http://schemas.openxmlformats.org/officeDocument/2006/relationships/hyperlink" Target="https://www.ajol.info/index.php/aujst/article/view/2437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6nMFXpzh3lcEcfkw8gjAH77SQ==">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2025-03-26T15:37:00Z</dcterms:created>
  <dc:creator>satsujinki</dc:creator>
</cp:coreProperties>
</file>