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40"/>
      </w:tblGrid>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W w:w="10206" w:type="dxa"/>
            <w:shd w:val="clear" w:color="auto" w:fill="C4A882"/>
            <w:tcMar>
              <w:top w:w="255" w:type="dxa"/>
              <w:bottom w:w="226" w:type="dxa"/>
              <w:left w:w="311" w:type="dxa"/>
              <w:right w:w="311" w:type="dxa"/>
            </w:tcMar>
          </w:tcPr>
          <w:p>
            <w:pPr>
              <w:spacing w:before="0" w:after="80"/>
            </w:pPr>
            <w:r>
              <w:rPr>
                <w:rFonts w:ascii="Calibri" w:hAnsi="Calibri"/>
                <w:b/>
                <w:i w:val="0"/>
                <w:color w:val="FFFFFF"/>
                <w:sz w:val="48"/>
              </w:rPr>
              <w:t>Louiza Hadid</w:t>
            </w:r>
          </w:p>
          <w:p>
            <w:pPr>
              <w:spacing w:before="0" w:after="200"/>
            </w:pPr>
            <w:r>
              <w:rPr>
                <w:rFonts w:ascii="Calibri" w:hAnsi="Calibri"/>
                <w:b w:val="0"/>
                <w:i/>
                <w:color w:val="FFF4E4"/>
                <w:sz w:val="24"/>
              </w:rPr>
              <w:t>Conseillère en insertion professionnelle</w:t>
            </w:r>
          </w:p>
          <w:p>
            <w:pPr>
              <w:spacing w:before="0" w:after="0"/>
            </w:pPr>
            <w:r>
              <w:rPr>
                <w:rFonts w:ascii="Calibri" w:hAnsi="Calibri"/>
                <w:b w:val="0"/>
                <w:i w:val="0"/>
                <w:color w:val="F0E4D2"/>
                <w:sz w:val="18"/>
              </w:rPr>
              <w:t>06 50 37 56 47  •  louizahdd@gmail.com  •  3 rue de Ventspils, 56100 Lorient  •  Permis B</w:t>
            </w:r>
          </w:p>
        </w:tc>
      </w:tr>
    </w:tbl>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70"/>
        <w:gridCol w:w="5270"/>
      </w:tblGrid>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W w:w="3515" w:type="dxa"/>
            <w:shd w:val="clear" w:color="auto" w:fill="EDE5D8"/>
            <w:tcMar>
              <w:top w:w="141" w:type="dxa"/>
              <w:bottom w:w="141" w:type="dxa"/>
              <w:left w:w="226" w:type="dxa"/>
              <w:right w:w="170" w:type="dxa"/>
            </w:tcMar>
          </w:tcPr>
          <w:p>
            <w:pPr>
              <w:spacing w:before="180" w:after="80"/>
              <w:pBdr>
                <w:bottom w:val="single" w:sz="4" w:space="1" w:color="C4A882"/>
              </w:pBdr>
            </w:pPr>
            <w:r>
              <w:rPr>
                <w:rFonts w:ascii="Calibri" w:hAnsi="Calibri"/>
                <w:b/>
                <w:color w:val="6E5232"/>
                <w:sz w:val="17"/>
              </w:rPr>
              <w:t>FORMATION</w:t>
            </w:r>
          </w:p>
          <w:p>
            <w:pPr>
              <w:spacing w:before="60" w:after="20"/>
            </w:pPr>
            <w:r>
              <w:rPr>
                <w:rFonts w:ascii="Calibri" w:hAnsi="Calibri"/>
                <w:b/>
                <w:i w:val="0"/>
                <w:color w:val="2D2A26"/>
                <w:sz w:val="18"/>
              </w:rPr>
              <w:t>Licence Sciences de l'Éducation</w:t>
            </w:r>
          </w:p>
          <w:p>
            <w:pPr>
              <w:spacing w:before="0" w:after="0"/>
            </w:pPr>
            <w:r>
              <w:rPr>
                <w:rFonts w:ascii="Calibri" w:hAnsi="Calibri"/>
                <w:b w:val="0"/>
                <w:i w:val="0"/>
                <w:color w:val="766E62"/>
                <w:sz w:val="17"/>
              </w:rPr>
              <w:t>Université Rennes 2</w:t>
            </w:r>
          </w:p>
          <w:p>
            <w:pPr>
              <w:spacing w:before="0" w:after="80"/>
            </w:pPr>
            <w:r>
              <w:rPr>
                <w:rFonts w:ascii="Calibri" w:hAnsi="Calibri"/>
                <w:b w:val="0"/>
                <w:i/>
                <w:color w:val="766E62"/>
                <w:sz w:val="17"/>
              </w:rPr>
              <w:t>2022 – 2025</w:t>
            </w:r>
          </w:p>
          <w:p>
            <w:pPr>
              <w:spacing w:before="0" w:after="20"/>
              <w:ind w:left="85"/>
            </w:pPr>
            <w:r>
              <w:rPr>
                <w:rFonts w:ascii="Calibri" w:hAnsi="Calibri"/>
                <w:b w:val="0"/>
                <w:i w:val="0"/>
                <w:color w:val="2D2A26"/>
                <w:sz w:val="17"/>
              </w:rPr>
              <w:t>Option : Action Éducation</w:t>
            </w:r>
          </w:p>
          <w:p>
            <w:pPr>
              <w:spacing w:before="0" w:after="60"/>
              <w:ind w:left="85"/>
            </w:pPr>
            <w:r>
              <w:rPr>
                <w:rFonts w:ascii="Calibri" w:hAnsi="Calibri"/>
                <w:b w:val="0"/>
                <w:i w:val="0"/>
                <w:color w:val="2D2A26"/>
                <w:sz w:val="17"/>
              </w:rPr>
              <w:t>et Formation (2 semestres)</w:t>
            </w:r>
          </w:p>
          <w:p>
            <w:pPr>
              <w:spacing w:before="0" w:after="20"/>
              <w:ind w:left="85"/>
            </w:pPr>
            <w:r>
              <w:rPr>
                <w:rFonts w:ascii="Calibri" w:hAnsi="Calibri"/>
                <w:b w:val="0"/>
                <w:i w:val="0"/>
                <w:color w:val="2D2A26"/>
                <w:sz w:val="17"/>
              </w:rPr>
              <w:t>· Dispositifs d'insertion (CEJ, CIVIS, apprentissage)</w:t>
            </w:r>
          </w:p>
          <w:p>
            <w:pPr>
              <w:spacing w:before="0" w:after="20"/>
              <w:ind w:left="85"/>
            </w:pPr>
            <w:r>
              <w:rPr>
                <w:rFonts w:ascii="Calibri" w:hAnsi="Calibri"/>
                <w:b w:val="0"/>
                <w:i w:val="0"/>
                <w:color w:val="2D2A26"/>
                <w:sz w:val="17"/>
              </w:rPr>
              <w:t>· Accompagnement des publics</w:t>
            </w:r>
          </w:p>
          <w:p>
            <w:pPr>
              <w:spacing w:before="0" w:after="20"/>
              <w:ind w:left="85"/>
            </w:pPr>
            <w:r>
              <w:rPr>
                <w:rFonts w:ascii="Calibri" w:hAnsi="Calibri"/>
                <w:b w:val="0"/>
                <w:i w:val="0"/>
                <w:color w:val="2D2A26"/>
                <w:sz w:val="17"/>
              </w:rPr>
              <w:t>· Psychologie du développement</w:t>
            </w:r>
          </w:p>
          <w:p>
            <w:pPr>
              <w:spacing w:before="0" w:after="20"/>
              <w:ind w:left="85"/>
            </w:pPr>
            <w:r>
              <w:rPr>
                <w:rFonts w:ascii="Calibri" w:hAnsi="Calibri"/>
                <w:b w:val="0"/>
                <w:i w:val="0"/>
                <w:color w:val="2D2A26"/>
                <w:sz w:val="17"/>
              </w:rPr>
              <w:t>· Enquêtes terrain : observations classe,</w:t>
            </w:r>
          </w:p>
          <w:p>
            <w:pPr>
              <w:spacing w:before="0" w:after="20"/>
              <w:ind w:left="85"/>
            </w:pPr>
            <w:r>
              <w:rPr>
                <w:rFonts w:ascii="Calibri" w:hAnsi="Calibri"/>
                <w:b w:val="0"/>
                <w:i w:val="0"/>
                <w:color w:val="2D2A26"/>
                <w:sz w:val="17"/>
              </w:rPr>
              <w:t xml:space="preserve">  entretiens enseignants &amp; élèves</w:t>
            </w:r>
          </w:p>
          <w:p>
            <w:pPr>
              <w:spacing w:before="100" w:after="20"/>
            </w:pPr>
            <w:r>
              <w:rPr>
                <w:rFonts w:ascii="Calibri" w:hAnsi="Calibri"/>
                <w:b/>
                <w:i w:val="0"/>
                <w:color w:val="2D2A26"/>
                <w:sz w:val="18"/>
              </w:rPr>
              <w:t>Baccalauréat Général</w:t>
            </w:r>
          </w:p>
          <w:p>
            <w:pPr>
              <w:spacing w:before="0" w:after="0"/>
            </w:pPr>
            <w:r>
              <w:rPr>
                <w:rFonts w:ascii="Calibri" w:hAnsi="Calibri"/>
                <w:b w:val="0"/>
                <w:i w:val="0"/>
                <w:color w:val="766E62"/>
                <w:sz w:val="17"/>
              </w:rPr>
              <w:t>Lycée Dupuy de Lôme — Lorient</w:t>
            </w:r>
          </w:p>
          <w:p>
            <w:pPr>
              <w:spacing w:before="0" w:after="0"/>
            </w:pPr>
            <w:r>
              <w:rPr>
                <w:rFonts w:ascii="Calibri" w:hAnsi="Calibri"/>
                <w:b w:val="0"/>
                <w:i/>
                <w:color w:val="766E62"/>
                <w:sz w:val="17"/>
              </w:rPr>
              <w:t>2018 – 2021  ·  SES · LLCER Anglais</w:t>
            </w:r>
          </w:p>
          <w:p>
            <w:pPr>
              <w:spacing w:before="180" w:after="80"/>
              <w:pBdr>
                <w:bottom w:val="single" w:sz="4" w:space="1" w:color="C4A882"/>
              </w:pBdr>
            </w:pPr>
            <w:r>
              <w:rPr>
                <w:rFonts w:ascii="Calibri" w:hAnsi="Calibri"/>
                <w:b/>
                <w:color w:val="6E5232"/>
                <w:sz w:val="17"/>
              </w:rPr>
              <w:t>COMPÉTENCES</w:t>
            </w:r>
          </w:p>
          <w:p>
            <w:pPr>
              <w:spacing w:before="0" w:after="40"/>
            </w:pPr>
            <w:r>
              <w:rPr>
                <w:rFonts w:ascii="Calibri" w:hAnsi="Calibri"/>
                <w:b w:val="0"/>
                <w:i w:val="0"/>
                <w:color w:val="2D2A26"/>
                <w:sz w:val="18"/>
              </w:rPr>
              <w:t>· Écoute active et bienveillance</w:t>
            </w:r>
          </w:p>
          <w:p>
            <w:pPr>
              <w:spacing w:before="0" w:after="40"/>
            </w:pPr>
            <w:r>
              <w:rPr>
                <w:rFonts w:ascii="Calibri" w:hAnsi="Calibri"/>
                <w:b w:val="0"/>
                <w:i w:val="0"/>
                <w:color w:val="2D2A26"/>
                <w:sz w:val="18"/>
              </w:rPr>
              <w:t>· Accompagnement individualisé</w:t>
            </w:r>
          </w:p>
          <w:p>
            <w:pPr>
              <w:spacing w:before="0" w:after="40"/>
            </w:pPr>
            <w:r>
              <w:rPr>
                <w:rFonts w:ascii="Calibri" w:hAnsi="Calibri"/>
                <w:b w:val="0"/>
                <w:i w:val="0"/>
                <w:color w:val="2D2A26"/>
                <w:sz w:val="18"/>
              </w:rPr>
              <w:t>· Techniques d’entretien</w:t>
            </w:r>
          </w:p>
          <w:p>
            <w:pPr>
              <w:spacing w:before="0" w:after="40"/>
            </w:pPr>
            <w:r>
              <w:rPr>
                <w:rFonts w:ascii="Calibri" w:hAnsi="Calibri"/>
                <w:b w:val="0"/>
                <w:i w:val="0"/>
                <w:color w:val="2D2A26"/>
                <w:sz w:val="18"/>
              </w:rPr>
              <w:t>· Suivi administratif de dossiers</w:t>
            </w:r>
          </w:p>
          <w:p>
            <w:pPr>
              <w:spacing w:before="0" w:after="40"/>
            </w:pPr>
            <w:r>
              <w:rPr>
                <w:rFonts w:ascii="Calibri" w:hAnsi="Calibri"/>
                <w:b w:val="0"/>
                <w:i w:val="0"/>
                <w:color w:val="2D2A26"/>
                <w:sz w:val="18"/>
              </w:rPr>
              <w:t>· Animation de groupe</w:t>
            </w:r>
          </w:p>
          <w:p>
            <w:pPr>
              <w:spacing w:before="0" w:after="40"/>
            </w:pPr>
            <w:r>
              <w:rPr>
                <w:rFonts w:ascii="Calibri" w:hAnsi="Calibri"/>
                <w:b w:val="0"/>
                <w:i w:val="0"/>
                <w:color w:val="2D2A26"/>
                <w:sz w:val="18"/>
              </w:rPr>
              <w:t>· Médiation et relationnel</w:t>
            </w:r>
          </w:p>
          <w:p>
            <w:pPr>
              <w:spacing w:before="0" w:after="40"/>
            </w:pPr>
            <w:r>
              <w:rPr>
                <w:rFonts w:ascii="Calibri" w:hAnsi="Calibri"/>
                <w:b w:val="0"/>
                <w:i w:val="0"/>
                <w:color w:val="2D2A26"/>
                <w:sz w:val="18"/>
              </w:rPr>
              <w:t>· Travail en équipe</w:t>
            </w:r>
          </w:p>
          <w:p>
            <w:pPr>
              <w:spacing w:before="0" w:after="40"/>
            </w:pPr>
            <w:r>
              <w:rPr>
                <w:rFonts w:ascii="Calibri" w:hAnsi="Calibri"/>
                <w:b w:val="0"/>
                <w:i w:val="0"/>
                <w:color w:val="2D2A26"/>
                <w:sz w:val="18"/>
              </w:rPr>
              <w:t>· Rigueur et organisation</w:t>
            </w:r>
          </w:p>
          <w:p>
            <w:pPr>
              <w:spacing w:before="180" w:after="80"/>
              <w:pBdr>
                <w:bottom w:val="single" w:sz="4" w:space="1" w:color="C4A882"/>
              </w:pBdr>
            </w:pPr>
            <w:r>
              <w:rPr>
                <w:rFonts w:ascii="Calibri" w:hAnsi="Calibri"/>
                <w:b/>
                <w:color w:val="6E5232"/>
                <w:sz w:val="17"/>
              </w:rPr>
              <w:t>LANGUES &amp; OUTILS</w:t>
            </w:r>
          </w:p>
          <w:p>
            <w:pPr>
              <w:spacing w:before="0" w:after="40"/>
            </w:pPr>
            <w:r>
              <w:rPr>
                <w:rFonts w:ascii="Calibri" w:hAnsi="Calibri"/>
                <w:b w:val="0"/>
                <w:i w:val="0"/>
                <w:color w:val="2D2A26"/>
                <w:sz w:val="18"/>
              </w:rPr>
              <w:t>· Français — natif</w:t>
            </w:r>
          </w:p>
          <w:p>
            <w:pPr>
              <w:spacing w:before="0" w:after="40"/>
            </w:pPr>
            <w:r>
              <w:rPr>
                <w:rFonts w:ascii="Calibri" w:hAnsi="Calibri"/>
                <w:b w:val="0"/>
                <w:i w:val="0"/>
                <w:color w:val="2D2A26"/>
                <w:sz w:val="18"/>
              </w:rPr>
              <w:t>· Anglais — C1</w:t>
            </w:r>
          </w:p>
          <w:p>
            <w:pPr>
              <w:spacing w:before="100" w:after="40"/>
            </w:pPr>
            <w:r>
              <w:rPr>
                <w:rFonts w:ascii="Calibri" w:hAnsi="Calibri"/>
                <w:b/>
                <w:i w:val="0"/>
                <w:color w:val="2D2A26"/>
                <w:sz w:val="18"/>
              </w:rPr>
              <w:t>Informatique</w:t>
            </w:r>
          </w:p>
          <w:p>
            <w:pPr>
              <w:spacing w:before="0" w:after="40"/>
            </w:pPr>
            <w:r>
              <w:rPr>
                <w:rFonts w:ascii="Calibri" w:hAnsi="Calibri"/>
                <w:b w:val="0"/>
                <w:i w:val="0"/>
                <w:color w:val="2D2A26"/>
                <w:sz w:val="18"/>
              </w:rPr>
              <w:t>· Pack Office (Word, Excel)</w:t>
            </w:r>
          </w:p>
          <w:p>
            <w:pPr>
              <w:spacing w:before="0" w:after="40"/>
            </w:pPr>
            <w:r>
              <w:rPr>
                <w:rFonts w:ascii="Calibri" w:hAnsi="Calibri"/>
                <w:b w:val="0"/>
                <w:i w:val="0"/>
                <w:color w:val="2D2A26"/>
                <w:sz w:val="18"/>
              </w:rPr>
              <w:t>· Outils collaboratifs en ligne</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vAlign w:val="top"/>
            <w:tcW w:w="6690" w:type="dxa"/>
            <w:shd w:val="clear" w:color="auto" w:fill="FDFAF6"/>
            <w:tcMar>
              <w:top w:w="141" w:type="dxa"/>
              <w:bottom w:w="141" w:type="dxa"/>
              <w:left w:w="255" w:type="dxa"/>
              <w:right w:w="226" w:type="dxa"/>
            </w:tcMar>
          </w:tcPr>
          <w:p>
            <w:pPr>
              <w:spacing w:before="180" w:after="80"/>
              <w:pBdr>
                <w:bottom w:val="single" w:sz="4" w:space="1" w:color="C4A882"/>
              </w:pBdr>
            </w:pPr>
            <w:r>
              <w:rPr>
                <w:rFonts w:ascii="Calibri" w:hAnsi="Calibri"/>
                <w:b/>
                <w:color w:val="6E5232"/>
                <w:sz w:val="19"/>
              </w:rPr>
              <w:t>PROFIL</w:t>
            </w:r>
          </w:p>
          <w:p>
            <w:pPr>
              <w:spacing w:before="40" w:after="0"/>
              <w:jc w:val="both"/>
            </w:pPr>
            <w:r>
              <w:rPr>
                <w:rFonts w:ascii="Calibri" w:hAnsi="Calibri"/>
                <w:b w:val="0"/>
                <w:i w:val="0"/>
                <w:color w:val="2D2A26"/>
                <w:sz w:val="19"/>
              </w:rPr>
              <w:t>Diplômée d’une Licence Sciences de l’Éducation, je suis rigoureuse, organisée et dotée d’un sens aigu de l’écoute. Mes expériences dans l’animation en milieu prioritaire, la relation client et le tutorat de publics allophones m’ont appris à adapter mon approche, à gérer des situations complexes et à assurer un suivi individualisé. Familiarisée avec les dispositifs d’insertion grâce à ma formation, je suis motivée à mettre mes compétences au service des jeunes de la Mission Locale du Pays de Lorient.</w:t>
            </w:r>
          </w:p>
          <w:p>
            <w:pPr>
              <w:spacing w:before="180" w:after="80"/>
              <w:pBdr>
                <w:bottom w:val="single" w:sz="4" w:space="1" w:color="C4A882"/>
              </w:pBdr>
            </w:pPr>
            <w:r>
              <w:rPr>
                <w:rFonts w:ascii="Calibri" w:hAnsi="Calibri"/>
                <w:b/>
                <w:color w:val="6E5232"/>
                <w:sz w:val="19"/>
              </w:rPr>
              <w:t>EXPÉRIENCES PROFESSIONNELLES</w:t>
            </w:r>
          </w:p>
          <w:p>
            <w:pPr>
              <w:spacing w:before="120" w:after="0"/>
            </w:pPr>
            <w:r>
              <w:rPr>
                <w:rFonts w:ascii="Calibri" w:hAnsi="Calibri"/>
                <w:b/>
                <w:i w:val="0"/>
                <w:color w:val="2D2A26"/>
                <w:sz w:val="19"/>
              </w:rPr>
              <w:t>Téléopératrice Recouvrement &amp; Auditrice</w:t>
            </w:r>
            <w:r>
              <w:rPr>
                <w:rFonts w:ascii="Calibri" w:hAnsi="Calibri"/>
                <w:b w:val="0"/>
                <w:i w:val="0"/>
                <w:color w:val="766E62"/>
                <w:sz w:val="18"/>
              </w:rPr>
              <w:t xml:space="preserve">  —  Sept. 2025 – présent</w:t>
            </w:r>
          </w:p>
          <w:p>
            <w:pPr>
              <w:spacing w:before="0" w:after="40"/>
            </w:pPr>
            <w:r>
              <w:rPr>
                <w:rFonts w:ascii="Calibri" w:hAnsi="Calibri"/>
                <w:b w:val="0"/>
                <w:i/>
                <w:color w:val="766E62"/>
                <w:sz w:val="18"/>
              </w:rPr>
              <w:t>Télémaque – Groupe Pénélope — Caudan (56)</w:t>
            </w:r>
          </w:p>
          <w:p>
            <w:pPr>
              <w:spacing w:before="0" w:after="30"/>
              <w:ind w:left="170"/>
            </w:pPr>
            <w:r>
              <w:rPr>
                <w:rFonts w:ascii="Calibri" w:hAnsi="Calibri"/>
                <w:b w:val="0"/>
                <w:i w:val="0"/>
                <w:color w:val="2D2A26"/>
                <w:sz w:val="19"/>
              </w:rPr>
              <w:t>– Conduite d’appels entrants/sortants : écoute active, reformulation, recherche de solutions</w:t>
            </w:r>
          </w:p>
          <w:p>
            <w:pPr>
              <w:spacing w:before="0" w:after="30"/>
              <w:ind w:left="170"/>
            </w:pPr>
            <w:r>
              <w:rPr>
                <w:rFonts w:ascii="Calibri" w:hAnsi="Calibri"/>
                <w:b w:val="0"/>
                <w:i w:val="0"/>
                <w:color w:val="2D2A26"/>
                <w:sz w:val="19"/>
              </w:rPr>
              <w:t>– Appels mystères : évaluation qualité d’accueil, grille de notation, reporting</w:t>
            </w:r>
          </w:p>
          <w:p>
            <w:pPr>
              <w:spacing w:before="0" w:after="30"/>
              <w:ind w:left="170"/>
            </w:pPr>
            <w:r>
              <w:rPr>
                <w:rFonts w:ascii="Calibri" w:hAnsi="Calibri"/>
                <w:b w:val="0"/>
                <w:i w:val="0"/>
                <w:color w:val="2D2A26"/>
                <w:sz w:val="19"/>
              </w:rPr>
              <w:t>– Suivi administratif rigoureux des dossiers (saisie, mise à jour, classement)</w:t>
            </w:r>
          </w:p>
          <w:p>
            <w:pPr>
              <w:spacing w:before="120" w:after="0"/>
            </w:pPr>
            <w:r>
              <w:rPr>
                <w:rFonts w:ascii="Calibri" w:hAnsi="Calibri"/>
                <w:b/>
                <w:i w:val="0"/>
                <w:color w:val="2D2A26"/>
                <w:sz w:val="19"/>
              </w:rPr>
              <w:t>Chargée de Relation Client</w:t>
            </w:r>
            <w:r>
              <w:rPr>
                <w:rFonts w:ascii="Calibri" w:hAnsi="Calibri"/>
                <w:b w:val="0"/>
                <w:i w:val="0"/>
                <w:color w:val="766E62"/>
                <w:sz w:val="18"/>
              </w:rPr>
              <w:t xml:space="preserve">  —  Mai – sept. 2025</w:t>
            </w:r>
          </w:p>
          <w:p>
            <w:pPr>
              <w:spacing w:before="0" w:after="40"/>
            </w:pPr>
            <w:r>
              <w:rPr>
                <w:rFonts w:ascii="Calibri" w:hAnsi="Calibri"/>
                <w:b w:val="0"/>
                <w:i/>
                <w:color w:val="766E62"/>
                <w:sz w:val="18"/>
              </w:rPr>
              <w:t>Foncia — Rennes</w:t>
            </w:r>
          </w:p>
          <w:p>
            <w:pPr>
              <w:spacing w:before="0" w:after="30"/>
              <w:ind w:left="170"/>
            </w:pPr>
            <w:r>
              <w:rPr>
                <w:rFonts w:ascii="Calibri" w:hAnsi="Calibri"/>
                <w:b w:val="0"/>
                <w:i w:val="0"/>
                <w:color w:val="2D2A26"/>
                <w:sz w:val="19"/>
              </w:rPr>
              <w:t>– Accueil physique et téléphonique, orientation et traitement des demandes</w:t>
            </w:r>
          </w:p>
          <w:p>
            <w:pPr>
              <w:spacing w:before="0" w:after="30"/>
              <w:ind w:left="170"/>
            </w:pPr>
            <w:r>
              <w:rPr>
                <w:rFonts w:ascii="Calibri" w:hAnsi="Calibri"/>
                <w:b w:val="0"/>
                <w:i w:val="0"/>
                <w:color w:val="2D2A26"/>
                <w:sz w:val="19"/>
              </w:rPr>
              <w:t>– Suivi individualisé des dossiers, rédaction de comptes rendus, Pack Office quotidien</w:t>
            </w:r>
          </w:p>
          <w:p>
            <w:pPr>
              <w:spacing w:before="0" w:after="30"/>
              <w:ind w:left="170"/>
            </w:pPr>
            <w:r>
              <w:rPr>
                <w:rFonts w:ascii="Calibri" w:hAnsi="Calibri"/>
                <w:b w:val="0"/>
                <w:i w:val="0"/>
                <w:color w:val="2D2A26"/>
                <w:sz w:val="19"/>
              </w:rPr>
              <w:t>– Gestion de situations parfois conflictuelles avec calme et professionnalisme</w:t>
            </w:r>
          </w:p>
          <w:p>
            <w:pPr>
              <w:spacing w:before="120" w:after="0"/>
            </w:pPr>
            <w:r>
              <w:rPr>
                <w:rFonts w:ascii="Calibri" w:hAnsi="Calibri"/>
                <w:b/>
                <w:i w:val="0"/>
                <w:color w:val="2D2A26"/>
                <w:sz w:val="19"/>
              </w:rPr>
              <w:t>Bénévole — Tutorat de français pour allophones</w:t>
            </w:r>
            <w:r>
              <w:rPr>
                <w:rFonts w:ascii="Calibri" w:hAnsi="Calibri"/>
                <w:b w:val="0"/>
                <w:i w:val="0"/>
                <w:color w:val="766E62"/>
                <w:sz w:val="18"/>
              </w:rPr>
              <w:t xml:space="preserve">  —  Janv. – avr. 2024</w:t>
            </w:r>
          </w:p>
          <w:p>
            <w:pPr>
              <w:spacing w:before="0" w:after="40"/>
            </w:pPr>
            <w:r>
              <w:rPr>
                <w:rFonts w:ascii="Calibri" w:hAnsi="Calibri"/>
                <w:b w:val="0"/>
                <w:i/>
                <w:color w:val="766E62"/>
                <w:sz w:val="18"/>
              </w:rPr>
              <w:t>Association SupÉducation — Rennes</w:t>
            </w:r>
          </w:p>
          <w:p>
            <w:pPr>
              <w:spacing w:before="0" w:after="30"/>
              <w:ind w:left="170"/>
            </w:pPr>
            <w:r>
              <w:rPr>
                <w:rFonts w:ascii="Calibri" w:hAnsi="Calibri"/>
                <w:b w:val="0"/>
                <w:i w:val="0"/>
                <w:color w:val="2D2A26"/>
                <w:sz w:val="19"/>
              </w:rPr>
              <w:t>– Accompagnement individualisé en petits groupes (4–6 pers.) à distance</w:t>
            </w:r>
          </w:p>
          <w:p>
            <w:pPr>
              <w:spacing w:before="0" w:after="30"/>
              <w:ind w:left="170"/>
            </w:pPr>
            <w:r>
              <w:rPr>
                <w:rFonts w:ascii="Calibri" w:hAnsi="Calibri"/>
                <w:b w:val="0"/>
                <w:i w:val="0"/>
                <w:color w:val="2D2A26"/>
                <w:sz w:val="19"/>
              </w:rPr>
              <w:t>– Adaptation pédagogique aux besoins de chaque apprenant, suivi de la progression</w:t>
            </w:r>
          </w:p>
          <w:p>
            <w:pPr>
              <w:spacing w:before="0" w:after="30"/>
              <w:ind w:left="170"/>
            </w:pPr>
            <w:r>
              <w:rPr>
                <w:rFonts w:ascii="Calibri" w:hAnsi="Calibri"/>
                <w:b w:val="0"/>
                <w:i w:val="0"/>
                <w:color w:val="2D2A26"/>
                <w:sz w:val="19"/>
              </w:rPr>
              <w:t>– Développement de l’écoute active, de la patience et de la médiation</w:t>
            </w:r>
          </w:p>
          <w:p>
            <w:pPr>
              <w:spacing w:before="120" w:after="0"/>
            </w:pPr>
            <w:r>
              <w:rPr>
                <w:rFonts w:ascii="Calibri" w:hAnsi="Calibri"/>
                <w:b/>
                <w:i w:val="0"/>
                <w:color w:val="2D2A26"/>
                <w:sz w:val="19"/>
              </w:rPr>
              <w:t>Animatrice Périscolaire</w:t>
            </w:r>
            <w:r>
              <w:rPr>
                <w:rFonts w:ascii="Calibri" w:hAnsi="Calibri"/>
                <w:b w:val="0"/>
                <w:i w:val="0"/>
                <w:color w:val="766E62"/>
                <w:sz w:val="18"/>
              </w:rPr>
              <w:t xml:space="preserve">  —  Janv. – mai 2023</w:t>
            </w:r>
          </w:p>
          <w:p>
            <w:pPr>
              <w:spacing w:before="0" w:after="40"/>
            </w:pPr>
            <w:r>
              <w:rPr>
                <w:rFonts w:ascii="Calibri" w:hAnsi="Calibri"/>
                <w:b w:val="0"/>
                <w:i/>
                <w:color w:val="766E62"/>
                <w:sz w:val="18"/>
              </w:rPr>
              <w:t>Mairie de Rennes – École REP — Rennes</w:t>
            </w:r>
          </w:p>
          <w:p>
            <w:pPr>
              <w:spacing w:before="0" w:after="30"/>
              <w:ind w:left="170"/>
            </w:pPr>
            <w:r>
              <w:rPr>
                <w:rFonts w:ascii="Calibri" w:hAnsi="Calibri"/>
                <w:b w:val="0"/>
                <w:i w:val="0"/>
                <w:color w:val="2D2A26"/>
                <w:sz w:val="19"/>
              </w:rPr>
              <w:t>– Accueil et encadrement d’enfants en réseau d’éducation prioritaire</w:t>
            </w:r>
          </w:p>
          <w:p>
            <w:pPr>
              <w:spacing w:before="0" w:after="30"/>
              <w:ind w:left="170"/>
            </w:pPr>
            <w:r>
              <w:rPr>
                <w:rFonts w:ascii="Calibri" w:hAnsi="Calibri"/>
                <w:b w:val="0"/>
                <w:i w:val="0"/>
                <w:color w:val="2D2A26"/>
                <w:sz w:val="19"/>
              </w:rPr>
              <w:t>– Adaptation aux publics diversifiés, maintien d’un cadre bienveillant et structurant</w:t>
            </w:r>
          </w:p>
          <w:p>
            <w:pPr>
              <w:spacing w:before="0" w:after="30"/>
              <w:ind w:left="170"/>
            </w:pPr>
            <w:r>
              <w:rPr>
                <w:rFonts w:ascii="Calibri" w:hAnsi="Calibri"/>
                <w:b w:val="0"/>
                <w:i w:val="0"/>
                <w:color w:val="2D2A26"/>
                <w:sz w:val="19"/>
              </w:rPr>
              <w:t>– Collaboration avec l’équipe pédagogique et lien avec les familles</w:t>
            </w:r>
          </w:p>
          <w:p>
            <w:pPr>
              <w:spacing w:before="120" w:after="0"/>
            </w:pPr>
            <w:r>
              <w:rPr>
                <w:rFonts w:ascii="Calibri" w:hAnsi="Calibri"/>
                <w:b/>
                <w:i w:val="0"/>
                <w:color w:val="2D2A26"/>
                <w:sz w:val="19"/>
              </w:rPr>
              <w:t>Équipière → Formatrice → Chef d’équipe</w:t>
            </w:r>
            <w:r>
              <w:rPr>
                <w:rFonts w:ascii="Calibri" w:hAnsi="Calibri"/>
                <w:b w:val="0"/>
                <w:i w:val="0"/>
                <w:color w:val="766E62"/>
                <w:sz w:val="18"/>
              </w:rPr>
              <w:t xml:space="preserve">  —  Sept. 2021 – nov. 2022</w:t>
            </w:r>
          </w:p>
          <w:p>
            <w:pPr>
              <w:spacing w:before="0" w:after="40"/>
            </w:pPr>
            <w:r>
              <w:rPr>
                <w:rFonts w:ascii="Calibri" w:hAnsi="Calibri"/>
                <w:b w:val="0"/>
                <w:i/>
                <w:color w:val="766E62"/>
                <w:sz w:val="18"/>
              </w:rPr>
              <w:t>McDonald’s — Rennes</w:t>
            </w:r>
          </w:p>
          <w:p>
            <w:pPr>
              <w:spacing w:before="0" w:after="30"/>
              <w:ind w:left="170"/>
            </w:pPr>
            <w:r>
              <w:rPr>
                <w:rFonts w:ascii="Calibri" w:hAnsi="Calibri"/>
                <w:b w:val="0"/>
                <w:i w:val="0"/>
                <w:color w:val="2D2A26"/>
                <w:sz w:val="19"/>
              </w:rPr>
              <w:t>– Formation et intégration des nouveaux collaborateurs à leurs postes</w:t>
            </w:r>
          </w:p>
          <w:p>
            <w:pPr>
              <w:spacing w:before="0" w:after="30"/>
              <w:ind w:left="170"/>
            </w:pPr>
            <w:r>
              <w:rPr>
                <w:rFonts w:ascii="Calibri" w:hAnsi="Calibri"/>
                <w:b w:val="0"/>
                <w:i w:val="0"/>
                <w:color w:val="2D2A26"/>
                <w:sz w:val="19"/>
              </w:rPr>
              <w:t>– Coordination et management d’équipe, gestion des priorités sous pression</w:t>
            </w:r>
          </w:p>
          <w:p>
            <w:pPr>
              <w:spacing w:before="0" w:after="30"/>
              <w:ind w:left="170"/>
            </w:pPr>
            <w:r>
              <w:rPr>
                <w:rFonts w:ascii="Calibri" w:hAnsi="Calibri"/>
                <w:b w:val="0"/>
                <w:i w:val="0"/>
                <w:color w:val="2D2A26"/>
                <w:sz w:val="19"/>
              </w:rPr>
              <w:t>– Progression rapide : équipière → formatrice → chef d’équipe en 14 mois</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