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ggvmap:</w:t>
      </w:r>
      <w:r>
        <w:t xml:space="preserve"> </w:t>
      </w:r>
      <w:r>
        <w:t xml:space="preserve">Voronoi</w:t>
      </w:r>
      <w:r>
        <w:t xml:space="preserve"> </w:t>
      </w:r>
      <w:r>
        <w:t xml:space="preserve">map</w:t>
      </w:r>
      <w:r>
        <w:t xml:space="preserve"> </w:t>
      </w:r>
      <w:r>
        <w:t xml:space="preserve">treemaps</w:t>
      </w:r>
      <w:r>
        <w:t xml:space="preserve"> </w:t>
      </w:r>
      <w:r>
        <w:t xml:space="preserve">for</w:t>
      </w:r>
      <w:r>
        <w:t xml:space="preserve"> </w:t>
      </w:r>
      <w:r>
        <w:t xml:space="preserve">ggplot2</w:t>
      </w:r>
      <w:r>
        <w:t xml:space="preserve"> </w:t>
      </w:r>
      <w:r>
        <w:t xml:space="preserve">in</w:t>
      </w:r>
      <w:r>
        <w:t xml:space="preserve"> </w:t>
      </w:r>
      <w:r>
        <w:t xml:space="preserve">pure</w:t>
      </w:r>
      <w:r>
        <w:t xml:space="preserve"> </w:t>
      </w:r>
      <w:r>
        <w:t xml:space="preserve">R</w:t>
      </w:r>
    </w:p>
    <w:p>
      <w:pPr>
        <w:pStyle w:val="Author"/>
      </w:pPr>
      <w:r>
        <w:t xml:space="preserve">Loukas</w:t>
      </w:r>
      <w:r>
        <w:t xml:space="preserve"> </w:t>
      </w:r>
      <w:r>
        <w:t xml:space="preserve">Theodosiou</w:t>
      </w:r>
    </w:p>
    <w:p>
      <w:pPr>
        <w:pStyle w:val="AbstractTitle"/>
      </w:pPr>
      <w:r>
        <w:t xml:space="preserve">Abstract</w:t>
      </w:r>
    </w:p>
    <w:p>
      <w:pPr>
        <w:pStyle w:val="Abstract"/>
      </w:pPr>
      <w:r>
        <w:t xml:space="preserve">Treemaps</w:t>
      </w:r>
      <w:r>
        <w:t xml:space="preserve"> </w:t>
      </w:r>
      <w:r>
        <w:t xml:space="preserve">communicate</w:t>
      </w:r>
      <w:r>
        <w:t xml:space="preserve"> </w:t>
      </w:r>
      <w:r>
        <w:t xml:space="preserve">part-of-whole</w:t>
      </w:r>
      <w:r>
        <w:t xml:space="preserve"> </w:t>
      </w:r>
      <w:r>
        <w:t xml:space="preserve">relationships</w:t>
      </w:r>
      <w:r>
        <w:t xml:space="preserve"> </w:t>
      </w:r>
      <w:r>
        <w:t xml:space="preserve">by</w:t>
      </w:r>
      <w:r>
        <w:t xml:space="preserve"> </w:t>
      </w:r>
      <w:r>
        <w:t xml:space="preserve">mapping</w:t>
      </w:r>
      <w:r>
        <w:t xml:space="preserve"> </w:t>
      </w:r>
      <w:r>
        <w:t xml:space="preserve">quantities</w:t>
      </w:r>
      <w:r>
        <w:t xml:space="preserve"> </w:t>
      </w:r>
      <w:r>
        <w:t xml:space="preserve">to</w:t>
      </w:r>
      <w:r>
        <w:t xml:space="preserve"> </w:t>
      </w:r>
      <w:r>
        <w:t xml:space="preserve">areas.</w:t>
      </w:r>
      <w:r>
        <w:t xml:space="preserve"> </w:t>
      </w:r>
      <w:r>
        <w:t xml:space="preserve">Voronoi</w:t>
      </w:r>
      <w:r>
        <w:t xml:space="preserve"> </w:t>
      </w:r>
      <w:r>
        <w:t xml:space="preserve">treemaps</w:t>
      </w:r>
      <w:r>
        <w:t xml:space="preserve"> </w:t>
      </w:r>
      <w:r>
        <w:t xml:space="preserve">generalise</w:t>
      </w:r>
      <w:r>
        <w:t xml:space="preserve"> </w:t>
      </w:r>
      <w:r>
        <w:t xml:space="preserve">the</w:t>
      </w:r>
      <w:r>
        <w:t xml:space="preserve"> </w:t>
      </w:r>
      <w:r>
        <w:t xml:space="preserve">familiar</w:t>
      </w:r>
      <w:r>
        <w:t xml:space="preserve"> </w:t>
      </w:r>
      <w:r>
        <w:t xml:space="preserve">rectangular</w:t>
      </w:r>
      <w:r>
        <w:t xml:space="preserve"> </w:t>
      </w:r>
      <w:r>
        <w:t xml:space="preserve">layout</w:t>
      </w:r>
      <w:r>
        <w:t xml:space="preserve"> </w:t>
      </w:r>
      <w:r>
        <w:t xml:space="preserve">to</w:t>
      </w:r>
      <w:r>
        <w:t xml:space="preserve"> </w:t>
      </w:r>
      <w:r>
        <w:t xml:space="preserve">arbitrary</w:t>
      </w:r>
      <w:r>
        <w:t xml:space="preserve"> </w:t>
      </w:r>
      <w:r>
        <w:t xml:space="preserve">convex</w:t>
      </w:r>
      <w:r>
        <w:t xml:space="preserve"> </w:t>
      </w:r>
      <w:r>
        <w:t xml:space="preserve">boundaries</w:t>
      </w:r>
      <w:r>
        <w:t xml:space="preserve"> </w:t>
      </w:r>
      <w:r>
        <w:t xml:space="preserve">and</w:t>
      </w:r>
      <w:r>
        <w:t xml:space="preserve"> </w:t>
      </w:r>
      <w:r>
        <w:t xml:space="preserve">organic,</w:t>
      </w:r>
      <w:r>
        <w:t xml:space="preserve"> </w:t>
      </w:r>
      <w:r>
        <w:t xml:space="preserve">polygon-shaped</w:t>
      </w:r>
      <w:r>
        <w:t xml:space="preserve"> </w:t>
      </w:r>
      <w:r>
        <w:t xml:space="preserve">cells,</w:t>
      </w:r>
      <w:r>
        <w:t xml:space="preserve"> </w:t>
      </w:r>
      <w:r>
        <w:t xml:space="preserve">but</w:t>
      </w:r>
      <w:r>
        <w:t xml:space="preserve"> </w:t>
      </w:r>
      <w:r>
        <w:t xml:space="preserve">the</w:t>
      </w:r>
      <w:r>
        <w:t xml:space="preserve"> </w:t>
      </w:r>
      <w:r>
        <w:t xml:space="preserve">existing</w:t>
      </w:r>
      <w:r>
        <w:t xml:space="preserve"> </w:t>
      </w:r>
      <w:r>
        <w:t xml:space="preserve">R</w:t>
      </w:r>
      <w:r>
        <w:t xml:space="preserve"> </w:t>
      </w:r>
      <w:r>
        <w:t xml:space="preserve">implementations</w:t>
      </w:r>
      <w:r>
        <w:t xml:space="preserve"> </w:t>
      </w:r>
      <w:r>
        <w:t xml:space="preserve">delegate</w:t>
      </w:r>
      <w:r>
        <w:t xml:space="preserve"> </w:t>
      </w:r>
      <w:r>
        <w:t xml:space="preserve">the</w:t>
      </w:r>
      <w:r>
        <w:t xml:space="preserve"> </w:t>
      </w:r>
      <w:r>
        <w:t xml:space="preserve">layout</w:t>
      </w:r>
      <w:r>
        <w:t xml:space="preserve"> </w:t>
      </w:r>
      <w:r>
        <w:t xml:space="preserve">either</w:t>
      </w:r>
      <w:r>
        <w:t xml:space="preserve"> </w:t>
      </w:r>
      <w:r>
        <w:t xml:space="preserve">to</w:t>
      </w:r>
      <w:r>
        <w:t xml:space="preserve"> </w:t>
      </w:r>
      <w:r>
        <w:t xml:space="preserve">a</w:t>
      </w:r>
      <w:r>
        <w:t xml:space="preserve"> </w:t>
      </w:r>
      <w:r>
        <w:t xml:space="preserve">JavaScript/D3</w:t>
      </w:r>
      <w:r>
        <w:t xml:space="preserve"> </w:t>
      </w:r>
      <w:r>
        <w:t xml:space="preserve">runtime</w:t>
      </w:r>
      <w:r>
        <w:t xml:space="preserve"> </w:t>
      </w:r>
      <w:r>
        <w:t xml:space="preserve">or</w:t>
      </w:r>
      <w:r>
        <w:t xml:space="preserve"> </w:t>
      </w:r>
      <w:r>
        <w:t xml:space="preserve">to</w:t>
      </w:r>
      <w:r>
        <w:t xml:space="preserve"> </w:t>
      </w:r>
      <w:r>
        <w:t xml:space="preserve">compiled</w:t>
      </w:r>
      <w:r>
        <w:t xml:space="preserve"> </w:t>
      </w:r>
      <w:r>
        <w:t xml:space="preserve">CGAL</w:t>
      </w:r>
      <w:r>
        <w:t xml:space="preserve"> </w:t>
      </w:r>
      <w:r>
        <w:t xml:space="preserve">code,</w:t>
      </w:r>
      <w:r>
        <w:t xml:space="preserve"> </w:t>
      </w:r>
      <w:r>
        <w:t xml:space="preserve">which</w:t>
      </w:r>
      <w:r>
        <w:t xml:space="preserve"> </w:t>
      </w:r>
      <w:r>
        <w:t xml:space="preserve">complicates</w:t>
      </w:r>
      <w:r>
        <w:t xml:space="preserve"> </w:t>
      </w:r>
      <w:r>
        <w:t xml:space="preserve">installation,</w:t>
      </w:r>
      <w:r>
        <w:t xml:space="preserve"> </w:t>
      </w:r>
      <w:r>
        <w:t xml:space="preserve">reproducibility,</w:t>
      </w:r>
      <w:r>
        <w:t xml:space="preserve"> </w:t>
      </w:r>
      <w:r>
        <w:t xml:space="preserve">and</w:t>
      </w:r>
      <w:r>
        <w:t xml:space="preserve"> </w:t>
      </w:r>
      <w:r>
        <w:t xml:space="preserve">integration</w:t>
      </w:r>
      <w:r>
        <w:t xml:space="preserve"> </w:t>
      </w:r>
      <w:r>
        <w:t xml:space="preserve">with</w:t>
      </w:r>
      <w:r>
        <w:t xml:space="preserve"> </w:t>
      </w:r>
      <w:r>
        <w:t xml:space="preserve">the</w:t>
      </w:r>
      <w:r>
        <w:t xml:space="preserve"> </w:t>
      </w:r>
      <w:r>
        <w:t xml:space="preserve">ggplot2</w:t>
      </w:r>
      <w:r>
        <w:t xml:space="preserve"> </w:t>
      </w:r>
      <w:r>
        <w:t xml:space="preserve">ecosystem.</w:t>
      </w:r>
      <w:r>
        <w:t xml:space="preserve"> </w:t>
      </w:r>
      <w:r>
        <w:t xml:space="preserve">Here</w:t>
      </w:r>
      <w:r>
        <w:t xml:space="preserve"> </w:t>
      </w:r>
      <w:r>
        <w:t xml:space="preserve">I</w:t>
      </w:r>
      <w:r>
        <w:t xml:space="preserve"> </w:t>
      </w:r>
      <w:r>
        <w:t xml:space="preserve">present</w:t>
      </w:r>
      <w:r>
        <w:t xml:space="preserve"> </w:t>
      </w:r>
      <w:r>
        <w:t xml:space="preserve">ggvmap,</w:t>
      </w:r>
      <w:r>
        <w:t xml:space="preserve"> </w:t>
      </w:r>
      <w:r>
        <w:t xml:space="preserve">an</w:t>
      </w:r>
      <w:r>
        <w:t xml:space="preserve"> </w:t>
      </w:r>
      <w:r>
        <w:t xml:space="preserve">R</w:t>
      </w:r>
      <w:r>
        <w:t xml:space="preserve"> </w:t>
      </w:r>
      <w:r>
        <w:t xml:space="preserve">package</w:t>
      </w:r>
      <w:r>
        <w:t xml:space="preserve"> </w:t>
      </w:r>
      <w:r>
        <w:t xml:space="preserve">that</w:t>
      </w:r>
      <w:r>
        <w:t xml:space="preserve"> </w:t>
      </w:r>
      <w:r>
        <w:t xml:space="preserve">computes</w:t>
      </w:r>
      <w:r>
        <w:t xml:space="preserve"> </w:t>
      </w:r>
      <w:r>
        <w:t xml:space="preserve">Voronoi</w:t>
      </w:r>
      <w:r>
        <w:t xml:space="preserve"> </w:t>
      </w:r>
      <w:r>
        <w:t xml:space="preserve">map</w:t>
      </w:r>
      <w:r>
        <w:t xml:space="preserve"> </w:t>
      </w:r>
      <w:r>
        <w:t xml:space="preserve">treemaps</w:t>
      </w:r>
      <w:r>
        <w:t xml:space="preserve"> </w:t>
      </w:r>
      <w:r>
        <w:t xml:space="preserve">in</w:t>
      </w:r>
      <w:r>
        <w:t xml:space="preserve"> </w:t>
      </w:r>
      <w:r>
        <w:t xml:space="preserve">pure</w:t>
      </w:r>
      <w:r>
        <w:t xml:space="preserve"> </w:t>
      </w:r>
      <w:r>
        <w:t xml:space="preserve">R</w:t>
      </w:r>
      <w:r>
        <w:t xml:space="preserve"> </w:t>
      </w:r>
      <w:r>
        <w:t xml:space="preserve">–</w:t>
      </w:r>
      <w:r>
        <w:t xml:space="preserve"> </w:t>
      </w:r>
      <w:r>
        <w:t xml:space="preserve">its</w:t>
      </w:r>
      <w:r>
        <w:t xml:space="preserve"> </w:t>
      </w:r>
      <w:r>
        <w:t xml:space="preserve">only</w:t>
      </w:r>
      <w:r>
        <w:t xml:space="preserve"> </w:t>
      </w:r>
      <w:r>
        <w:t xml:space="preserve">hard</w:t>
      </w:r>
      <w:r>
        <w:t xml:space="preserve"> </w:t>
      </w:r>
      <w:r>
        <w:t xml:space="preserve">dependency</w:t>
      </w:r>
      <w:r>
        <w:t xml:space="preserve"> </w:t>
      </w:r>
      <w:r>
        <w:t xml:space="preserve">is</w:t>
      </w:r>
      <w:r>
        <w:t xml:space="preserve"> </w:t>
      </w:r>
      <w:r>
        <w:t xml:space="preserve">ggplot2</w:t>
      </w:r>
      <w:r>
        <w:t xml:space="preserve"> </w:t>
      </w:r>
      <w:r>
        <w:t xml:space="preserve">–</w:t>
      </w:r>
      <w:r>
        <w:t xml:space="preserve"> </w:t>
      </w:r>
      <w:r>
        <w:t xml:space="preserve">and</w:t>
      </w:r>
      <w:r>
        <w:t xml:space="preserve"> </w:t>
      </w:r>
      <w:r>
        <w:t xml:space="preserve">renders</w:t>
      </w:r>
      <w:r>
        <w:t xml:space="preserve"> </w:t>
      </w:r>
      <w:r>
        <w:t xml:space="preserve">them</w:t>
      </w:r>
      <w:r>
        <w:t xml:space="preserve"> </w:t>
      </w:r>
      <w:r>
        <w:t xml:space="preserve">as</w:t>
      </w:r>
      <w:r>
        <w:t xml:space="preserve"> </w:t>
      </w:r>
      <w:r>
        <w:t xml:space="preserve">ordinary</w:t>
      </w:r>
      <w:r>
        <w:t xml:space="preserve"> </w:t>
      </w:r>
      <w:r>
        <w:t xml:space="preserve">ggplot2</w:t>
      </w:r>
      <w:r>
        <w:t xml:space="preserve"> </w:t>
      </w:r>
      <w:r>
        <w:t xml:space="preserve">objects.</w:t>
      </w:r>
      <w:r>
        <w:t xml:space="preserve"> </w:t>
      </w:r>
      <w:r>
        <w:t xml:space="preserve">ggvmap</w:t>
      </w:r>
      <w:r>
        <w:t xml:space="preserve"> </w:t>
      </w:r>
      <w:r>
        <w:t xml:space="preserve">supports</w:t>
      </w:r>
      <w:r>
        <w:t xml:space="preserve"> </w:t>
      </w:r>
      <w:r>
        <w:t xml:space="preserve">hierarchical</w:t>
      </w:r>
      <w:r>
        <w:t xml:space="preserve"> </w:t>
      </w:r>
      <w:r>
        <w:t xml:space="preserve">(grouped)</w:t>
      </w:r>
      <w:r>
        <w:t xml:space="preserve"> </w:t>
      </w:r>
      <w:r>
        <w:t xml:space="preserve">layouts,</w:t>
      </w:r>
      <w:r>
        <w:t xml:space="preserve"> </w:t>
      </w:r>
      <w:r>
        <w:t xml:space="preserve">a</w:t>
      </w:r>
      <w:r>
        <w:t xml:space="preserve"> </w:t>
      </w:r>
      <w:r>
        <w:t xml:space="preserve">grammar</w:t>
      </w:r>
      <w:r>
        <w:t xml:space="preserve"> </w:t>
      </w:r>
      <w:r>
        <w:t xml:space="preserve">of</w:t>
      </w:r>
      <w:r>
        <w:t xml:space="preserve"> </w:t>
      </w:r>
      <w:r>
        <w:t xml:space="preserve">pipe-able</w:t>
      </w:r>
      <w:r>
        <w:t xml:space="preserve"> </w:t>
      </w:r>
      <w:r>
        <w:t xml:space="preserve">annotation</w:t>
      </w:r>
      <w:r>
        <w:t xml:space="preserve"> </w:t>
      </w:r>
      <w:r>
        <w:t xml:space="preserve">layers</w:t>
      </w:r>
      <w:r>
        <w:t xml:space="preserve"> </w:t>
      </w:r>
      <w:r>
        <w:t xml:space="preserve">(rings,</w:t>
      </w:r>
      <w:r>
        <w:t xml:space="preserve"> </w:t>
      </w:r>
      <w:r>
        <w:t xml:space="preserve">flags,</w:t>
      </w:r>
      <w:r>
        <w:t xml:space="preserve"> </w:t>
      </w:r>
      <w:r>
        <w:t xml:space="preserve">images,</w:t>
      </w:r>
      <w:r>
        <w:t xml:space="preserve"> </w:t>
      </w:r>
      <w:r>
        <w:t xml:space="preserve">value</w:t>
      </w:r>
      <w:r>
        <w:t xml:space="preserve"> </w:t>
      </w:r>
      <w:r>
        <w:t xml:space="preserve">labels),</w:t>
      </w:r>
      <w:r>
        <w:t xml:space="preserve"> </w:t>
      </w:r>
      <w:r>
        <w:t xml:space="preserve">automatic</w:t>
      </w:r>
      <w:r>
        <w:t xml:space="preserve"> </w:t>
      </w:r>
      <w:r>
        <w:t xml:space="preserve">small-cell</w:t>
      </w:r>
      <w:r>
        <w:t xml:space="preserve"> </w:t>
      </w:r>
      <w:r>
        <w:t xml:space="preserve">label</w:t>
      </w:r>
      <w:r>
        <w:t xml:space="preserve"> </w:t>
      </w:r>
      <w:r>
        <w:t xml:space="preserve">handling,</w:t>
      </w:r>
      <w:r>
        <w:t xml:space="preserve"> </w:t>
      </w:r>
      <w:r>
        <w:t xml:space="preserve">and</w:t>
      </w:r>
      <w:r>
        <w:t xml:space="preserve"> </w:t>
      </w:r>
      <w:r>
        <w:t xml:space="preserve">interactive</w:t>
      </w:r>
      <w:r>
        <w:t xml:space="preserve"> </w:t>
      </w:r>
      <w:r>
        <w:t xml:space="preserve">hover</w:t>
      </w:r>
      <w:r>
        <w:t xml:space="preserve"> </w:t>
      </w:r>
      <w:r>
        <w:t xml:space="preserve">maps.</w:t>
      </w:r>
      <w:r>
        <w:t xml:space="preserve"> </w:t>
      </w:r>
      <w:r>
        <w:t xml:space="preserve">The</w:t>
      </w:r>
      <w:r>
        <w:t xml:space="preserve"> </w:t>
      </w:r>
      <w:r>
        <w:t xml:space="preserve">tessellations</w:t>
      </w:r>
      <w:r>
        <w:t xml:space="preserve"> </w:t>
      </w:r>
      <w:r>
        <w:t xml:space="preserve">it</w:t>
      </w:r>
      <w:r>
        <w:t xml:space="preserve"> </w:t>
      </w:r>
      <w:r>
        <w:t xml:space="preserve">produces</w:t>
      </w:r>
      <w:r>
        <w:t xml:space="preserve"> </w:t>
      </w:r>
      <w:r>
        <w:t xml:space="preserve">are</w:t>
      </w:r>
      <w:r>
        <w:t xml:space="preserve"> </w:t>
      </w:r>
      <w:r>
        <w:t xml:space="preserve">exact</w:t>
      </w:r>
      <w:r>
        <w:t xml:space="preserve"> </w:t>
      </w:r>
      <w:r>
        <w:t xml:space="preserve">power</w:t>
      </w:r>
      <w:r>
        <w:t xml:space="preserve"> </w:t>
      </w:r>
      <w:r>
        <w:t xml:space="preserve">diagrams</w:t>
      </w:r>
      <w:r>
        <w:t xml:space="preserve"> </w:t>
      </w:r>
      <w:r>
        <w:t xml:space="preserve">whose</w:t>
      </w:r>
      <w:r>
        <w:t xml:space="preserve"> </w:t>
      </w:r>
      <w:r>
        <w:t xml:space="preserve">defining</w:t>
      </w:r>
      <w:r>
        <w:t xml:space="preserve"> </w:t>
      </w:r>
      <w:r>
        <w:t xml:space="preserve">geometric</w:t>
      </w:r>
      <w:r>
        <w:t xml:space="preserve"> </w:t>
      </w:r>
      <w:r>
        <w:t xml:space="preserve">properties</w:t>
      </w:r>
      <w:r>
        <w:t xml:space="preserve"> </w:t>
      </w:r>
      <w:r>
        <w:t xml:space="preserve">are</w:t>
      </w:r>
      <w:r>
        <w:t xml:space="preserve"> </w:t>
      </w:r>
      <w:r>
        <w:t xml:space="preserve">enforced</w:t>
      </w:r>
      <w:r>
        <w:t xml:space="preserve"> </w:t>
      </w:r>
      <w:r>
        <w:t xml:space="preserve">by</w:t>
      </w:r>
      <w:r>
        <w:t xml:space="preserve"> </w:t>
      </w:r>
      <w:r>
        <w:t xml:space="preserve">property-based</w:t>
      </w:r>
      <w:r>
        <w:t xml:space="preserve"> </w:t>
      </w:r>
      <w:r>
        <w:t xml:space="preserve">tests.</w:t>
      </w:r>
      <w:r>
        <w:t xml:space="preserve"> </w:t>
      </w:r>
      <w:r>
        <w:t xml:space="preserve">Benchmarks</w:t>
      </w:r>
      <w:r>
        <w:t xml:space="preserve"> </w:t>
      </w:r>
      <w:r>
        <w:t xml:space="preserve">against</w:t>
      </w:r>
      <w:r>
        <w:t xml:space="preserve"> </w:t>
      </w:r>
      <w:r>
        <w:t xml:space="preserve">voronoiTreemap</w:t>
      </w:r>
      <w:r>
        <w:t xml:space="preserve"> </w:t>
      </w:r>
      <w:r>
        <w:t xml:space="preserve">(D3)</w:t>
      </w:r>
      <w:r>
        <w:t xml:space="preserve"> </w:t>
      </w:r>
      <w:r>
        <w:t xml:space="preserve">and</w:t>
      </w:r>
      <w:r>
        <w:t xml:space="preserve"> </w:t>
      </w:r>
      <w:r>
        <w:t xml:space="preserve">WeightedTreemaps</w:t>
      </w:r>
      <w:r>
        <w:t xml:space="preserve"> </w:t>
      </w:r>
      <w:r>
        <w:t xml:space="preserve">(CGAL)</w:t>
      </w:r>
      <w:r>
        <w:t xml:space="preserve"> </w:t>
      </w:r>
      <w:r>
        <w:t xml:space="preserve">show</w:t>
      </w:r>
      <w:r>
        <w:t xml:space="preserve"> </w:t>
      </w:r>
      <w:r>
        <w:t xml:space="preserve">that</w:t>
      </w:r>
      <w:r>
        <w:t xml:space="preserve"> </w:t>
      </w:r>
      <w:r>
        <w:t xml:space="preserve">ggvmap</w:t>
      </w:r>
      <w:r>
        <w:t xml:space="preserve"> </w:t>
      </w:r>
      <w:r>
        <w:t xml:space="preserve">has</w:t>
      </w:r>
      <w:r>
        <w:t xml:space="preserve"> </w:t>
      </w:r>
      <w:r>
        <w:t xml:space="preserve">the</w:t>
      </w:r>
      <w:r>
        <w:t xml:space="preserve"> </w:t>
      </w:r>
      <w:r>
        <w:t xml:space="preserve">simplest</w:t>
      </w:r>
      <w:r>
        <w:t xml:space="preserve"> </w:t>
      </w:r>
      <w:r>
        <w:t xml:space="preserve">installation</w:t>
      </w:r>
      <w:r>
        <w:t xml:space="preserve"> </w:t>
      </w:r>
      <w:r>
        <w:t xml:space="preserve">and</w:t>
      </w:r>
      <w:r>
        <w:t xml:space="preserve"> </w:t>
      </w:r>
      <w:r>
        <w:t xml:space="preserve">the</w:t>
      </w:r>
      <w:r>
        <w:t xml:space="preserve"> </w:t>
      </w:r>
      <w:r>
        <w:t xml:space="preserve">shortest</w:t>
      </w:r>
      <w:r>
        <w:t xml:space="preserve"> </w:t>
      </w:r>
      <w:r>
        <w:t xml:space="preserve">code</w:t>
      </w:r>
      <w:r>
        <w:t xml:space="preserve"> </w:t>
      </w:r>
      <w:r>
        <w:t xml:space="preserve">for</w:t>
      </w:r>
      <w:r>
        <w:t xml:space="preserve"> </w:t>
      </w:r>
      <w:r>
        <w:t xml:space="preserve">the</w:t>
      </w:r>
      <w:r>
        <w:t xml:space="preserve"> </w:t>
      </w:r>
      <w:r>
        <w:t xml:space="preserve">same</w:t>
      </w:r>
      <w:r>
        <w:t xml:space="preserve"> </w:t>
      </w:r>
      <w:r>
        <w:t xml:space="preserve">plot,</w:t>
      </w:r>
      <w:r>
        <w:t xml:space="preserve"> </w:t>
      </w:r>
      <w:r>
        <w:t xml:space="preserve">is</w:t>
      </w:r>
      <w:r>
        <w:t xml:space="preserve"> </w:t>
      </w:r>
      <w:r>
        <w:t xml:space="preserve">the</w:t>
      </w:r>
      <w:r>
        <w:t xml:space="preserve"> </w:t>
      </w:r>
      <w:r>
        <w:t xml:space="preserve">fastest</w:t>
      </w:r>
      <w:r>
        <w:t xml:space="preserve"> </w:t>
      </w:r>
      <w:r>
        <w:t xml:space="preserve">of</w:t>
      </w:r>
      <w:r>
        <w:t xml:space="preserve"> </w:t>
      </w:r>
      <w:r>
        <w:t xml:space="preserve">the</w:t>
      </w:r>
      <w:r>
        <w:t xml:space="preserve"> </w:t>
      </w:r>
      <w:r>
        <w:t xml:space="preserve">measurable</w:t>
      </w:r>
      <w:r>
        <w:t xml:space="preserve"> </w:t>
      </w:r>
      <w:r>
        <w:t xml:space="preserve">implementations</w:t>
      </w:r>
      <w:r>
        <w:t xml:space="preserve"> </w:t>
      </w:r>
      <w:r>
        <w:t xml:space="preserve">below</w:t>
      </w:r>
      <w:r>
        <w:t xml:space="preserve"> </w:t>
      </w:r>
      <w:r>
        <w:t xml:space="preserve">about</w:t>
      </w:r>
      <w:r>
        <w:t xml:space="preserve"> </w:t>
      </w:r>
      <w:r>
        <w:t xml:space="preserve">fifty</w:t>
      </w:r>
      <w:r>
        <w:t xml:space="preserve"> </w:t>
      </w:r>
      <w:r>
        <w:t xml:space="preserve">cells,</w:t>
      </w:r>
      <w:r>
        <w:t xml:space="preserve"> </w:t>
      </w:r>
      <w:r>
        <w:t xml:space="preserve">and</w:t>
      </w:r>
      <w:r>
        <w:t xml:space="preserve"> </w:t>
      </w:r>
      <w:r>
        <w:t xml:space="preserve">trades</w:t>
      </w:r>
      <w:r>
        <w:t xml:space="preserve"> </w:t>
      </w:r>
      <w:r>
        <w:t xml:space="preserve">runtime</w:t>
      </w:r>
      <w:r>
        <w:t xml:space="preserve"> </w:t>
      </w:r>
      <w:r>
        <w:t xml:space="preserve">–</w:t>
      </w:r>
      <w:r>
        <w:t xml:space="preserve"> </w:t>
      </w:r>
      <w:r>
        <w:t xml:space="preserve">governed</w:t>
      </w:r>
      <w:r>
        <w:t xml:space="preserve"> </w:t>
      </w:r>
      <w:r>
        <w:t xml:space="preserve">by</w:t>
      </w:r>
      <w:r>
        <w:t xml:space="preserve"> </w:t>
      </w:r>
      <w:r>
        <w:t xml:space="preserve">an</w:t>
      </w:r>
      <w:r>
        <w:t xml:space="preserve"> </w:t>
      </w:r>
      <w:r>
        <w:t xml:space="preserve">explicit,</w:t>
      </w:r>
      <w:r>
        <w:t xml:space="preserve"> </w:t>
      </w:r>
      <w:r>
        <w:t xml:space="preserve">user-visible</w:t>
      </w:r>
      <w:r>
        <w:t xml:space="preserve"> </w:t>
      </w:r>
      <w:r>
        <w:t xml:space="preserve">iteration</w:t>
      </w:r>
      <w:r>
        <w:t xml:space="preserve"> </w:t>
      </w:r>
      <w:r>
        <w:t xml:space="preserve">budget</w:t>
      </w:r>
      <w:r>
        <w:t xml:space="preserve"> </w:t>
      </w:r>
      <w:r>
        <w:t xml:space="preserve">–</w:t>
      </w:r>
      <w:r>
        <w:t xml:space="preserve"> </w:t>
      </w:r>
      <w:r>
        <w:t xml:space="preserve">at</w:t>
      </w:r>
      <w:r>
        <w:t xml:space="preserve"> </w:t>
      </w:r>
      <w:r>
        <w:t xml:space="preserve">larger</w:t>
      </w:r>
      <w:r>
        <w:t xml:space="preserve"> </w:t>
      </w:r>
      <w:r>
        <w:t xml:space="preserve">sizes.</w:t>
      </w:r>
    </w:p>
    <w:p>
      <w:pPr>
        <w:pStyle w:val="FirstParagraph"/>
      </w:pPr>
      <w:r>
        <w:rPr>
          <w:bCs/>
          <w:b/>
        </w:rPr>
        <w:t xml:space="preserve">Highlights</w:t>
      </w:r>
    </w:p>
    <w:p>
      <w:pPr>
        <w:numPr>
          <w:ilvl w:val="0"/>
          <w:numId w:val="1001"/>
        </w:numPr>
        <w:pStyle w:val="Compact"/>
      </w:pPr>
      <w:r>
        <w:t xml:space="preserve">Voronoi map treemaps as native ggplot2 layers, in pure R with a single</w:t>
      </w:r>
      <w:r>
        <w:t xml:space="preserve"> </w:t>
      </w:r>
      <w:r>
        <w:t xml:space="preserve">hard dependency (ggplot2).</w:t>
      </w:r>
    </w:p>
    <w:p>
      <w:pPr>
        <w:numPr>
          <w:ilvl w:val="0"/>
          <w:numId w:val="1001"/>
        </w:numPr>
        <w:pStyle w:val="Compact"/>
      </w:pPr>
      <w:r>
        <w:t xml:space="preserve">Hierarchical (grouped) layouts plus a grammar of pipe-able annotation</w:t>
      </w:r>
      <w:r>
        <w:t xml:space="preserve"> </w:t>
      </w:r>
      <w:r>
        <w:t xml:space="preserve">verbs: rings (band or labelled arc), country flags, images, and value</w:t>
      </w:r>
      <w:r>
        <w:t xml:space="preserve"> </w:t>
      </w:r>
      <w:r>
        <w:t xml:space="preserve">labels.</w:t>
      </w:r>
    </w:p>
    <w:p>
      <w:pPr>
        <w:numPr>
          <w:ilvl w:val="0"/>
          <w:numId w:val="1001"/>
        </w:numPr>
        <w:pStyle w:val="Compact"/>
      </w:pPr>
      <w:r>
        <w:t xml:space="preserve">Automatic small-cell handling: per-cell label autoscaling and area-based</w:t>
      </w:r>
      <w:r>
        <w:t xml:space="preserve"> </w:t>
      </w:r>
      <w:r>
        <w:t xml:space="preserve">label suppression.</w:t>
      </w:r>
    </w:p>
    <w:p>
      <w:pPr>
        <w:numPr>
          <w:ilvl w:val="0"/>
          <w:numId w:val="1001"/>
        </w:numPr>
        <w:pStyle w:val="Compact"/>
      </w:pPr>
      <w:r>
        <w:t xml:space="preserve">Verified correctness: the layout is an exact power diagram, enforced by</w:t>
      </w:r>
      <w:r>
        <w:t xml:space="preserve"> </w:t>
      </w:r>
      <w:r>
        <w:t xml:space="preserve">property-based tests on every build.</w:t>
      </w:r>
    </w:p>
    <w:bookmarkStart w:id="20" w:name="introduction"/>
    <w:p>
      <w:pPr>
        <w:pStyle w:val="Heading1"/>
      </w:pPr>
      <w:r>
        <w:t xml:space="preserve">1. Introduction</w:t>
      </w:r>
    </w:p>
    <w:p>
      <w:pPr>
        <w:pStyle w:val="FirstParagraph"/>
      </w:pPr>
      <w:r>
        <w:t xml:space="preserve">Part-of-whole structure is among the most common shapes of scientific data:</w:t>
      </w:r>
      <w:r>
        <w:t xml:space="preserve"> </w:t>
      </w:r>
      <w:r>
        <w:t xml:space="preserve">gene families within a genome, reads within a sequencing library, budget</w:t>
      </w:r>
      <w:r>
        <w:t xml:space="preserve"> </w:t>
      </w:r>
      <w:r>
        <w:t xml:space="preserve">positions within an economy. Treemaps display such data by making the area</w:t>
      </w:r>
      <w:r>
        <w:t xml:space="preserve"> </w:t>
      </w:r>
      <w:r>
        <w:t xml:space="preserve">of a cell proportional to its weight. The classic rectangular treemap is</w:t>
      </w:r>
      <w:r>
        <w:t xml:space="preserve"> </w:t>
      </w:r>
      <w:r>
        <w:t xml:space="preserve">easy to compute but produces high-aspect-ratio slivers and a strongly</w:t>
      </w:r>
      <w:r>
        <w:t xml:space="preserve"> </w:t>
      </w:r>
      <w:r>
        <w:t xml:space="preserve">grid-like appearance;</w:t>
      </w:r>
      <w:r>
        <w:t xml:space="preserve"> </w:t>
      </w:r>
      <w:r>
        <w:rPr>
          <w:iCs/>
          <w:i/>
        </w:rPr>
        <w:t xml:space="preserve">Voronoi treemaps</w:t>
      </w:r>
      <w:r>
        <w:t xml:space="preserve"> </w:t>
      </w:r>
      <w:r>
        <w:t xml:space="preserve">(Balzer and Deussen 2005)</w:t>
      </w:r>
      <w:r>
        <w:t xml:space="preserve"> </w:t>
      </w:r>
      <w:r>
        <w:t xml:space="preserve">instead partition an</w:t>
      </w:r>
      <w:r>
        <w:t xml:space="preserve"> </w:t>
      </w:r>
      <w:r>
        <w:t xml:space="preserve">arbitrary convex polygon into organic cells, improving both aesthetics and</w:t>
      </w:r>
      <w:r>
        <w:t xml:space="preserve"> </w:t>
      </w:r>
      <w:r>
        <w:t xml:space="preserve">area perception, and are the layout behind many widely shared</w:t>
      </w:r>
      <w:r>
        <w:t xml:space="preserve"> </w:t>
      </w:r>
      <w:r>
        <w:t xml:space="preserve">data-journalism infographics.</w:t>
      </w:r>
    </w:p>
    <w:p>
      <w:pPr>
        <w:pStyle w:val="BodyText"/>
      </w:pPr>
      <w:r>
        <w:t xml:space="preserve">Computing a Voronoi treemap requires iteratively adapting an additively</w:t>
      </w:r>
      <w:r>
        <w:t xml:space="preserve"> </w:t>
      </w:r>
      <w:r>
        <w:t xml:space="preserve">weighted Voronoi diagram – a power diagram</w:t>
      </w:r>
      <w:r>
        <w:t xml:space="preserve"> </w:t>
      </w:r>
      <w:r>
        <w:t xml:space="preserve">(Aurenhammer 1987)</w:t>
      </w:r>
      <w:r>
        <w:t xml:space="preserve"> </w:t>
      </w:r>
      <w:r>
        <w:t xml:space="preserve">– until every</w:t>
      </w:r>
      <w:r>
        <w:t xml:space="preserve"> </w:t>
      </w:r>
      <w:r>
        <w:t xml:space="preserve">cell’s area matches its target share</w:t>
      </w:r>
      <w:r>
        <w:t xml:space="preserve"> </w:t>
      </w:r>
      <w:r>
        <w:t xml:space="preserve">(Nocaj and Brandes 2012)</w:t>
      </w:r>
      <w:r>
        <w:t xml:space="preserve">. In R, two implementations</w:t>
      </w:r>
      <w:r>
        <w:t xml:space="preserve"> </w:t>
      </w:r>
      <w:r>
        <w:t xml:space="preserve">exist:</w:t>
      </w:r>
      <w:r>
        <w:t xml:space="preserve"> </w:t>
      </w:r>
      <w:r>
        <w:rPr>
          <w:bCs/>
          <w:b/>
        </w:rPr>
        <w:t xml:space="preserve">voronoiTreemap</w:t>
      </w:r>
      <w:r>
        <w:t xml:space="preserve">, which wraps the D3/JavaScript layout in an</w:t>
      </w:r>
      <w:r>
        <w:t xml:space="preserve"> </w:t>
      </w:r>
      <w:r>
        <w:t xml:space="preserve">htmlwidget</w:t>
      </w:r>
      <w:r>
        <w:t xml:space="preserve"> </w:t>
      </w:r>
      <w:r>
        <w:t xml:space="preserve">(Li, Mills, and UOB HDRUK 2021)</w:t>
      </w:r>
      <w:r>
        <w:t xml:space="preserve">, and</w:t>
      </w:r>
      <w:r>
        <w:t xml:space="preserve"> </w:t>
      </w:r>
      <w:r>
        <w:rPr>
          <w:bCs/>
          <w:b/>
        </w:rPr>
        <w:t xml:space="preserve">WeightedTreemaps</w:t>
      </w:r>
      <w:r>
        <w:t xml:space="preserve">, which computes the</w:t>
      </w:r>
      <w:r>
        <w:t xml:space="preserve"> </w:t>
      </w:r>
      <w:r>
        <w:t xml:space="preserve">layout in compiled C++ against the CGAL geometry library</w:t>
      </w:r>
      <w:r>
        <w:t xml:space="preserve"> </w:t>
      </w:r>
      <w:r>
        <w:t xml:space="preserve">(Jahn and Leifels 2024)</w:t>
      </w:r>
      <w:r>
        <w:t xml:space="preserve">. Both work well, but neither produces a ggplot2 object,</w:t>
      </w:r>
      <w:r>
        <w:t xml:space="preserve"> </w:t>
      </w:r>
      <w:r>
        <w:t xml:space="preserve">and both carry installation burdens – a browser runtime in one case, CGAL</w:t>
      </w:r>
      <w:r>
        <w:t xml:space="preserve"> </w:t>
      </w:r>
      <w:r>
        <w:t xml:space="preserve">compilation in the other – that complicate scripted, reproducible</w:t>
      </w:r>
      <w:r>
        <w:t xml:space="preserve"> </w:t>
      </w:r>
      <w:r>
        <w:t xml:space="preserve">pipelines. There is no pure-R, ggplot2-native option.</w:t>
      </w:r>
      <w:r>
        <w:t xml:space="preserve"> </w:t>
      </w:r>
      <w:r>
        <w:rPr>
          <w:bCs/>
          <w:b/>
        </w:rPr>
        <w:t xml:space="preserve">ggvmap</w:t>
      </w:r>
      <w:r>
        <w:t xml:space="preserve"> </w:t>
      </w:r>
      <w:r>
        <w:t xml:space="preserve">fills that</w:t>
      </w:r>
      <w:r>
        <w:t xml:space="preserve"> </w:t>
      </w:r>
      <w:r>
        <w:t xml:space="preserve">gap, following the design precedent of tidyplots</w:t>
      </w:r>
      <w:r>
        <w:t xml:space="preserve"> </w:t>
      </w:r>
      <w:r>
        <w:t xml:space="preserve">(Engler 2025)</w:t>
      </w:r>
      <w:r>
        <w:t xml:space="preserve"> </w:t>
      </w:r>
      <w:r>
        <w:t xml:space="preserve">in offering</w:t>
      </w:r>
      <w:r>
        <w:t xml:space="preserve"> </w:t>
      </w:r>
      <w:r>
        <w:t xml:space="preserve">a small, consistent, pipe-able interface on top of ggplot2</w:t>
      </w:r>
      <w:r>
        <w:t xml:space="preserve"> </w:t>
      </w:r>
      <w:r>
        <w:t xml:space="preserve">(Wickham 2016)</w:t>
      </w:r>
      <w:r>
        <w:t xml:space="preserve">.</w:t>
      </w:r>
    </w:p>
    <w:bookmarkEnd w:id="20"/>
    <w:bookmarkStart w:id="41" w:name="results"/>
    <w:p>
      <w:pPr>
        <w:pStyle w:val="Heading1"/>
      </w:pPr>
      <w:r>
        <w:t xml:space="preserve">2. Results</w:t>
      </w:r>
    </w:p>
    <w:bookmarkStart w:id="25" w:name="a-grammar-of-voronoi-maps"/>
    <w:p>
      <w:pPr>
        <w:pStyle w:val="Heading2"/>
      </w:pPr>
      <w:r>
        <w:t xml:space="preserve">2.1 A grammar of Voronoi maps</w:t>
      </w:r>
    </w:p>
    <w:p>
      <w:pPr>
        <w:pStyle w:val="FirstParagraph"/>
      </w:pPr>
      <w:hyperlink w:anchor="fig-design">
        <w:r>
          <w:rPr>
            <w:rStyle w:val="Hyperlink"/>
          </w:rPr>
          <w:t xml:space="preserve">Figure 1</w:t>
        </w:r>
      </w:hyperlink>
      <w:r>
        <w:t xml:space="preserve"> </w:t>
      </w:r>
      <w:r>
        <w:t xml:space="preserve">summarises the interface. A single computation function,</w:t>
      </w:r>
      <w:r>
        <w:t xml:space="preserve"> </w:t>
      </w:r>
      <w:r>
        <w:rPr>
          <w:rStyle w:val="VerbatimChar"/>
        </w:rPr>
        <w:t xml:space="preserve">voronoi_map()</w:t>
      </w:r>
      <w:r>
        <w:t xml:space="preserve">, takes weights (optionally with labels and a grouping</w:t>
      </w:r>
      <w:r>
        <w:t xml:space="preserve"> </w:t>
      </w:r>
      <w:r>
        <w:t xml:space="preserve">vector) and returns the tessellation;</w:t>
      </w:r>
      <w:r>
        <w:t xml:space="preserve"> </w:t>
      </w:r>
      <w:r>
        <w:rPr>
          <w:rStyle w:val="VerbatimChar"/>
        </w:rPr>
        <w:t xml:space="preserve">ggvmap()</w:t>
      </w:r>
      <w:r>
        <w:t xml:space="preserve"> </w:t>
      </w:r>
      <w:r>
        <w:t xml:space="preserve">renders it as a ggplot;</w:t>
      </w:r>
      <w:r>
        <w:t xml:space="preserve"> </w:t>
      </w:r>
      <w:r>
        <w:t xml:space="preserve">and a family of</w:t>
      </w:r>
      <w:r>
        <w:t xml:space="preserve"> </w:t>
      </w:r>
      <w:r>
        <w:rPr>
          <w:rStyle w:val="VerbatimChar"/>
        </w:rPr>
        <w:t xml:space="preserve">vm_add_*()</w:t>
      </w:r>
      <w:r>
        <w:t xml:space="preserve"> </w:t>
      </w:r>
      <w:r>
        <w:t xml:space="preserve">verbs –</w:t>
      </w:r>
      <w:r>
        <w:t xml:space="preserve"> </w:t>
      </w:r>
      <w:r>
        <w:rPr>
          <w:rStyle w:val="VerbatimChar"/>
        </w:rPr>
        <w:t xml:space="preserve">vm_add_ring()</w:t>
      </w:r>
      <w:r>
        <w:t xml:space="preserve">,</w:t>
      </w:r>
      <w:r>
        <w:t xml:space="preserve"> </w:t>
      </w:r>
      <w:r>
        <w:rPr>
          <w:rStyle w:val="VerbatimChar"/>
        </w:rPr>
        <w:t xml:space="preserve">vm_add_labels()</w:t>
      </w:r>
      <w:r>
        <w:t xml:space="preserve">,</w:t>
      </w:r>
      <w:r>
        <w:t xml:space="preserve"> </w:t>
      </w:r>
      <w:r>
        <w:rPr>
          <w:rStyle w:val="VerbatimChar"/>
        </w:rPr>
        <w:t xml:space="preserve">vm_add_flags()</w:t>
      </w:r>
      <w:r>
        <w:t xml:space="preserve">,</w:t>
      </w:r>
      <w:r>
        <w:t xml:space="preserve"> </w:t>
      </w:r>
      <w:r>
        <w:rPr>
          <w:rStyle w:val="VerbatimChar"/>
        </w:rPr>
        <w:t xml:space="preserve">vm_add_images()</w:t>
      </w:r>
      <w:r>
        <w:t xml:space="preserve"> </w:t>
      </w:r>
      <w:r>
        <w:t xml:space="preserve">– add annotation layers through the</w:t>
      </w:r>
      <w:r>
        <w:t xml:space="preserve"> </w:t>
      </w:r>
      <w:r>
        <w:t xml:space="preserve">native pipe, each reading the layout from the plot object and returning a</w:t>
      </w:r>
      <w:r>
        <w:t xml:space="preserve"> </w:t>
      </w:r>
      <w:r>
        <w:t xml:space="preserve">new plot, so the layers chain without intermediate variables</w:t>
      </w:r>
      <w:r>
        <w:t xml:space="preserve"> </w:t>
      </w:r>
      <w:r>
        <w:t xml:space="preserve">(</w:t>
      </w:r>
      <w:hyperlink w:anchor="fig-design">
        <w:r>
          <w:rPr>
            <w:rStyle w:val="Hyperlink"/>
          </w:rPr>
          <w:t xml:space="preserve">Figure 1</w:t>
        </w:r>
      </w:hyperlink>
      <w:r>
        <w:t xml:space="preserve"> </w:t>
      </w:r>
      <w:r>
        <w:t xml:space="preserve">A, C).</w:t>
      </w:r>
      <w:r>
        <w:t xml:space="preserve"> </w:t>
      </w:r>
      <w:r>
        <w:rPr>
          <w:rStyle w:val="VerbatimChar"/>
        </w:rPr>
        <w:t xml:space="preserve">ggvmap()</w:t>
      </w:r>
      <w:r>
        <w:t xml:space="preserve"> </w:t>
      </w:r>
      <w:r>
        <w:t xml:space="preserve">also accepts raw weights directly,</w:t>
      </w:r>
      <w:r>
        <w:t xml:space="preserve"> </w:t>
      </w:r>
      <w:r>
        <w:t xml:space="preserve">collapsing computation and rendering into one call.</w:t>
      </w:r>
    </w:p>
    <w:p>
      <w:pPr>
        <w:pStyle w:val="BodyText"/>
      </w:pPr>
      <w:r>
        <w:t xml:space="preserve">Appearance is controlled at three levels (</w:t>
      </w:r>
      <w:hyperlink w:anchor="fig-design">
        <w:r>
          <w:rPr>
            <w:rStyle w:val="Hyperlink"/>
          </w:rPr>
          <w:t xml:space="preserve">Figure 1</w:t>
        </w:r>
      </w:hyperlink>
      <w:r>
        <w:t xml:space="preserve"> </w:t>
      </w:r>
      <w:r>
        <w:t xml:space="preserve">D): the map</w:t>
      </w:r>
      <w:r>
        <w:t xml:space="preserve"> </w:t>
      </w:r>
      <w:r>
        <w:t xml:space="preserve">(palette, fill mapping, clip shape, font family), the group (per-group</w:t>
      </w:r>
      <w:r>
        <w:t xml:space="preserve"> </w:t>
      </w:r>
      <w:r>
        <w:t xml:space="preserve">border colours for emphasis), and the cell (per-cell font faces, label</w:t>
      </w:r>
      <w:r>
        <w:t xml:space="preserve"> </w:t>
      </w:r>
      <w:r>
        <w:t xml:space="preserve">colours, and label selection). Arguments accept either a single value or a</w:t>
      </w:r>
      <w:r>
        <w:t xml:space="preserve"> </w:t>
      </w:r>
      <w:r>
        <w:t xml:space="preserve">vector named by cell or group, so emphasising one region of an otherwise</w:t>
      </w:r>
      <w:r>
        <w:t xml:space="preserve"> </w:t>
      </w:r>
      <w:r>
        <w:t xml:space="preserve">uniform map is a one-argument change. Because every result is a ggplot,</w:t>
      </w:r>
      <w:r>
        <w:t xml:space="preserve"> </w:t>
      </w:r>
      <w:r>
        <w:t xml:space="preserve">titles, themes, and extensions from the wider ggplot2 ecosystem (e.g.</w:t>
      </w:r>
      <w:r>
        <w:t xml:space="preserve"> </w:t>
      </w:r>
      <w:r>
        <w:t xml:space="preserve">markdown titles via ggtext, custom fonts via showtext) apply unchanged.</w:t>
      </w:r>
    </w:p>
    <w:tbl>
      <w:tblPr>
        <w:tblStyle w:val="Table"/>
        <w:tblW w:type="pct" w:w="5000"/>
        <w:tblLook w:firstRow="0" w:lastRow="0" w:firstColumn="0" w:lastColumn="0" w:noHBand="0" w:noVBand="0" w:val="0000"/>
        <w:jc w:val="start"/>
        <w:tblLayout w:type="fixed"/>
      </w:tblPr>
      <w:tblGrid>
        <w:gridCol w:w="7920"/>
      </w:tblGrid>
      <w:tr>
        <w:tc>
          <w:tcPr/>
          <w:bookmarkStart w:id="24" w:name="fig-design"/>
          <w:p>
            <w:pPr>
              <w:pStyle w:val="Compact"/>
              <w:jc w:val="center"/>
            </w:pPr>
            <w:r>
              <w:drawing>
                <wp:inline>
                  <wp:extent cx="5334000" cy="2844800"/>
                  <wp:effectExtent b="0" l="0" r="0" t="0"/>
                  <wp:docPr descr="" title="" id="22" name="Picture"/>
                  <a:graphic>
                    <a:graphicData uri="http://schemas.openxmlformats.org/drawingml/2006/picture">
                      <pic:pic>
                        <pic:nvPicPr>
                          <pic:cNvPr descr="figures/fig1_design.png" id="23" name="Picture"/>
                          <pic:cNvPicPr>
                            <a:picLocks noChangeArrowheads="1" noChangeAspect="1"/>
                          </pic:cNvPicPr>
                        </pic:nvPicPr>
                        <pic:blipFill>
                          <a:blip r:embed="rId21"/>
                          <a:stretch>
                            <a:fillRect/>
                          </a:stretch>
                        </pic:blipFill>
                        <pic:spPr bwMode="auto">
                          <a:xfrm>
                            <a:off x="0" y="0"/>
                            <a:ext cx="5334000" cy="2844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Design of ggvmap. (A) The workflow: a weight vector (with optional</w:t>
            </w:r>
            <w:r>
              <w:t xml:space="preserve"> </w:t>
            </w:r>
            <w:r>
              <w:t xml:space="preserve">labels and a grouping variable) flows through</w:t>
            </w:r>
            <w:r>
              <w:t xml:space="preserve"> </w:t>
            </w:r>
            <w:r>
              <w:rPr>
                <w:rStyle w:val="VerbatimChar"/>
              </w:rPr>
              <w:t xml:space="preserve">voronoi_map()</w:t>
            </w:r>
            <w:r>
              <w:t xml:space="preserve">, which</w:t>
            </w:r>
            <w:r>
              <w:t xml:space="preserve"> </w:t>
            </w:r>
            <w:r>
              <w:t xml:space="preserve">computes the tessellation, into</w:t>
            </w:r>
            <w:r>
              <w:t xml:space="preserve"> </w:t>
            </w:r>
            <w:r>
              <w:rPr>
                <w:rStyle w:val="VerbatimChar"/>
              </w:rPr>
              <w:t xml:space="preserve">ggvmap()</w:t>
            </w:r>
            <w:r>
              <w:t xml:space="preserve">, which renders it; annotation</w:t>
            </w:r>
            <w:r>
              <w:t xml:space="preserve"> </w:t>
            </w:r>
            <w:r>
              <w:t xml:space="preserve">verbs are chained with R’s native pipe, and the result is written to file</w:t>
            </w:r>
            <w:r>
              <w:t xml:space="preserve"> </w:t>
            </w:r>
            <w:r>
              <w:t xml:space="preserve">with</w:t>
            </w:r>
            <w:r>
              <w:t xml:space="preserve"> </w:t>
            </w:r>
            <w:r>
              <w:rPr>
                <w:rStyle w:val="VerbatimChar"/>
              </w:rPr>
              <w:t xml:space="preserve">ggsave()</w:t>
            </w:r>
            <w:r>
              <w:t xml:space="preserve"> </w:t>
            </w:r>
            <w:r>
              <w:t xml:space="preserve">or made interactive with</w:t>
            </w:r>
            <w:r>
              <w:t xml:space="preserve"> </w:t>
            </w:r>
            <w:r>
              <w:rPr>
                <w:rStyle w:val="VerbatimChar"/>
              </w:rPr>
              <w:t xml:space="preserve">vm_girafe()</w:t>
            </w:r>
            <w:r>
              <w:t xml:space="preserve">. (B) From data to</w:t>
            </w:r>
            <w:r>
              <w:t xml:space="preserve"> </w:t>
            </w:r>
            <w:r>
              <w:t xml:space="preserve">plot: the nine lines of code shown produce the finished infographic below</w:t>
            </w:r>
            <w:r>
              <w:t xml:space="preserve"> </w:t>
            </w:r>
            <w:r>
              <w:t xml:space="preserve">them from the bundled</w:t>
            </w:r>
            <w:r>
              <w:t xml:space="preserve"> </w:t>
            </w:r>
            <w:r>
              <w:rPr>
                <w:rStyle w:val="VerbatimChar"/>
              </w:rPr>
              <w:t xml:space="preserve">freshwater</w:t>
            </w:r>
            <w:r>
              <w:t xml:space="preserve"> </w:t>
            </w:r>
            <w:r>
              <w:t xml:space="preserve">dataset (columns</w:t>
            </w:r>
            <w:r>
              <w:t xml:space="preserve"> </w:t>
            </w:r>
            <w:r>
              <w:rPr>
                <w:rStyle w:val="VerbatimChar"/>
              </w:rPr>
              <w:t xml:space="preserve">country</w:t>
            </w:r>
            <w:r>
              <w:t xml:space="preserve">,</w:t>
            </w:r>
            <w:r>
              <w:t xml:space="preserve"> </w:t>
            </w:r>
            <w:r>
              <w:rPr>
                <w:rStyle w:val="VerbatimChar"/>
              </w:rPr>
              <w:t xml:space="preserve">share</w:t>
            </w:r>
            <w:r>
              <w:t xml:space="preserve">,</w:t>
            </w:r>
            <w:r>
              <w:t xml:space="preserve"> </w:t>
            </w:r>
            <w:r>
              <w:rPr>
                <w:rStyle w:val="VerbatimChar"/>
              </w:rPr>
              <w:t xml:space="preserve">region</w:t>
            </w:r>
            <w:r>
              <w:t xml:space="preserve">; each country’s share of global renewable freshwater resources,</w:t>
            </w:r>
            <w:r>
              <w:t xml:space="preserve"> </w:t>
            </w:r>
            <w:r>
              <w:t xml:space="preserve">2022</w:t>
            </w:r>
            <w:r>
              <w:t xml:space="preserve"> </w:t>
            </w:r>
            <w:r>
              <w:t xml:space="preserve">(Food and Agriculture Organization of the United Nations 2022)</w:t>
            </w:r>
            <w:r>
              <w:t xml:space="preserve">). Every cell is a country with area proportional to its</w:t>
            </w:r>
            <w:r>
              <w:t xml:space="preserve"> </w:t>
            </w:r>
            <w:r>
              <w:t xml:space="preserve">share, colour and sector encode the region, values sit beneath the names</w:t>
            </w:r>
            <w:r>
              <w:t xml:space="preserve"> </w:t>
            </w:r>
            <w:r>
              <w:t xml:space="preserve">(shrunk or hidden in the smallest cells), and the outer arc ring carries</w:t>
            </w:r>
            <w:r>
              <w:t xml:space="preserve"> </w:t>
            </w:r>
            <w:r>
              <w:t xml:space="preserve">each region’s total share. (C) The complete exported vocabulary, grouped by</w:t>
            </w:r>
            <w:r>
              <w:t xml:space="preserve"> </w:t>
            </w:r>
            <w:r>
              <w:t xml:space="preserve">role: one computation function; four output functions; four pipe-able</w:t>
            </w:r>
            <w:r>
              <w:t xml:space="preserve"> </w:t>
            </w:r>
            <w:r>
              <w:t xml:space="preserve">annotation verbs; accessors that return tidy data frames for custom</w:t>
            </w:r>
            <w:r>
              <w:t xml:space="preserve"> </w:t>
            </w:r>
            <w:r>
              <w:t xml:space="preserve">ggplot2 work; the colour and flag helpers; and the ten convex boundary</w:t>
            </w:r>
            <w:r>
              <w:t xml:space="preserve"> </w:t>
            </w:r>
            <w:r>
              <w:t xml:space="preserve">constructors. (D) Appearance arguments by the level they act on – whole</w:t>
            </w:r>
            <w:r>
              <w:t xml:space="preserve"> </w:t>
            </w:r>
            <w:r>
              <w:t xml:space="preserve">map, group, or single cell. Every cell-level argument also accepts a</w:t>
            </w:r>
            <w:r>
              <w:t xml:space="preserve"> </w:t>
            </w:r>
            <w:r>
              <w:t xml:space="preserve">vector named by cell label, so emphasising one cell (bold face, different</w:t>
            </w:r>
            <w:r>
              <w:t xml:space="preserve"> </w:t>
            </w:r>
            <w:r>
              <w:t xml:space="preserve">colour, its own label) is a one-argument change with no data</w:t>
            </w:r>
            <w:r>
              <w:t xml:space="preserve"> </w:t>
            </w:r>
            <w:r>
              <w:t xml:space="preserve">manipulation.</w:t>
            </w:r>
          </w:p>
          <w:bookmarkEnd w:id="24"/>
        </w:tc>
      </w:tr>
    </w:tbl>
    <w:bookmarkEnd w:id="25"/>
    <w:bookmarkStart w:id="30" w:name="one-dataset-many-maps"/>
    <w:p>
      <w:pPr>
        <w:pStyle w:val="Heading2"/>
      </w:pPr>
      <w:r>
        <w:t xml:space="preserve">2.2 One dataset, many maps</w:t>
      </w:r>
    </w:p>
    <w:p>
      <w:pPr>
        <w:pStyle w:val="FirstParagraph"/>
      </w:pPr>
      <w:hyperlink w:anchor="fig-gallery">
        <w:r>
          <w:rPr>
            <w:rStyle w:val="Hyperlink"/>
          </w:rPr>
          <w:t xml:space="preserve">Figure 2</w:t>
        </w:r>
      </w:hyperlink>
      <w:r>
        <w:t xml:space="preserve"> </w:t>
      </w:r>
      <w:r>
        <w:t xml:space="preserve">shows the same dataset across the package’s layout and</w:t>
      </w:r>
      <w:r>
        <w:t xml:space="preserve"> </w:t>
      </w:r>
      <w:r>
        <w:t xml:space="preserve">annotation space: nine convex boundary shapes, a hierarchical layout with</w:t>
      </w:r>
      <w:r>
        <w:t xml:space="preserve"> </w:t>
      </w:r>
      <w:r>
        <w:t xml:space="preserve">one sector per region and per-group border emphasis, the two ring styles</w:t>
      </w:r>
      <w:r>
        <w:t xml:space="preserve"> </w:t>
      </w:r>
      <w:r>
        <w:t xml:space="preserve">(filled band and labelled arc with group shares), continuous fill by</w:t>
      </w:r>
      <w:r>
        <w:t xml:space="preserve"> </w:t>
      </w:r>
      <w:r>
        <w:t xml:space="preserve">weight, and flag annotations. Labels in small cells are automatically</w:t>
      </w:r>
      <w:r>
        <w:t xml:space="preserve"> </w:t>
      </w:r>
      <w:r>
        <w:t xml:space="preserve">shrunk (</w:t>
      </w:r>
      <w:r>
        <w:rPr>
          <w:rStyle w:val="VerbatimChar"/>
        </w:rPr>
        <w:t xml:space="preserve">autoscale</w:t>
      </w:r>
      <w:r>
        <w:t xml:space="preserve">) or suppressed (</w:t>
      </w:r>
      <w:r>
        <w:rPr>
          <w:rStyle w:val="VerbatimChar"/>
        </w:rPr>
        <w:t xml:space="preserve">min_area</w:t>
      </w:r>
      <w:r>
        <w:t xml:space="preserve">), which keeps maps with</w:t>
      </w:r>
      <w:r>
        <w:t xml:space="preserve"> </w:t>
      </w:r>
      <w:r>
        <w:t xml:space="preserve">long-tailed weight distributions legible without manual tuning.</w:t>
      </w:r>
    </w:p>
    <w:tbl>
      <w:tblPr>
        <w:tblStyle w:val="Table"/>
        <w:tblW w:type="pct" w:w="5000"/>
        <w:tblLook w:firstRow="0" w:lastRow="0" w:firstColumn="0" w:lastColumn="0" w:noHBand="0" w:noVBand="0" w:val="0000"/>
        <w:jc w:val="start"/>
        <w:tblLayout w:type="fixed"/>
      </w:tblPr>
      <w:tblGrid>
        <w:gridCol w:w="7920"/>
      </w:tblGrid>
      <w:tr>
        <w:tc>
          <w:tcPr/>
          <w:bookmarkStart w:id="29" w:name="fig-gallery"/>
          <w:p>
            <w:pPr>
              <w:pStyle w:val="Compact"/>
              <w:jc w:val="center"/>
            </w:pPr>
            <w:r>
              <w:drawing>
                <wp:inline>
                  <wp:extent cx="5334000" cy="3282461"/>
                  <wp:effectExtent b="0" l="0" r="0" t="0"/>
                  <wp:docPr descr="" title="" id="27" name="Picture"/>
                  <a:graphic>
                    <a:graphicData uri="http://schemas.openxmlformats.org/drawingml/2006/picture">
                      <pic:pic>
                        <pic:nvPicPr>
                          <pic:cNvPr descr="figures/fig2_gallery.png" id="28" name="Picture"/>
                          <pic:cNvPicPr>
                            <a:picLocks noChangeArrowheads="1" noChangeAspect="1"/>
                          </pic:cNvPicPr>
                        </pic:nvPicPr>
                        <pic:blipFill>
                          <a:blip r:embed="rId26"/>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Gallery: one dataset, fourteen maps. Rows 1–2: the ten largest</w:t>
            </w:r>
            <w:r>
              <w:t xml:space="preserve"> </w:t>
            </w:r>
            <w:r>
              <w:t xml:space="preserve">freshwater-holding countries laid out on each of the nine built-in convex</w:t>
            </w:r>
            <w:r>
              <w:t xml:space="preserve"> </w:t>
            </w:r>
            <w:r>
              <w:t xml:space="preserve">boundaries – the identical weight vector fills any convex shape with</w:t>
            </w:r>
            <w:r>
              <w:t xml:space="preserve"> </w:t>
            </w:r>
            <w:r>
              <w:t xml:space="preserve">area-true cells, so the boundary is a free design choice. Row 3, left to</w:t>
            </w:r>
            <w:r>
              <w:t xml:space="preserve"> </w:t>
            </w:r>
            <w:r>
              <w:t xml:space="preserve">right: the full 30-row dataset in a hierarchical layout (one sector per</w:t>
            </w:r>
            <w:r>
              <w:t xml:space="preserve"> </w:t>
            </w:r>
            <w:r>
              <w:t xml:space="preserve">region) with the LATAM region singled out by a dark border</w:t>
            </w:r>
            <w:r>
              <w:t xml:space="preserve"> </w:t>
            </w:r>
            <w:r>
              <w:t xml:space="preserve">(</w:t>
            </w:r>
            <w:r>
              <w:rPr>
                <w:rStyle w:val="VerbatimChar"/>
              </w:rPr>
              <w:t xml:space="preserve">group_border_col = c(LATAM = "#333333")</w:t>
            </w:r>
            <w:r>
              <w:t xml:space="preserve">); the filled</w:t>
            </w:r>
            <w:r>
              <w:t xml:space="preserve"> </w:t>
            </w:r>
            <w:r>
              <w:rPr>
                <w:rStyle w:val="VerbatimChar"/>
              </w:rPr>
              <w:t xml:space="preserve">"band"</w:t>
            </w:r>
            <w:r>
              <w:t xml:space="preserve"> </w:t>
            </w:r>
            <w:r>
              <w:t xml:space="preserve">ring</w:t>
            </w:r>
            <w:r>
              <w:t xml:space="preserve"> </w:t>
            </w:r>
            <w:r>
              <w:t xml:space="preserve">style, where each segment spans the angular extent of its region’s sector;</w:t>
            </w:r>
            <w:r>
              <w:t xml:space="preserve"> </w:t>
            </w:r>
            <w:r>
              <w:t xml:space="preserve">the thin</w:t>
            </w:r>
            <w:r>
              <w:t xml:space="preserve"> </w:t>
            </w:r>
            <w:r>
              <w:rPr>
                <w:rStyle w:val="VerbatimChar"/>
              </w:rPr>
              <w:t xml:space="preserve">"arc"</w:t>
            </w:r>
            <w:r>
              <w:t xml:space="preserve"> </w:t>
            </w:r>
            <w:r>
              <w:t xml:space="preserve">ring style with each region’s share appended to its label</w:t>
            </w:r>
            <w:r>
              <w:t xml:space="preserve"> </w:t>
            </w:r>
            <w:r>
              <w:t xml:space="preserve">(</w:t>
            </w:r>
            <w:r>
              <w:rPr>
                <w:rStyle w:val="VerbatimChar"/>
              </w:rPr>
              <w:t xml:space="preserve">values = TRUE</w:t>
            </w:r>
            <w:r>
              <w:t xml:space="preserve">); continuous fill mapped to cell weight</w:t>
            </w:r>
            <w:r>
              <w:t xml:space="preserve"> </w:t>
            </w:r>
            <w:r>
              <w:t xml:space="preserve">(</w:t>
            </w:r>
            <w:r>
              <w:rPr>
                <w:rStyle w:val="VerbatimChar"/>
              </w:rPr>
              <w:t xml:space="preserve">fill_by = "data_weight"</w:t>
            </w:r>
            <w:r>
              <w:t xml:space="preserve">), turning the map into a treemap-heatmap</w:t>
            </w:r>
            <w:r>
              <w:t xml:space="preserve"> </w:t>
            </w:r>
            <w:r>
              <w:t xml:space="preserve">hybrid; and national flags resolved automatically from the country names</w:t>
            </w:r>
            <w:r>
              <w:t xml:space="preserve"> </w:t>
            </w:r>
            <w:r>
              <w:t xml:space="preserve">(</w:t>
            </w:r>
            <w:r>
              <w:rPr>
                <w:rStyle w:val="VerbatimChar"/>
              </w:rPr>
              <w:t xml:space="preserve">vm_add_flags()</w:t>
            </w:r>
            <w:r>
              <w:t xml:space="preserve">). Throughout, labels in small cells shrink</w:t>
            </w:r>
            <w:r>
              <w:t xml:space="preserve"> </w:t>
            </w:r>
            <w:r>
              <w:t xml:space="preserve">(</w:t>
            </w:r>
            <w:r>
              <w:rPr>
                <w:rStyle w:val="VerbatimChar"/>
              </w:rPr>
              <w:t xml:space="preserve">autoscale = TRUE</w:t>
            </w:r>
            <w:r>
              <w:t xml:space="preserve">) or disappear below an area threshold (</w:t>
            </w:r>
            <w:r>
              <w:rPr>
                <w:rStyle w:val="VerbatimChar"/>
              </w:rPr>
              <w:t xml:space="preserve">min_area</w:t>
            </w:r>
            <w:r>
              <w:t xml:space="preserve">),</w:t>
            </w:r>
            <w:r>
              <w:t xml:space="preserve"> </w:t>
            </w:r>
            <w:r>
              <w:t xml:space="preserve">keeping long-tailed data legible without manual</w:t>
            </w:r>
            <w:r>
              <w:t xml:space="preserve"> </w:t>
            </w:r>
            <w:r>
              <w:t xml:space="preserve">tuning.</w:t>
            </w:r>
          </w:p>
          <w:bookmarkEnd w:id="29"/>
        </w:tc>
      </w:tr>
    </w:tbl>
    <w:bookmarkEnd w:id="30"/>
    <w:bookmarkStart w:id="35" w:name="use-cases"/>
    <w:p>
      <w:pPr>
        <w:pStyle w:val="Heading2"/>
      </w:pPr>
      <w:r>
        <w:t xml:space="preserve">2.3 Use cases</w:t>
      </w:r>
    </w:p>
    <w:p>
      <w:pPr>
        <w:pStyle w:val="FirstParagraph"/>
      </w:pPr>
      <w:hyperlink w:anchor="fig-usecases">
        <w:r>
          <w:rPr>
            <w:rStyle w:val="Hyperlink"/>
          </w:rPr>
          <w:t xml:space="preserve">Figure 3</w:t>
        </w:r>
      </w:hyperlink>
      <w:r>
        <w:t xml:space="preserve"> </w:t>
      </w:r>
      <w:r>
        <w:t xml:space="preserve">sketches four disciplinary applications, each fully</w:t>
      </w:r>
      <w:r>
        <w:t xml:space="preserve"> </w:t>
      </w:r>
      <w:r>
        <w:t xml:space="preserve">scripted in the repository: gene families by genome share, genome-wide</w:t>
      </w:r>
      <w:r>
        <w:t xml:space="preserve"> </w:t>
      </w:r>
      <w:r>
        <w:t xml:space="preserve">association hits per chromosome, RNA-seq library composition (with the</w:t>
      </w:r>
      <w:r>
        <w:t xml:space="preserve"> </w:t>
      </w:r>
      <w:r>
        <w:t xml:space="preserve">contaminant fraction outlined for emphasis), and household expenditure</w:t>
      </w:r>
      <w:r>
        <w:t xml:space="preserve"> </w:t>
      </w:r>
      <w:r>
        <w:t xml:space="preserve">shares. The data in this figure are simulated but realistic; the scripts</w:t>
      </w:r>
      <w:r>
        <w:t xml:space="preserve"> </w:t>
      </w:r>
      <w:r>
        <w:t xml:space="preserve">are drop-in templates for real data.</w:t>
      </w:r>
    </w:p>
    <w:tbl>
      <w:tblPr>
        <w:tblStyle w:val="Table"/>
        <w:tblW w:type="pct" w:w="5000"/>
        <w:tblLook w:firstRow="0" w:lastRow="0" w:firstColumn="0" w:lastColumn="0" w:noHBand="0" w:noVBand="0" w:val="0000"/>
        <w:jc w:val="start"/>
        <w:tblLayout w:type="fixed"/>
      </w:tblPr>
      <w:tblGrid>
        <w:gridCol w:w="7920"/>
      </w:tblGrid>
      <w:tr>
        <w:tc>
          <w:tcPr/>
          <w:bookmarkStart w:id="34" w:name="fig-usecases"/>
          <w:p>
            <w:pPr>
              <w:pStyle w:val="Compact"/>
              <w:jc w:val="center"/>
            </w:pPr>
            <w:r>
              <w:drawing>
                <wp:inline>
                  <wp:extent cx="4693920" cy="4693920"/>
                  <wp:effectExtent b="0" l="0" r="0" t="0"/>
                  <wp:docPr descr="" title="" id="32" name="Picture"/>
                  <a:graphic>
                    <a:graphicData uri="http://schemas.openxmlformats.org/drawingml/2006/picture">
                      <pic:pic>
                        <pic:nvPicPr>
                          <pic:cNvPr descr="figures/fig3_usecases.png" id="33" name="Picture"/>
                          <pic:cNvPicPr>
                            <a:picLocks noChangeArrowheads="1" noChangeAspect="1"/>
                          </pic:cNvPicPr>
                        </pic:nvPicPr>
                        <pic:blipFill>
                          <a:blip r:embed="rId31"/>
                          <a:stretch>
                            <a:fillRect/>
                          </a:stretch>
                        </pic:blipFill>
                        <pic:spPr bwMode="auto">
                          <a:xfrm>
                            <a:off x="0" y="0"/>
                            <a:ext cx="4693920" cy="46939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Use cases across disciplines. All data are simulated but realistic, and</w:t>
            </w:r>
            <w:r>
              <w:t xml:space="preserve"> </w:t>
            </w:r>
            <w:r>
              <w:t xml:space="preserve">each panel’s complete script ships in</w:t>
            </w:r>
            <w:r>
              <w:t xml:space="preserve"> </w:t>
            </w:r>
            <w:r>
              <w:rPr>
                <w:rStyle w:val="VerbatimChar"/>
              </w:rPr>
              <w:t xml:space="preserve">paper/figures/fig3_usecases.R</w:t>
            </w:r>
            <w:r>
              <w:t xml:space="preserve"> </w:t>
            </w:r>
            <w:r>
              <w:t xml:space="preserve">as a</w:t>
            </w:r>
            <w:r>
              <w:t xml:space="preserve"> </w:t>
            </w:r>
            <w:r>
              <w:t xml:space="preserve">drop-in template. (A) Genomics: twelve large gene families sized by gene</w:t>
            </w:r>
            <w:r>
              <w:t xml:space="preserve"> </w:t>
            </w:r>
            <w:r>
              <w:t xml:space="preserve">count and grouped by functional class; the arc ring reports each class’s</w:t>
            </w:r>
            <w:r>
              <w:t xml:space="preserve"> </w:t>
            </w:r>
            <w:r>
              <w:t xml:space="preserve">share of the depicted families, and light-on-dark label colours keep the</w:t>
            </w:r>
            <w:r>
              <w:t xml:space="preserve"> </w:t>
            </w:r>
            <w:r>
              <w:t xml:space="preserve">dark Regulation sector readable. (B) Genetics: simulated genome-wide</w:t>
            </w:r>
            <w:r>
              <w:t xml:space="preserve"> </w:t>
            </w:r>
            <w:r>
              <w:t xml:space="preserve">association hits per human chromosome (weights roughly proportional to</w:t>
            </w:r>
            <w:r>
              <w:t xml:space="preserve"> </w:t>
            </w:r>
            <w:r>
              <w:t xml:space="preserve">chromosome length) on a rectangular boundary, with continuous fill</w:t>
            </w:r>
            <w:r>
              <w:t xml:space="preserve"> </w:t>
            </w:r>
            <w:r>
              <w:t xml:space="preserve">restating each cell’s weight so hot chromosomes stand out twice – by area</w:t>
            </w:r>
            <w:r>
              <w:t xml:space="preserve"> </w:t>
            </w:r>
            <w:r>
              <w:t xml:space="preserve">and by colour. (C) Transcriptomics: where the reads of an RNA-seq library</w:t>
            </w:r>
            <w:r>
              <w:t xml:space="preserve"> </w:t>
            </w:r>
            <w:r>
              <w:t xml:space="preserve">end up, grouped into signal, contaminant, and noise classes; the</w:t>
            </w:r>
            <w:r>
              <w:t xml:space="preserve"> </w:t>
            </w:r>
            <w:r>
              <w:t xml:space="preserve">contaminant class is outlined dark for emphasis and fractions below 2% of</w:t>
            </w:r>
            <w:r>
              <w:t xml:space="preserve"> </w:t>
            </w:r>
            <w:r>
              <w:t xml:space="preserve">the library lose their labels (</w:t>
            </w:r>
            <w:r>
              <w:rPr>
                <w:rStyle w:val="VerbatimChar"/>
              </w:rPr>
              <w:t xml:space="preserve">min_area</w:t>
            </w:r>
            <w:r>
              <w:t xml:space="preserve">). (D) Social science: household</w:t>
            </w:r>
            <w:r>
              <w:t xml:space="preserve"> </w:t>
            </w:r>
            <w:r>
              <w:t xml:space="preserve">expenditure shares grouped by need category, the same</w:t>
            </w:r>
            <w:r>
              <w:t xml:space="preserve"> </w:t>
            </w:r>
            <w:r>
              <w:t xml:space="preserve">hierarchy-plus-arc-ring pattern as panel A applied to survey-style</w:t>
            </w:r>
            <w:r>
              <w:t xml:space="preserve"> </w:t>
            </w:r>
            <w:r>
              <w:t xml:space="preserve">data.</w:t>
            </w:r>
          </w:p>
          <w:bookmarkEnd w:id="34"/>
        </w:tc>
      </w:tr>
    </w:tbl>
    <w:bookmarkEnd w:id="35"/>
    <w:bookmarkStart w:id="40" w:name="benchmarks"/>
    <w:p>
      <w:pPr>
        <w:pStyle w:val="Heading2"/>
      </w:pPr>
      <w:r>
        <w:t xml:space="preserve">2.4 Benchmarks</w:t>
      </w:r>
    </w:p>
    <w:p>
      <w:pPr>
        <w:pStyle w:val="FirstParagraph"/>
      </w:pPr>
      <w:hyperlink w:anchor="fig-benchmark">
        <w:r>
          <w:rPr>
            <w:rStyle w:val="Hyperlink"/>
          </w:rPr>
          <w:t xml:space="preserve">Figure 4</w:t>
        </w:r>
      </w:hyperlink>
      <w:r>
        <w:t xml:space="preserve"> </w:t>
      </w:r>
      <w:r>
        <w:t xml:space="preserve">compares ggvmap with voronoiTreemap and</w:t>
      </w:r>
      <w:r>
        <w:t xml:space="preserve"> </w:t>
      </w:r>
      <w:r>
        <w:t xml:space="preserve">WeightedTreemaps on four axes, each package at its default settings.</w:t>
      </w:r>
      <w:r>
        <w:t xml:space="preserve"> </w:t>
      </w:r>
      <w:r>
        <w:rPr>
          <w:iCs/>
          <w:i/>
        </w:rPr>
        <w:t xml:space="preserve">Install complexity</w:t>
      </w:r>
      <w:r>
        <w:t xml:space="preserve"> </w:t>
      </w:r>
      <w:r>
        <w:t xml:space="preserve">(</w:t>
      </w:r>
      <w:hyperlink w:anchor="fig-benchmark">
        <w:r>
          <w:rPr>
            <w:rStyle w:val="Hyperlink"/>
          </w:rPr>
          <w:t xml:space="preserve">Figure 4</w:t>
        </w:r>
      </w:hyperlink>
      <w:r>
        <w:t xml:space="preserve"> </w:t>
      </w:r>
      <w:r>
        <w:t xml:space="preserve">A): ggvmap needs</w:t>
      </w:r>
      <w:r>
        <w:t xml:space="preserve"> </w:t>
      </w:r>
      <w:r>
        <w:t xml:space="preserve">17 recursively resolved CRAN packages and no compiled</w:t>
      </w:r>
      <w:r>
        <w:t xml:space="preserve"> </w:t>
      </w:r>
      <w:r>
        <w:t xml:space="preserve">code, versus 36 packages plus CGAL compilation for</w:t>
      </w:r>
      <w:r>
        <w:t xml:space="preserve"> </w:t>
      </w:r>
      <w:r>
        <w:t xml:space="preserve">WeightedTreemaps; voronoiTreemap resolves 44 packages and runs its layout</w:t>
      </w:r>
      <w:r>
        <w:t xml:space="preserve"> </w:t>
      </w:r>
      <w:r>
        <w:t xml:space="preserve">in a browser.</w:t>
      </w:r>
      <w:r>
        <w:t xml:space="preserve"> </w:t>
      </w:r>
      <w:r>
        <w:rPr>
          <w:iCs/>
          <w:i/>
        </w:rPr>
        <w:t xml:space="preserve">Code length</w:t>
      </w:r>
      <w:r>
        <w:t xml:space="preserve"> </w:t>
      </w:r>
      <w:r>
        <w:t xml:space="preserve">(</w:t>
      </w:r>
      <w:hyperlink w:anchor="fig-benchmark">
        <w:r>
          <w:rPr>
            <w:rStyle w:val="Hyperlink"/>
          </w:rPr>
          <w:t xml:space="preserve">Figure 4</w:t>
        </w:r>
      </w:hyperlink>
      <w:r>
        <w:t xml:space="preserve"> </w:t>
      </w:r>
      <w:r>
        <w:t xml:space="preserve">B): the same grouped treemap</w:t>
      </w:r>
      <w:r>
        <w:t xml:space="preserve"> </w:t>
      </w:r>
      <w:r>
        <w:t xml:space="preserve">takes the fewest words, characters, and function calls in ggvmap.</w:t>
      </w:r>
      <w:r>
        <w:t xml:space="preserve"> </w:t>
      </w:r>
      <w:r>
        <w:rPr>
          <w:iCs/>
          <w:i/>
        </w:rPr>
        <w:t xml:space="preserve">Runtime</w:t>
      </w:r>
      <w:r>
        <w:t xml:space="preserve"> </w:t>
      </w:r>
      <w:r>
        <w:t xml:space="preserve">(</w:t>
      </w:r>
      <w:hyperlink w:anchor="fig-benchmark">
        <w:r>
          <w:rPr>
            <w:rStyle w:val="Hyperlink"/>
          </w:rPr>
          <w:t xml:space="preserve">Figure 4</w:t>
        </w:r>
      </w:hyperlink>
      <w:r>
        <w:t xml:space="preserve"> </w:t>
      </w:r>
      <w:r>
        <w:t xml:space="preserve">C) is size-dependent. On small maps ggvmap is</w:t>
      </w:r>
      <w:r>
        <w:t xml:space="preserve"> </w:t>
      </w:r>
      <w:r>
        <w:t xml:space="preserve">the faster of the two measurable implementations –</w:t>
      </w:r>
      <w:r>
        <w:t xml:space="preserve"> </w:t>
      </w:r>
      <w:r>
        <w:t xml:space="preserve">68 ms versus 664 ms at n = 10 and</w:t>
      </w:r>
      <w:r>
        <w:t xml:space="preserve"> </w:t>
      </w:r>
      <w:r>
        <w:t xml:space="preserve">2.5 s versus 4.5 s at n = 50 –</w:t>
      </w:r>
      <w:r>
        <w:t xml:space="preserve"> </w:t>
      </w:r>
      <w:r>
        <w:t xml:space="preserve">because it avoids the fixed setup cost of the compiled pipeline. Beyond</w:t>
      </w:r>
      <w:r>
        <w:t xml:space="preserve"> </w:t>
      </w:r>
      <w:r>
        <w:t xml:space="preserve">that, pure R pays its price: 33.4 s versus</w:t>
      </w:r>
      <w:r>
        <w:t xml:space="preserve"> </w:t>
      </w:r>
      <w:r>
        <w:t xml:space="preserve">5.5 s at n = 100, and a</w:t>
      </w:r>
      <w:r>
        <w:t xml:space="preserve"> </w:t>
      </w:r>
      <w:r>
        <w:t xml:space="preserve">30-fold gap at n = 500</w:t>
      </w:r>
      <w:r>
        <w:t xml:space="preserve"> </w:t>
      </w:r>
      <w:r>
        <w:t xml:space="preserve">(14.5 min vs 29.5 s). Treemaps</w:t>
      </w:r>
      <w:r>
        <w:t xml:space="preserve"> </w:t>
      </w:r>
      <w:r>
        <w:t xml:space="preserve">typically summarise tens of categories, where ggvmap is competitive or</w:t>
      </w:r>
      <w:r>
        <w:t xml:space="preserve"> </w:t>
      </w:r>
      <w:r>
        <w:t xml:space="preserve">faster; for maps of many hundreds of cells, WeightedTreemaps is the right</w:t>
      </w:r>
      <w:r>
        <w:t xml:space="preserve"> </w:t>
      </w:r>
      <w:r>
        <w:t xml:space="preserve">tool.</w:t>
      </w:r>
    </w:p>
    <w:p>
      <w:pPr>
        <w:pStyle w:val="BodyText"/>
      </w:pPr>
      <w:r>
        <w:rPr>
          <w:iCs/>
          <w:i/>
        </w:rPr>
        <w:t xml:space="preserve">Accuracy</w:t>
      </w:r>
      <w:r>
        <w:t xml:space="preserve"> </w:t>
      </w:r>
      <w:r>
        <w:t xml:space="preserve">(</w:t>
      </w:r>
      <w:hyperlink w:anchor="fig-benchmark">
        <w:r>
          <w:rPr>
            <w:rStyle w:val="Hyperlink"/>
          </w:rPr>
          <w:t xml:space="preserve">Figure 4</w:t>
        </w:r>
      </w:hyperlink>
      <w:r>
        <w:t xml:space="preserve"> </w:t>
      </w:r>
      <w:r>
        <w:t xml:space="preserve">D) turns out to measure convergence, not</w:t>
      </w:r>
      <w:r>
        <w:t xml:space="preserve"> </w:t>
      </w:r>
      <w:r>
        <w:t xml:space="preserve">intrinsic layout quality. At n = 10 and n = 50 the layout converges below</w:t>
      </w:r>
      <w:r>
        <w:t xml:space="preserve"> </w:t>
      </w:r>
      <w:r>
        <w:t xml:space="preserve">the default 1% area-error threshold within 32 and 63 iterations, giving</w:t>
      </w:r>
      <w:r>
        <w:t xml:space="preserve"> </w:t>
      </w:r>
      <w:r>
        <w:t xml:space="preserve">2% and 2%</w:t>
      </w:r>
      <w:r>
        <w:t xml:space="preserve"> </w:t>
      </w:r>
      <w:r>
        <w:t xml:space="preserve">mean relative cell-area error. The n = 100 and n = 500 instances exhaust</w:t>
      </w:r>
      <w:r>
        <w:t xml:space="preserve"> </w:t>
      </w:r>
      <w:r>
        <w:t xml:space="preserve">the default budget of 200 iterations before converging; the stopped</w:t>
      </w:r>
      <w:r>
        <w:t xml:space="preserve"> </w:t>
      </w:r>
      <w:r>
        <w:t xml:space="preserve">layouts show 57% and</w:t>
      </w:r>
      <w:r>
        <w:t xml:space="preserve"> </w:t>
      </w:r>
      <w:r>
        <w:t xml:space="preserve">12% mean error, and the n = 100 draw –</w:t>
      </w:r>
      <w:r>
        <w:t xml:space="preserve"> </w:t>
      </w:r>
      <w:r>
        <w:t xml:space="preserve">whose lognormal weights span a 128-fold range – is the hardest of the</w:t>
      </w:r>
      <w:r>
        <w:t xml:space="preserve"> </w:t>
      </w:r>
      <w:r>
        <w:t xml:space="preserve">four. This is an iteration-budget artefact, not a ceiling: rerunning the</w:t>
      </w:r>
      <w:r>
        <w:t xml:space="preserve"> </w:t>
      </w:r>
      <w:r>
        <w:t xml:space="preserve">same n = 100 instance with</w:t>
      </w:r>
      <w:r>
        <w:t xml:space="preserve"> </w:t>
      </w:r>
      <w:r>
        <w:rPr>
          <w:rStyle w:val="VerbatimChar"/>
        </w:rPr>
        <w:t xml:space="preserve">max_iter = 500</w:t>
      </w:r>
      <w:r>
        <w:t xml:space="preserve"> </w:t>
      </w:r>
      <w:r>
        <w:t xml:space="preserve">converges after 383 iterations</w:t>
      </w:r>
      <w:r>
        <w:t xml:space="preserve"> </w:t>
      </w:r>
      <w:r>
        <w:t xml:space="preserve">to 2.3% mean error (63 s). ggvmap is deliberately transparent about this:</w:t>
      </w:r>
      <w:r>
        <w:t xml:space="preserve"> </w:t>
      </w:r>
      <w:r>
        <w:t xml:space="preserve">the returned object carries a</w:t>
      </w:r>
      <w:r>
        <w:t xml:space="preserve"> </w:t>
      </w:r>
      <w:r>
        <w:rPr>
          <w:rStyle w:val="VerbatimChar"/>
        </w:rPr>
        <w:t xml:space="preserve">converged</w:t>
      </w:r>
      <w:r>
        <w:t xml:space="preserve"> </w:t>
      </w:r>
      <w:r>
        <w:t xml:space="preserve">flag and the iteration count.</w:t>
      </w:r>
      <w:r>
        <w:t xml:space="preserve"> </w:t>
      </w:r>
      <w:r>
        <w:t xml:space="preserve">WeightedTreemaps shows the same budget-dependence under its own defaults</w:t>
      </w:r>
      <w:r>
        <w:t xml:space="preserve"> </w:t>
      </w:r>
      <w:r>
        <w:t xml:space="preserve">(5% to</w:t>
      </w:r>
      <w:r>
        <w:t xml:space="preserve"> </w:t>
      </w:r>
      <w:r>
        <w:t xml:space="preserve">42% across sizes), and both</w:t>
      </w:r>
      <w:r>
        <w:t xml:space="preserve"> </w:t>
      </w:r>
      <w:r>
        <w:t xml:space="preserve">implementations concentrate their largest relative errors in the smallest</w:t>
      </w:r>
      <w:r>
        <w:t xml:space="preserve"> </w:t>
      </w:r>
      <w:r>
        <w:t xml:space="preserve">cells, where the target area is near zero and a large</w:t>
      </w:r>
      <w:r>
        <w:t xml:space="preserve"> </w:t>
      </w:r>
      <w:r>
        <w:rPr>
          <w:iCs/>
          <w:i/>
        </w:rPr>
        <w:t xml:space="preserve">relative</w:t>
      </w:r>
      <w:r>
        <w:t xml:space="preserve"> </w:t>
      </w:r>
      <w:r>
        <w:t xml:space="preserve">error is</w:t>
      </w:r>
      <w:r>
        <w:t xml:space="preserve"> </w:t>
      </w:r>
      <w:r>
        <w:t xml:space="preserve">visually invisible. voronoiTreemap computes its layout in the browser, so</w:t>
      </w:r>
      <w:r>
        <w:t xml:space="preserve"> </w:t>
      </w:r>
      <w:r>
        <w:t xml:space="preserve">R-side runtime and accuracy are not measurable; it appears only in panels</w:t>
      </w:r>
      <w:r>
        <w:t xml:space="preserve"> </w:t>
      </w:r>
      <w:r>
        <w:t xml:space="preserve">A–B.</w:t>
      </w:r>
    </w:p>
    <w:tbl>
      <w:tblPr>
        <w:tblStyle w:val="Table"/>
        <w:tblW w:type="pct" w:w="5000"/>
        <w:tblLook w:firstRow="0" w:lastRow="0" w:firstColumn="0" w:lastColumn="0" w:noHBand="0" w:noVBand="0" w:val="0000"/>
        <w:jc w:val="start"/>
        <w:tblLayout w:type="fixed"/>
      </w:tblPr>
      <w:tblGrid>
        <w:gridCol w:w="7920"/>
      </w:tblGrid>
      <w:tr>
        <w:tc>
          <w:tcPr/>
          <w:bookmarkStart w:id="39" w:name="fig-benchmark"/>
          <w:p>
            <w:pPr>
              <w:pStyle w:val="Compact"/>
              <w:jc w:val="center"/>
            </w:pPr>
            <w:r>
              <w:drawing>
                <wp:inline>
                  <wp:extent cx="4907280" cy="3729532"/>
                  <wp:effectExtent b="0" l="0" r="0" t="0"/>
                  <wp:docPr descr="" title="" id="37" name="Picture"/>
                  <a:graphic>
                    <a:graphicData uri="http://schemas.openxmlformats.org/drawingml/2006/picture">
                      <pic:pic>
                        <pic:nvPicPr>
                          <pic:cNvPr descr="figures/fig4_benchmark.png" id="38" name="Picture"/>
                          <pic:cNvPicPr>
                            <a:picLocks noChangeArrowheads="1" noChangeAspect="1"/>
                          </pic:cNvPicPr>
                        </pic:nvPicPr>
                        <pic:blipFill>
                          <a:blip r:embed="rId36"/>
                          <a:stretch>
                            <a:fillRect/>
                          </a:stretch>
                        </pic:blipFill>
                        <pic:spPr bwMode="auto">
                          <a:xfrm>
                            <a:off x="0" y="0"/>
                            <a:ext cx="4907280" cy="37295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Benchmarks against the two existing R implementations, all packages at</w:t>
            </w:r>
            <w:r>
              <w:t xml:space="preserve"> </w:t>
            </w:r>
            <w:r>
              <w:t xml:space="preserve">default settings; the full protocol is in Methods and</w:t>
            </w:r>
            <w:r>
              <w:t xml:space="preserve"> </w:t>
            </w:r>
            <w:r>
              <w:rPr>
                <w:rStyle w:val="VerbatimChar"/>
              </w:rPr>
              <w:t xml:space="preserve">paper/figures/fig4_benchmark.R</w:t>
            </w:r>
            <w:r>
              <w:t xml:space="preserve">. (A) Install complexity: recursively</w:t>
            </w:r>
            <w:r>
              <w:t xml:space="preserve"> </w:t>
            </w:r>
            <w:r>
              <w:t xml:space="preserve">resolved CRAN dependencies (Depends, Imports, LinkingTo; base packages</w:t>
            </w:r>
            <w:r>
              <w:t xml:space="preserve"> </w:t>
            </w:r>
            <w:r>
              <w:t xml:space="preserve">excluded). ggvmap’s 17 are ggplot2 and its tree, with no compiled code;</w:t>
            </w:r>
            <w:r>
              <w:t xml:space="preserve"> </w:t>
            </w:r>
            <w:r>
              <w:t xml:space="preserve">WeightedTreemaps adds CGAL compilation; voronoiTreemap runs on the</w:t>
            </w:r>
            <w:r>
              <w:t xml:space="preserve"> </w:t>
            </w:r>
            <w:r>
              <w:t xml:space="preserve">htmlwidgets/D3 stack. (B) Code length for the same grouped treemap of</w:t>
            </w:r>
            <w:r>
              <w:t xml:space="preserve"> </w:t>
            </w:r>
            <w:r>
              <w:rPr>
                <w:rStyle w:val="VerbatimChar"/>
              </w:rPr>
              <w:t xml:space="preserve">data(freshwater)</w:t>
            </w:r>
            <w:r>
              <w:t xml:space="preserve">: lines, words, characters, and function calls of the</w:t>
            </w:r>
            <w:r>
              <w:t xml:space="preserve"> </w:t>
            </w:r>
            <w:r>
              <w:t xml:space="preserve">minimal script in each package (log scale; lower is better). (C) Median</w:t>
            </w:r>
            <w:r>
              <w:t xml:space="preserve"> </w:t>
            </w:r>
            <w:r>
              <w:t xml:space="preserve">layout runtime on flat maps of lognormal(3, 1) weights, log–log axes:</w:t>
            </w:r>
            <w:r>
              <w:t xml:space="preserve"> </w:t>
            </w:r>
            <w:r>
              <w:t xml:space="preserve">ggvmap (teal) is fastest up to n = 50, then the compiled implementation</w:t>
            </w:r>
            <w:r>
              <w:t xml:space="preserve"> </w:t>
            </w:r>
            <w:r>
              <w:t xml:space="preserve">(orange) pulls ahead – 33 s vs 5.5 s at n = 100 and 14.5 min vs 29 s at</w:t>
            </w:r>
            <w:r>
              <w:t xml:space="preserve"> </w:t>
            </w:r>
            <w:r>
              <w:t xml:space="preserve">n = 500. (D) Mean relative cell-area error, |actual - target| / target.</w:t>
            </w:r>
            <w:r>
              <w:t xml:space="preserve"> </w:t>
            </w:r>
            <w:r>
              <w:t xml:space="preserve">The ggvmap points at n = 100 and n = 500 are layouts stopped by the</w:t>
            </w:r>
            <w:r>
              <w:t xml:space="preserve"> </w:t>
            </w:r>
            <w:r>
              <w:t xml:space="preserve">default 200-iteration budget (the returned</w:t>
            </w:r>
            <w:r>
              <w:t xml:space="preserve"> </w:t>
            </w:r>
            <w:r>
              <w:rPr>
                <w:rStyle w:val="VerbatimChar"/>
              </w:rPr>
              <w:t xml:space="preserve">converged</w:t>
            </w:r>
            <w:r>
              <w:t xml:space="preserve"> </w:t>
            </w:r>
            <w:r>
              <w:t xml:space="preserve">flag is</w:t>
            </w:r>
            <w:r>
              <w:t xml:space="preserve"> </w:t>
            </w:r>
            <w:r>
              <w:rPr>
                <w:rStyle w:val="VerbatimChar"/>
              </w:rPr>
              <w:t xml:space="preserve">FALSE</w:t>
            </w:r>
            <w:r>
              <w:t xml:space="preserve">);</w:t>
            </w:r>
            <w:r>
              <w:t xml:space="preserve"> </w:t>
            </w:r>
            <w:r>
              <w:t xml:space="preserve">the same n = 100 instance converges to 2.3% mean error given</w:t>
            </w:r>
            <w:r>
              <w:t xml:space="preserve"> </w:t>
            </w:r>
            <w:r>
              <w:rPr>
                <w:rStyle w:val="VerbatimChar"/>
              </w:rPr>
              <w:t xml:space="preserve">max_iter = 500</w:t>
            </w:r>
            <w:r>
              <w:t xml:space="preserve">. Panels C–D omit voronoiTreemap, whose layout runs in</w:t>
            </w:r>
            <w:r>
              <w:t xml:space="preserve"> </w:t>
            </w:r>
            <w:r>
              <w:t xml:space="preserve">the browser and is not measurable from R.</w:t>
            </w:r>
          </w:p>
          <w:bookmarkEnd w:id="39"/>
        </w:tc>
      </w:tr>
    </w:tbl>
    <w:bookmarkEnd w:id="40"/>
    <w:bookmarkEnd w:id="41"/>
    <w:bookmarkStart w:id="42" w:name="conclusion"/>
    <w:p>
      <w:pPr>
        <w:pStyle w:val="Heading1"/>
      </w:pPr>
      <w:r>
        <w:t xml:space="preserve">3. Conclusion</w:t>
      </w:r>
    </w:p>
    <w:p>
      <w:pPr>
        <w:pStyle w:val="FirstParagraph"/>
      </w:pPr>
      <w:r>
        <w:t xml:space="preserve">ggvmap makes Voronoi map treemaps a first-class citizen of the ggplot2</w:t>
      </w:r>
      <w:r>
        <w:t xml:space="preserve"> </w:t>
      </w:r>
      <w:r>
        <w:t xml:space="preserve">ecosystem: a one-line install, a small pipe-able grammar, verified</w:t>
      </w:r>
      <w:r>
        <w:t xml:space="preserve"> </w:t>
      </w:r>
      <w:r>
        <w:t xml:space="preserve">geometry, and publication-style annotation layers. The pure-R</w:t>
      </w:r>
      <w:r>
        <w:t xml:space="preserve"> </w:t>
      </w:r>
      <w:r>
        <w:t xml:space="preserve">implementation trades raw speed at large cell counts for zero installation</w:t>
      </w:r>
      <w:r>
        <w:t xml:space="preserve"> </w:t>
      </w:r>
      <w:r>
        <w:t xml:space="preserve">friction and full composability – a trade that favours the typical</w:t>
      </w:r>
      <w:r>
        <w:t xml:space="preserve"> </w:t>
      </w:r>
      <w:r>
        <w:t xml:space="preserve">treemap, which summarises tens of categories, not thousands. Its main</w:t>
      </w:r>
      <w:r>
        <w:t xml:space="preserve"> </w:t>
      </w:r>
      <w:r>
        <w:t xml:space="preserve">current limitations are the quadratic per-iteration cost of the clipping</w:t>
      </w:r>
      <w:r>
        <w:t xml:space="preserve"> </w:t>
      </w:r>
      <w:r>
        <w:t xml:space="preserve">loop, which makes maps beyond a few hundred cells slow, and the absence of</w:t>
      </w:r>
      <w:r>
        <w:t xml:space="preserve"> </w:t>
      </w:r>
      <w:r>
        <w:t xml:space="preserve">leader lines for labelling cells too small to hold text. Both are planned:</w:t>
      </w:r>
      <w:r>
        <w:t xml:space="preserve"> </w:t>
      </w:r>
      <w:r>
        <w:t xml:space="preserve">spatial indexing restricts clipping to a cell’s actual neighbours and is</w:t>
      </w:r>
      <w:r>
        <w:t xml:space="preserve"> </w:t>
      </w:r>
      <w:r>
        <w:t xml:space="preserve">expected to reduce the large-map runtime by an order of magnitude without</w:t>
      </w:r>
      <w:r>
        <w:t xml:space="preserve"> </w:t>
      </w:r>
      <w:r>
        <w:t xml:space="preserve">leaving pure R, and callout labels are deferred until they can be added</w:t>
      </w:r>
      <w:r>
        <w:t xml:space="preserve"> </w:t>
      </w:r>
      <w:r>
        <w:t xml:space="preserve">without new hard dependencies.</w:t>
      </w:r>
    </w:p>
    <w:bookmarkEnd w:id="42"/>
    <w:bookmarkStart w:id="49" w:name="methods"/>
    <w:p>
      <w:pPr>
        <w:pStyle w:val="Heading1"/>
      </w:pPr>
      <w:r>
        <w:t xml:space="preserve">4. Methods</w:t>
      </w:r>
    </w:p>
    <w:bookmarkStart w:id="43" w:name="interface-design"/>
    <w:p>
      <w:pPr>
        <w:pStyle w:val="Heading2"/>
      </w:pPr>
      <w:r>
        <w:t xml:space="preserve">4.1 Interface design</w:t>
      </w:r>
    </w:p>
    <w:p>
      <w:pPr>
        <w:pStyle w:val="FirstParagraph"/>
      </w:pPr>
      <w:r>
        <w:t xml:space="preserve">The interface follows three rules, adopting the design vocabulary of</w:t>
      </w:r>
      <w:r>
        <w:t xml:space="preserve"> </w:t>
      </w:r>
      <w:r>
        <w:t xml:space="preserve">tidyplots</w:t>
      </w:r>
      <w:r>
        <w:t xml:space="preserve"> </w:t>
      </w:r>
      <w:r>
        <w:t xml:space="preserve">(Engler 2025)</w:t>
      </w:r>
      <w:r>
        <w:t xml:space="preserve"> </w:t>
      </w:r>
      <w:r>
        <w:t xml:space="preserve">and ggplot2</w:t>
      </w:r>
      <w:r>
        <w:t xml:space="preserve"> </w:t>
      </w:r>
      <w:r>
        <w:t xml:space="preserve">(Wickham 2016)</w:t>
      </w:r>
      <w:r>
        <w:t xml:space="preserve">: (i) one verb per</w:t>
      </w:r>
      <w:r>
        <w:t xml:space="preserve"> </w:t>
      </w:r>
      <w:r>
        <w:t xml:space="preserve">action –</w:t>
      </w:r>
      <w:r>
        <w:t xml:space="preserve"> </w:t>
      </w:r>
      <w:r>
        <w:rPr>
          <w:rStyle w:val="VerbatimChar"/>
        </w:rPr>
        <w:t xml:space="preserve">voronoi_map()</w:t>
      </w:r>
      <w:r>
        <w:t xml:space="preserve"> </w:t>
      </w:r>
      <w:r>
        <w:t xml:space="preserve">computes,</w:t>
      </w:r>
      <w:r>
        <w:t xml:space="preserve"> </w:t>
      </w:r>
      <w:r>
        <w:rPr>
          <w:rStyle w:val="VerbatimChar"/>
        </w:rPr>
        <w:t xml:space="preserve">ggvmap()</w:t>
      </w:r>
      <w:r>
        <w:t xml:space="preserve"> </w:t>
      </w:r>
      <w:r>
        <w:t xml:space="preserve">renders,</w:t>
      </w:r>
      <w:r>
        <w:t xml:space="preserve"> </w:t>
      </w:r>
      <w:r>
        <w:rPr>
          <w:rStyle w:val="VerbatimChar"/>
        </w:rPr>
        <w:t xml:space="preserve">vm_add_*()</w:t>
      </w:r>
      <w:r>
        <w:t xml:space="preserve"> </w:t>
      </w:r>
      <w:r>
        <w:t xml:space="preserve">annotate; (ii) every function both accepts and returns the natural object</w:t>
      </w:r>
      <w:r>
        <w:t xml:space="preserve"> </w:t>
      </w:r>
      <w:r>
        <w:t xml:space="preserve">of its stage (weights to layout to plot), so calls compose with the pipe;</w:t>
      </w:r>
      <w:r>
        <w:t xml:space="preserve"> </w:t>
      </w:r>
      <w:r>
        <w:t xml:space="preserve">(iii) arguments degrade gracefully from scalars to named vectors, so</w:t>
      </w:r>
      <w:r>
        <w:t xml:space="preserve"> </w:t>
      </w:r>
      <w:r>
        <w:t xml:space="preserve">emphasis is expressed by naming cells or groups rather than by</w:t>
      </w:r>
      <w:r>
        <w:t xml:space="preserve"> </w:t>
      </w:r>
      <w:r>
        <w:t xml:space="preserve">restructuring data. Annotation layers re-attach the layout object to the</w:t>
      </w:r>
      <w:r>
        <w:t xml:space="preserve"> </w:t>
      </w:r>
      <w:r>
        <w:t xml:space="preserve">returned plot, which is what makes the chain stateless for the user.</w:t>
      </w:r>
    </w:p>
    <w:bookmarkEnd w:id="43"/>
    <w:bookmarkStart w:id="44" w:name="algorithm"/>
    <w:p>
      <w:pPr>
        <w:pStyle w:val="Heading2"/>
      </w:pPr>
      <w:r>
        <w:t xml:space="preserve">4.2 Algorithm</w:t>
      </w:r>
    </w:p>
    <w:p>
      <w:pPr>
        <w:pStyle w:val="FirstParagraph"/>
      </w:pPr>
      <w:r>
        <w:t xml:space="preserve">The layout follows</w:t>
      </w:r>
      <w:r>
        <w:t xml:space="preserve"> </w:t>
      </w:r>
      <w:r>
        <w:t xml:space="preserve">Nocaj and Brandes (2012)</w:t>
      </w:r>
      <w:r>
        <w:t xml:space="preserve">. Each cell is a site with a position and an</w:t>
      </w:r>
      <w:r>
        <w:t xml:space="preserve"> </w:t>
      </w:r>
      <w:r>
        <w:t xml:space="preserve">additive power weight; the plane is partitioned by the power diagram</w:t>
      </w:r>
      <w:r>
        <w:t xml:space="preserve"> </w:t>
      </w:r>
      <w:r>
        <w:t xml:space="preserve">(Aurenhammer 1987)</w:t>
      </w:r>
      <w:r>
        <w:t xml:space="preserve">, computed here in pure R by sequential half-plane</w:t>
      </w:r>
      <w:r>
        <w:t xml:space="preserve"> </w:t>
      </w:r>
      <w:r>
        <w:t xml:space="preserve">clipping of the convex boundary. Each iteration moves every site to its</w:t>
      </w:r>
      <w:r>
        <w:t xml:space="preserve"> </w:t>
      </w:r>
      <w:r>
        <w:t xml:space="preserve">cell’s centroid (position adaptation) and multiplicatively adjusts its</w:t>
      </w:r>
      <w:r>
        <w:t xml:space="preserve"> </w:t>
      </w:r>
      <w:r>
        <w:t xml:space="preserve">power weight by the ratio of target to actual area (weight adaptation),</w:t>
      </w:r>
      <w:r>
        <w:t xml:space="preserve"> </w:t>
      </w:r>
      <w:r>
        <w:t xml:space="preserve">until the maximum relative area error falls below a convergence threshold.</w:t>
      </w:r>
      <w:r>
        <w:t xml:space="preserve"> </w:t>
      </w:r>
      <w:r>
        <w:t xml:space="preserve">Intuitively, the algorithm is a room full of balloons: each balloon drifts</w:t>
      </w:r>
      <w:r>
        <w:t xml:space="preserve"> </w:t>
      </w:r>
      <w:r>
        <w:t xml:space="preserve">toward the centre of its territory and inflates or deflates until it holds</w:t>
      </w:r>
      <w:r>
        <w:t xml:space="preserve"> </w:t>
      </w:r>
      <w:r>
        <w:t xml:space="preserve">exactly its share of the room. Hierarchical maps solve the group-level</w:t>
      </w:r>
      <w:r>
        <w:t xml:space="preserve"> </w:t>
      </w:r>
      <w:r>
        <w:t xml:space="preserve">map first, then run the same algorithm inside each group polygon – a valid</w:t>
      </w:r>
      <w:r>
        <w:t xml:space="preserve"> </w:t>
      </w:r>
      <w:r>
        <w:t xml:space="preserve">nested power diagram. Weights are initialised proportional to target areas</w:t>
      </w:r>
      <w:r>
        <w:t xml:space="preserve"> </w:t>
      </w:r>
      <w:r>
        <w:t xml:space="preserve">and sites by farthest-point sampling, which removes degenerate starts.</w:t>
      </w:r>
      <w:r>
        <w:t xml:space="preserve"> </w:t>
      </w:r>
      <w:r>
        <w:t xml:space="preserve">Iteration stops when the maximum relative area error falls below</w:t>
      </w:r>
      <w:r>
        <w:t xml:space="preserve"> </w:t>
      </w:r>
      <w:r>
        <w:rPr>
          <w:rStyle w:val="VerbatimChar"/>
        </w:rPr>
        <w:t xml:space="preserve">convergence_ratio</w:t>
      </w:r>
      <w:r>
        <w:t xml:space="preserve"> </w:t>
      </w:r>
      <w:r>
        <w:t xml:space="preserve">(default 1%) or after</w:t>
      </w:r>
      <w:r>
        <w:t xml:space="preserve"> </w:t>
      </w:r>
      <w:r>
        <w:rPr>
          <w:rStyle w:val="VerbatimChar"/>
        </w:rPr>
        <w:t xml:space="preserve">max_iter</w:t>
      </w:r>
      <w:r>
        <w:t xml:space="preserve"> </w:t>
      </w:r>
      <w:r>
        <w:t xml:space="preserve">iterations (default</w:t>
      </w:r>
      <w:r>
        <w:t xml:space="preserve"> </w:t>
      </w:r>
      <w:r>
        <w:t xml:space="preserve">200); the returned object records both the iteration count and a</w:t>
      </w:r>
      <w:r>
        <w:t xml:space="preserve"> </w:t>
      </w:r>
      <w:r>
        <w:rPr>
          <w:rStyle w:val="VerbatimChar"/>
        </w:rPr>
        <w:t xml:space="preserve">converged</w:t>
      </w:r>
      <w:r>
        <w:t xml:space="preserve"> </w:t>
      </w:r>
      <w:r>
        <w:t xml:space="preserve">flag, so an unconverged layout is never silent – rerunning</w:t>
      </w:r>
      <w:r>
        <w:t xml:space="preserve"> </w:t>
      </w:r>
      <w:r>
        <w:t xml:space="preserve">with a larger</w:t>
      </w:r>
      <w:r>
        <w:t xml:space="preserve"> </w:t>
      </w:r>
      <w:r>
        <w:rPr>
          <w:rStyle w:val="VerbatimChar"/>
        </w:rPr>
        <w:t xml:space="preserve">max_iter</w:t>
      </w:r>
      <w:r>
        <w:t xml:space="preserve"> </w:t>
      </w:r>
      <w:r>
        <w:t xml:space="preserve">or a different</w:t>
      </w:r>
      <w:r>
        <w:t xml:space="preserve"> </w:t>
      </w:r>
      <w:r>
        <w:rPr>
          <w:rStyle w:val="VerbatimChar"/>
        </w:rPr>
        <w:t xml:space="preserve">seed</w:t>
      </w:r>
      <w:r>
        <w:t xml:space="preserve"> </w:t>
      </w:r>
      <w:r>
        <w:t xml:space="preserve">resolves it.</w:t>
      </w:r>
    </w:p>
    <w:bookmarkEnd w:id="44"/>
    <w:bookmarkStart w:id="45" w:name="correctness"/>
    <w:p>
      <w:pPr>
        <w:pStyle w:val="Heading2"/>
      </w:pPr>
      <w:r>
        <w:t xml:space="preserve">4.3 Correctness</w:t>
      </w:r>
    </w:p>
    <w:p>
      <w:pPr>
        <w:pStyle w:val="FirstParagraph"/>
      </w:pPr>
      <w:r>
        <w:t xml:space="preserve">The test suite enforces the defining properties of the output rather than</w:t>
      </w:r>
      <w:r>
        <w:t xml:space="preserve"> </w:t>
      </w:r>
      <w:r>
        <w:t xml:space="preserve">snapshots: every point of a fine grid lies in the cell of its</w:t>
      </w:r>
      <w:r>
        <w:t xml:space="preserve"> </w:t>
      </w:r>
      <w:r>
        <w:t xml:space="preserve">minimum-power-distance site; cell areas sum to the clip area to machine</w:t>
      </w:r>
      <w:r>
        <w:t xml:space="preserve"> </w:t>
      </w:r>
      <w:r>
        <w:t xml:space="preserve">precision with no gaps or overlaps; every cell is convex; and each</w:t>
      </w:r>
      <w:r>
        <w:t xml:space="preserve"> </w:t>
      </w:r>
      <w:r>
        <w:t xml:space="preserve">hierarchical subcell lies inside its group polygon</w:t>
      </w:r>
      <w:r>
        <w:t xml:space="preserve"> </w:t>
      </w:r>
      <w:r>
        <w:t xml:space="preserve">(</w:t>
      </w:r>
      <w:r>
        <w:rPr>
          <w:rStyle w:val="VerbatimChar"/>
        </w:rPr>
        <w:t xml:space="preserve">tests/testthat/test-correctness.R</w:t>
      </w:r>
      <w:r>
        <w:t xml:space="preserve">). These property-based tests run on</w:t>
      </w:r>
      <w:r>
        <w:t xml:space="preserve"> </w:t>
      </w:r>
      <w:r>
        <w:t xml:space="preserve">every build.</w:t>
      </w:r>
    </w:p>
    <w:bookmarkEnd w:id="45"/>
    <w:bookmarkStart w:id="46" w:name="dependencies"/>
    <w:p>
      <w:pPr>
        <w:pStyle w:val="Heading2"/>
      </w:pPr>
      <w:r>
        <w:t xml:space="preserve">4.4 Dependencies</w:t>
      </w:r>
    </w:p>
    <w:p>
      <w:pPr>
        <w:pStyle w:val="FirstParagraph"/>
      </w:pPr>
      <w:r>
        <w:t xml:space="preserve">ggvmap Imports only ggplot2 (plus the base packages grDevices, stats,</w:t>
      </w:r>
      <w:r>
        <w:t xml:space="preserve"> </w:t>
      </w:r>
      <w:r>
        <w:t xml:space="preserve">utils). Optional features degrade gracefully behind</w:t>
      </w:r>
      <w:r>
        <w:t xml:space="preserve"> </w:t>
      </w:r>
      <w:r>
        <w:rPr>
          <w:rStyle w:val="VerbatimChar"/>
        </w:rPr>
        <w:t xml:space="preserve">requireNamespace()</w:t>
      </w:r>
      <w:r>
        <w:t xml:space="preserve"> </w:t>
      </w:r>
      <w:r>
        <w:t xml:space="preserve">guards: ggimage (flags, images), ggiraph (interactivity), geomtextpath</w:t>
      </w:r>
      <w:r>
        <w:t xml:space="preserve"> </w:t>
      </w:r>
      <w:r>
        <w:t xml:space="preserve">(curved ring labels), magick and png (image caching).</w:t>
      </w:r>
    </w:p>
    <w:bookmarkEnd w:id="46"/>
    <w:bookmarkStart w:id="47" w:name="benchmarking"/>
    <w:p>
      <w:pPr>
        <w:pStyle w:val="Heading2"/>
      </w:pPr>
      <w:r>
        <w:t xml:space="preserve">4.5 Benchmarking</w:t>
      </w:r>
    </w:p>
    <w:p>
      <w:pPr>
        <w:pStyle w:val="FirstParagraph"/>
      </w:pPr>
      <w:r>
        <w:t xml:space="preserve">Benchmarks (</w:t>
      </w:r>
      <w:hyperlink w:anchor="fig-benchmark">
        <w:r>
          <w:rPr>
            <w:rStyle w:val="Hyperlink"/>
          </w:rPr>
          <w:t xml:space="preserve">Figure 4</w:t>
        </w:r>
      </w:hyperlink>
      <w:r>
        <w:t xml:space="preserve">) were run with bench</w:t>
      </w:r>
      <w:r>
        <w:t xml:space="preserve"> </w:t>
      </w:r>
      <w:r>
        <w:t xml:space="preserve">(Hester and Vaughan 2023)</w:t>
      </w:r>
      <w:r>
        <w:t xml:space="preserve">: flat maps</w:t>
      </w:r>
      <w:r>
        <w:t xml:space="preserve"> </w:t>
      </w:r>
      <w:r>
        <w:t xml:space="preserve">of n = 10, 50, 100, 500 lognormal(3, 1) weights, median of 10 iterations</w:t>
      </w:r>
      <w:r>
        <w:t xml:space="preserve"> </w:t>
      </w:r>
      <w:r>
        <w:t xml:space="preserve">(3 at n = 500), on a single laptop core, each package at its default</w:t>
      </w:r>
      <w:r>
        <w:t xml:space="preserve"> </w:t>
      </w:r>
      <w:r>
        <w:t xml:space="preserve">settings (for ggvmap:</w:t>
      </w:r>
      <w:r>
        <w:t xml:space="preserve"> </w:t>
      </w:r>
      <w:r>
        <w:rPr>
          <w:rStyle w:val="VerbatimChar"/>
        </w:rPr>
        <w:t xml:space="preserve">convergence_ratio = 0.01</w:t>
      </w:r>
      <w:r>
        <w:t xml:space="preserve">,</w:t>
      </w:r>
      <w:r>
        <w:t xml:space="preserve"> </w:t>
      </w:r>
      <w:r>
        <w:rPr>
          <w:rStyle w:val="VerbatimChar"/>
        </w:rPr>
        <w:t xml:space="preserve">max_iter = 200</w:t>
      </w:r>
      <w:r>
        <w:t xml:space="preserve">,</w:t>
      </w:r>
      <w:r>
        <w:t xml:space="preserve"> </w:t>
      </w:r>
      <w:r>
        <w:rPr>
          <w:rStyle w:val="VerbatimChar"/>
        </w:rPr>
        <w:t xml:space="preserve">min_weight_ratio = 0.01</w:t>
      </w:r>
      <w:r>
        <w:t xml:space="preserve">). Layouts that reach</w:t>
      </w:r>
      <w:r>
        <w:t xml:space="preserve"> </w:t>
      </w:r>
      <w:r>
        <w:rPr>
          <w:rStyle w:val="VerbatimChar"/>
        </w:rPr>
        <w:t xml:space="preserve">max_iter</w:t>
      </w:r>
      <w:r>
        <w:t xml:space="preserve"> </w:t>
      </w:r>
      <w:r>
        <w:t xml:space="preserve">unconverged are</w:t>
      </w:r>
      <w:r>
        <w:t xml:space="preserve"> </w:t>
      </w:r>
      <w:r>
        <w:t xml:space="preserve">reported as measured; the text notes where a larger budget converges</w:t>
      </w:r>
      <w:r>
        <w:t xml:space="preserve"> </w:t>
      </w:r>
      <w:r>
        <w:t xml:space="preserve">them. Dependency counts are recursive Depends, Imports and</w:t>
      </w:r>
      <w:r>
        <w:t xml:space="preserve"> </w:t>
      </w:r>
      <w:r>
        <w:t xml:space="preserve">LinkingTo on CRAN, excluding base packages. Code-length metrics count</w:t>
      </w:r>
      <w:r>
        <w:t xml:space="preserve"> </w:t>
      </w:r>
      <w:r>
        <w:t xml:space="preserve">lines, words, characters, and function calls of the minimal code producing</w:t>
      </w:r>
      <w:r>
        <w:t xml:space="preserve"> </w:t>
      </w:r>
      <w:r>
        <w:t xml:space="preserve">the same grouped treemap in each package. Layout accuracy is the mean over</w:t>
      </w:r>
      <w:r>
        <w:t xml:space="preserve"> </w:t>
      </w:r>
      <w:r>
        <w:t xml:space="preserve">cells of |actual - target| / target area, taken from each package’s</w:t>
      </w:r>
      <w:r>
        <w:t xml:space="preserve"> </w:t>
      </w:r>
      <w:r>
        <w:t xml:space="preserve">reported per-cell areas. The full script is</w:t>
      </w:r>
      <w:r>
        <w:t xml:space="preserve"> </w:t>
      </w:r>
      <w:r>
        <w:rPr>
          <w:rStyle w:val="VerbatimChar"/>
        </w:rPr>
        <w:t xml:space="preserve">paper/figures/fig4_benchmark.R</w:t>
      </w:r>
      <w:r>
        <w:t xml:space="preserve">; results are archived in</w:t>
      </w:r>
      <w:r>
        <w:t xml:space="preserve"> </w:t>
      </w:r>
      <w:r>
        <w:rPr>
          <w:rStyle w:val="VerbatimChar"/>
        </w:rPr>
        <w:t xml:space="preserve">paper/figures/benchmark_results.csv</w:t>
      </w:r>
      <w:r>
        <w:t xml:space="preserve">.</w:t>
      </w:r>
    </w:p>
    <w:bookmarkEnd w:id="47"/>
    <w:bookmarkStart w:id="48" w:name="data-availability"/>
    <w:p>
      <w:pPr>
        <w:pStyle w:val="Heading2"/>
      </w:pPr>
      <w:r>
        <w:t xml:space="preserve">4.6 Data availability</w:t>
      </w:r>
    </w:p>
    <w:p>
      <w:pPr>
        <w:pStyle w:val="FirstParagraph"/>
      </w:pPr>
      <w:r>
        <w:t xml:space="preserve">ggvmap is available at https://github.com/loukesio/ggvmap under the MIT</w:t>
      </w:r>
      <w:r>
        <w:t xml:space="preserve"> </w:t>
      </w:r>
      <w:r>
        <w:t xml:space="preserve">licence. The</w:t>
      </w:r>
      <w:r>
        <w:t xml:space="preserve"> </w:t>
      </w:r>
      <w:r>
        <w:rPr>
          <w:rStyle w:val="VerbatimChar"/>
        </w:rPr>
        <w:t xml:space="preserve">freshwater</w:t>
      </w:r>
      <w:r>
        <w:t xml:space="preserve"> </w:t>
      </w:r>
      <w:r>
        <w:t xml:space="preserve">dataset ships with the package (FAO Aquastat via</w:t>
      </w:r>
      <w:r>
        <w:t xml:space="preserve"> </w:t>
      </w:r>
      <w:r>
        <w:t xml:space="preserve">World Bank, 2022</w:t>
      </w:r>
      <w:r>
        <w:t xml:space="preserve"> </w:t>
      </w:r>
      <w:r>
        <w:t xml:space="preserve">(Food and Agriculture Organization of the United Nations 2022)</w:t>
      </w:r>
      <w:r>
        <w:t xml:space="preserve">). All figures in this paper are generated</w:t>
      </w:r>
      <w:r>
        <w:t xml:space="preserve"> </w:t>
      </w:r>
      <w:r>
        <w:t xml:space="preserve">by the scripts in</w:t>
      </w:r>
      <w:r>
        <w:t xml:space="preserve"> </w:t>
      </w:r>
      <w:r>
        <w:rPr>
          <w:rStyle w:val="VerbatimChar"/>
        </w:rPr>
        <w:t xml:space="preserve">paper/figures/</w:t>
      </w:r>
      <w:r>
        <w:t xml:space="preserve"> </w:t>
      </w:r>
      <w:r>
        <w:t xml:space="preserve">and rendered by</w:t>
      </w:r>
      <w:r>
        <w:t xml:space="preserve"> </w:t>
      </w:r>
      <w:r>
        <w:rPr>
          <w:rStyle w:val="VerbatimChar"/>
        </w:rPr>
        <w:t xml:space="preserve">paper/render.R</w:t>
      </w:r>
      <w:r>
        <w:t xml:space="preserve">.</w:t>
      </w:r>
    </w:p>
    <w:bookmarkEnd w:id="48"/>
    <w:bookmarkEnd w:id="49"/>
    <w:bookmarkStart w:id="51" w:name="acknowledgements"/>
    <w:p>
      <w:pPr>
        <w:pStyle w:val="Heading1"/>
      </w:pPr>
      <w:r>
        <w:t xml:space="preserve">Acknowledgements</w:t>
      </w:r>
    </w:p>
    <w:p>
      <w:pPr>
        <w:pStyle w:val="FirstParagraph"/>
      </w:pPr>
      <w:r>
        <w:t xml:space="preserve">This package grew out of the author’s Stack Overflow question</w:t>
      </w:r>
      <w:r>
        <w:t xml:space="preserve"> </w:t>
      </w:r>
      <w:hyperlink r:id="rId50">
        <w:r>
          <w:rPr>
            <w:rStyle w:val="Hyperlink"/>
          </w:rPr>
          <w:t xml:space="preserve">“</w:t>
        </w:r>
        <w:r>
          <w:rPr>
            <w:rStyle w:val="Hyperlink"/>
          </w:rPr>
          <w:t xml:space="preserve">Make a</w:t>
        </w:r>
        <w:r>
          <w:rPr>
            <w:rStyle w:val="Hyperlink"/>
          </w:rPr>
          <w:t xml:space="preserve"> </w:t>
        </w:r>
        <w:r>
          <w:rPr>
            <w:rStyle w:val="Hyperlink"/>
          </w:rPr>
          <w:t xml:space="preserve">circular Voronoi diagram in</w:t>
        </w:r>
        <w:r>
          <w:rPr>
            <w:rStyle w:val="Hyperlink"/>
          </w:rPr>
          <w:t xml:space="preserve"> </w:t>
        </w:r>
        <w:r>
          <w:rPr>
            <w:rStyle w:val="Hyperlink"/>
          </w:rPr>
          <w:t xml:space="preserve">R</w:t>
        </w:r>
        <w:r>
          <w:rPr>
            <w:rStyle w:val="Hyperlink"/>
          </w:rPr>
          <w:t xml:space="preserve">”</w:t>
        </w:r>
      </w:hyperlink>
      <w:r>
        <w:t xml:space="preserve"> </w:t>
      </w:r>
      <w:r>
        <w:t xml:space="preserve">and owes much to the inspiration of Allan Cameron’s answer there.</w:t>
      </w:r>
    </w:p>
    <w:bookmarkEnd w:id="51"/>
    <w:bookmarkStart w:id="71" w:name="references"/>
    <w:p>
      <w:pPr>
        <w:pStyle w:val="Heading1"/>
      </w:pPr>
      <w:r>
        <w:t xml:space="preserve">References</w:t>
      </w:r>
    </w:p>
    <w:bookmarkStart w:id="70" w:name="refs"/>
    <w:bookmarkStart w:id="53" w:name="ref-aurenhammer1987"/>
    <w:p>
      <w:pPr>
        <w:pStyle w:val="Bibliography"/>
      </w:pPr>
      <w:r>
        <w:t xml:space="preserve">Aurenhammer, Franz. 1987.</w:t>
      </w:r>
      <w:r>
        <w:t xml:space="preserve"> </w:t>
      </w:r>
      <w:r>
        <w:t xml:space="preserve">“Power Diagrams: Properties, Algorithms and Applications.”</w:t>
      </w:r>
      <w:r>
        <w:t xml:space="preserve"> </w:t>
      </w:r>
      <w:r>
        <w:rPr>
          <w:iCs/>
          <w:i/>
        </w:rPr>
        <w:t xml:space="preserve">SIAM Journal on Computing</w:t>
      </w:r>
      <w:r>
        <w:t xml:space="preserve"> </w:t>
      </w:r>
      <w:r>
        <w:t xml:space="preserve">16 (1): 78–96.</w:t>
      </w:r>
      <w:r>
        <w:t xml:space="preserve"> </w:t>
      </w:r>
      <w:hyperlink r:id="rId52">
        <w:r>
          <w:rPr>
            <w:rStyle w:val="Hyperlink"/>
          </w:rPr>
          <w:t xml:space="preserve">https://doi.org/10.1137/0216006</w:t>
        </w:r>
      </w:hyperlink>
      <w:r>
        <w:t xml:space="preserve">.</w:t>
      </w:r>
    </w:p>
    <w:bookmarkEnd w:id="53"/>
    <w:bookmarkStart w:id="55" w:name="ref-balzer2005"/>
    <w:p>
      <w:pPr>
        <w:pStyle w:val="Bibliography"/>
      </w:pPr>
      <w:r>
        <w:t xml:space="preserve">Balzer, Michael, and Oliver Deussen. 2005.</w:t>
      </w:r>
      <w:r>
        <w:t xml:space="preserve"> </w:t>
      </w:r>
      <w:r>
        <w:t xml:space="preserve">“Voronoi Treemaps.”</w:t>
      </w:r>
      <w:r>
        <w:t xml:space="preserve"> </w:t>
      </w:r>
      <w:r>
        <w:t xml:space="preserve">In</w:t>
      </w:r>
      <w:r>
        <w:t xml:space="preserve"> </w:t>
      </w:r>
      <w:r>
        <w:rPr>
          <w:iCs/>
          <w:i/>
        </w:rPr>
        <w:t xml:space="preserve">Proceedings of the IEEE Symposium on Information Visualization (InfoVis)</w:t>
      </w:r>
      <w:r>
        <w:t xml:space="preserve">, 49–56.</w:t>
      </w:r>
      <w:r>
        <w:t xml:space="preserve"> </w:t>
      </w:r>
      <w:hyperlink r:id="rId54">
        <w:r>
          <w:rPr>
            <w:rStyle w:val="Hyperlink"/>
          </w:rPr>
          <w:t xml:space="preserve">https://doi.org/10.1109/INFVIS.2005.1532128</w:t>
        </w:r>
      </w:hyperlink>
      <w:r>
        <w:t xml:space="preserve">.</w:t>
      </w:r>
    </w:p>
    <w:bookmarkEnd w:id="55"/>
    <w:bookmarkStart w:id="57" w:name="ref-engler2025"/>
    <w:p>
      <w:pPr>
        <w:pStyle w:val="Bibliography"/>
      </w:pPr>
      <w:r>
        <w:t xml:space="preserve">Engler, Jan Broder. 2025.</w:t>
      </w:r>
      <w:r>
        <w:t xml:space="preserve"> </w:t>
      </w:r>
      <w:r>
        <w:t xml:space="preserve">“Tidyplots Empowers Life Scientists with Easy Code-Based Data Visualization.”</w:t>
      </w:r>
      <w:r>
        <w:t xml:space="preserve"> </w:t>
      </w:r>
      <w:r>
        <w:rPr>
          <w:iCs/>
          <w:i/>
        </w:rPr>
        <w:t xml:space="preserve">iMeta</w:t>
      </w:r>
      <w:r>
        <w:t xml:space="preserve"> </w:t>
      </w:r>
      <w:r>
        <w:t xml:space="preserve">4: e70018.</w:t>
      </w:r>
      <w:r>
        <w:t xml:space="preserve"> </w:t>
      </w:r>
      <w:hyperlink r:id="rId56">
        <w:r>
          <w:rPr>
            <w:rStyle w:val="Hyperlink"/>
          </w:rPr>
          <w:t xml:space="preserve">https://doi.org/10.1002/imt2.70018</w:t>
        </w:r>
      </w:hyperlink>
      <w:r>
        <w:t xml:space="preserve">.</w:t>
      </w:r>
    </w:p>
    <w:bookmarkEnd w:id="57"/>
    <w:bookmarkStart w:id="59" w:name="ref-faoaquastat"/>
    <w:p>
      <w:pPr>
        <w:pStyle w:val="Bibliography"/>
      </w:pPr>
      <w:r>
        <w:t xml:space="preserve">Food and Agriculture Organization of the United Nations. 2022.</w:t>
      </w:r>
      <w:r>
        <w:t xml:space="preserve"> </w:t>
      </w:r>
      <w:r>
        <w:t xml:space="preserve">“</w:t>
      </w:r>
      <w:r>
        <w:t xml:space="preserve">AQUASTAT</w:t>
      </w:r>
      <w:r>
        <w:t xml:space="preserve">:</w:t>
      </w:r>
      <w:r>
        <w:t xml:space="preserve"> </w:t>
      </w:r>
      <w:r>
        <w:t xml:space="preserve">FAO</w:t>
      </w:r>
      <w:r>
        <w:t xml:space="preserve">’s Global Information System on Water and Agriculture – Renewable Internal Freshwater Resources.”</w:t>
      </w:r>
      <w:r>
        <w:t xml:space="preserve"> </w:t>
      </w:r>
      <w:hyperlink r:id="rId58">
        <w:r>
          <w:rPr>
            <w:rStyle w:val="Hyperlink"/>
          </w:rPr>
          <w:t xml:space="preserve">https://data.worldbank.org/indicator/ER.H2O.INTR.K3</w:t>
        </w:r>
      </w:hyperlink>
      <w:r>
        <w:t xml:space="preserve">.</w:t>
      </w:r>
    </w:p>
    <w:bookmarkEnd w:id="59"/>
    <w:bookmarkStart w:id="61" w:name="ref-bench"/>
    <w:p>
      <w:pPr>
        <w:pStyle w:val="Bibliography"/>
      </w:pPr>
      <w:r>
        <w:t xml:space="preserve">Hester, Jim, and Davis Vaughan. 2023.</w:t>
      </w:r>
      <w:r>
        <w:t xml:space="preserve"> </w:t>
      </w:r>
      <w:r>
        <w:t xml:space="preserve">“Bench: High Precision Timing of r Expressions.”</w:t>
      </w:r>
      <w:r>
        <w:t xml:space="preserve"> </w:t>
      </w:r>
      <w:hyperlink r:id="rId60">
        <w:r>
          <w:rPr>
            <w:rStyle w:val="Hyperlink"/>
          </w:rPr>
          <w:t xml:space="preserve">https://CRAN.R-project.org/package=bench</w:t>
        </w:r>
      </w:hyperlink>
      <w:r>
        <w:t xml:space="preserve">.</w:t>
      </w:r>
    </w:p>
    <w:bookmarkEnd w:id="61"/>
    <w:bookmarkStart w:id="63" w:name="ref-weightedtreemaps"/>
    <w:p>
      <w:pPr>
        <w:pStyle w:val="Bibliography"/>
      </w:pPr>
      <w:r>
        <w:t xml:space="preserve">Jahn, Michael, and Yannick Leifels. 2024.</w:t>
      </w:r>
      <w:r>
        <w:t xml:space="preserve"> </w:t>
      </w:r>
      <w:r>
        <w:t xml:space="preserve">“WeightedTreemaps: Generate and Plot Voronoi or Sunburst Treemaps from Hierarchical Data.”</w:t>
      </w:r>
      <w:r>
        <w:t xml:space="preserve"> </w:t>
      </w:r>
      <w:hyperlink r:id="rId62">
        <w:r>
          <w:rPr>
            <w:rStyle w:val="Hyperlink"/>
          </w:rPr>
          <w:t xml:space="preserve">https://CRAN.R-project.org/package=WeightedTreemaps</w:t>
        </w:r>
      </w:hyperlink>
      <w:r>
        <w:t xml:space="preserve">.</w:t>
      </w:r>
    </w:p>
    <w:bookmarkEnd w:id="63"/>
    <w:bookmarkStart w:id="65" w:name="ref-voronoitreemap"/>
    <w:p>
      <w:pPr>
        <w:pStyle w:val="Bibliography"/>
      </w:pPr>
      <w:r>
        <w:t xml:space="preserve">Li, Mike, Enrico Mills, and UOB HDRUK. 2021.</w:t>
      </w:r>
      <w:r>
        <w:t xml:space="preserve"> </w:t>
      </w:r>
      <w:r>
        <w:t xml:space="preserve">“voronoiTreemap: Voronoi Treemaps with Added Interactivity by Shiny.”</w:t>
      </w:r>
      <w:r>
        <w:t xml:space="preserve"> </w:t>
      </w:r>
      <w:hyperlink r:id="rId64">
        <w:r>
          <w:rPr>
            <w:rStyle w:val="Hyperlink"/>
          </w:rPr>
          <w:t xml:space="preserve">https://CRAN.R-project.org/package=voronoiTreemap</w:t>
        </w:r>
      </w:hyperlink>
      <w:r>
        <w:t xml:space="preserve">.</w:t>
      </w:r>
    </w:p>
    <w:bookmarkEnd w:id="65"/>
    <w:bookmarkStart w:id="67" w:name="ref-nocaj2012"/>
    <w:p>
      <w:pPr>
        <w:pStyle w:val="Bibliography"/>
      </w:pPr>
      <w:r>
        <w:t xml:space="preserve">Nocaj, Arlind, and Ulrik Brandes. 2012.</w:t>
      </w:r>
      <w:r>
        <w:t xml:space="preserve"> </w:t>
      </w:r>
      <w:r>
        <w:t xml:space="preserve">“Computing</w:t>
      </w:r>
      <w:r>
        <w:t xml:space="preserve"> </w:t>
      </w:r>
      <w:r>
        <w:t xml:space="preserve">V</w:t>
      </w:r>
      <w:r>
        <w:t xml:space="preserve">oronoi Treemaps: Faster, Simpler, and Resolution-Independent.”</w:t>
      </w:r>
      <w:r>
        <w:t xml:space="preserve"> </w:t>
      </w:r>
      <w:r>
        <w:rPr>
          <w:iCs/>
          <w:i/>
        </w:rPr>
        <w:t xml:space="preserve">Computer Graphics Forum</w:t>
      </w:r>
      <w:r>
        <w:t xml:space="preserve"> </w:t>
      </w:r>
      <w:r>
        <w:t xml:space="preserve">31 (3): 855–64.</w:t>
      </w:r>
      <w:r>
        <w:t xml:space="preserve"> </w:t>
      </w:r>
      <w:hyperlink r:id="rId66">
        <w:r>
          <w:rPr>
            <w:rStyle w:val="Hyperlink"/>
          </w:rPr>
          <w:t xml:space="preserve">https://doi.org/10.1111/j.1467-8659.2012.03078.x</w:t>
        </w:r>
      </w:hyperlink>
      <w:r>
        <w:t xml:space="preserve">.</w:t>
      </w:r>
    </w:p>
    <w:bookmarkEnd w:id="67"/>
    <w:bookmarkStart w:id="69" w:name="ref-wickham2016"/>
    <w:p>
      <w:pPr>
        <w:pStyle w:val="Bibliography"/>
      </w:pPr>
      <w:r>
        <w:t xml:space="preserve">Wickham, Hadley. 2016.</w:t>
      </w:r>
      <w:r>
        <w:t xml:space="preserve"> </w:t>
      </w:r>
      <w:r>
        <w:rPr>
          <w:iCs/>
          <w:i/>
        </w:rPr>
        <w:t xml:space="preserve">Ggplot2: Elegant Graphics for Data Analysis</w:t>
      </w:r>
      <w:r>
        <w:t xml:space="preserve">. Springer-Verlag New York.</w:t>
      </w:r>
      <w:r>
        <w:t xml:space="preserve"> </w:t>
      </w:r>
      <w:hyperlink r:id="rId68">
        <w:r>
          <w:rPr>
            <w:rStyle w:val="Hyperlink"/>
          </w:rPr>
          <w:t xml:space="preserve">https://ggplot2.tidyverse.org</w:t>
        </w:r>
      </w:hyperlink>
      <w:r>
        <w:t xml:space="preserve">.</w:t>
      </w:r>
    </w:p>
    <w:bookmarkEnd w:id="69"/>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62" Target="https://CRAN.R-project.org/package=WeightedTreemaps" TargetMode="External" /><Relationship Type="http://schemas.openxmlformats.org/officeDocument/2006/relationships/hyperlink" Id="rId60" Target="https://CRAN.R-project.org/package=bench" TargetMode="External" /><Relationship Type="http://schemas.openxmlformats.org/officeDocument/2006/relationships/hyperlink" Id="rId64" Target="https://CRAN.R-project.org/package=voronoiTreemap" TargetMode="External" /><Relationship Type="http://schemas.openxmlformats.org/officeDocument/2006/relationships/hyperlink" Id="rId58" Target="https://data.worldbank.org/indicator/ER.H2O.INTR.K3" TargetMode="External" /><Relationship Type="http://schemas.openxmlformats.org/officeDocument/2006/relationships/hyperlink" Id="rId56" Target="https://doi.org/10.1002/imt2.70018" TargetMode="External" /><Relationship Type="http://schemas.openxmlformats.org/officeDocument/2006/relationships/hyperlink" Id="rId54" Target="https://doi.org/10.1109/INFVIS.2005.1532128" TargetMode="External" /><Relationship Type="http://schemas.openxmlformats.org/officeDocument/2006/relationships/hyperlink" Id="rId66" Target="https://doi.org/10.1111/j.1467-8659.2012.03078.x" TargetMode="External" /><Relationship Type="http://schemas.openxmlformats.org/officeDocument/2006/relationships/hyperlink" Id="rId52" Target="https://doi.org/10.1137/0216006" TargetMode="External" /><Relationship Type="http://schemas.openxmlformats.org/officeDocument/2006/relationships/hyperlink" Id="rId68" Target="https://ggplot2.tidyverse.org" TargetMode="External" /><Relationship Type="http://schemas.openxmlformats.org/officeDocument/2006/relationships/hyperlink" Id="rId50" Target="https://stackoverflow.com/questions/71799205/make-a-circular-voronoi-diagram-in-r" TargetMode="External" /></Relationships>
</file>

<file path=word/_rels/footnotes.xml.rels><?xml version="1.0" encoding="UTF-8"?><Relationships xmlns="http://schemas.openxmlformats.org/package/2006/relationships"><Relationship Type="http://schemas.openxmlformats.org/officeDocument/2006/relationships/hyperlink" Id="rId62" Target="https://CRAN.R-project.org/package=WeightedTreemaps" TargetMode="External" /><Relationship Type="http://schemas.openxmlformats.org/officeDocument/2006/relationships/hyperlink" Id="rId60" Target="https://CRAN.R-project.org/package=bench" TargetMode="External" /><Relationship Type="http://schemas.openxmlformats.org/officeDocument/2006/relationships/hyperlink" Id="rId64" Target="https://CRAN.R-project.org/package=voronoiTreemap" TargetMode="External" /><Relationship Type="http://schemas.openxmlformats.org/officeDocument/2006/relationships/hyperlink" Id="rId58" Target="https://data.worldbank.org/indicator/ER.H2O.INTR.K3" TargetMode="External" /><Relationship Type="http://schemas.openxmlformats.org/officeDocument/2006/relationships/hyperlink" Id="rId56" Target="https://doi.org/10.1002/imt2.70018" TargetMode="External" /><Relationship Type="http://schemas.openxmlformats.org/officeDocument/2006/relationships/hyperlink" Id="rId54" Target="https://doi.org/10.1109/INFVIS.2005.1532128" TargetMode="External" /><Relationship Type="http://schemas.openxmlformats.org/officeDocument/2006/relationships/hyperlink" Id="rId66" Target="https://doi.org/10.1111/j.1467-8659.2012.03078.x" TargetMode="External" /><Relationship Type="http://schemas.openxmlformats.org/officeDocument/2006/relationships/hyperlink" Id="rId52" Target="https://doi.org/10.1137/0216006" TargetMode="External" /><Relationship Type="http://schemas.openxmlformats.org/officeDocument/2006/relationships/hyperlink" Id="rId68" Target="https://ggplot2.tidyverse.org" TargetMode="External" /><Relationship Type="http://schemas.openxmlformats.org/officeDocument/2006/relationships/hyperlink" Id="rId50" Target="https://stackoverflow.com/questions/71799205/make-a-circular-voronoi-diagram-i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ggvmap: Voronoi map treemaps for ggplot2 in pure R</dc:title>
  <dc:creator>Loukas Theodosiou</dc:creator>
  <cp:keywords>data visualization, treemap, Voronoi diagram, power diagram, R, ggplot2</cp:keywords>
  <dcterms:created xsi:type="dcterms:W3CDTF">2026-08-24T21:03:24Z</dcterms:created>
  <dcterms:modified xsi:type="dcterms:W3CDTF">2026-08-24T21:03:24Z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Treemaps communicate part-of-whole relationships by mapping quantities to areas. Voronoi treemaps generalise the familiar rectangular layout to arbitrary convex boundaries and organic, polygon-shaped cells, but the existing R implementations delegate the layout either to a JavaScript/D3 runtime or to compiled CGAL code, which complicates installation, reproducibility, and integration with the ggplot2 ecosystem. Here I present ggvmap, an R package that computes Voronoi map treemaps in pure R – its only hard dependency is ggplot2 – and renders them as ordinary ggplot2 objects. ggvmap supports hierarchical (grouped) layouts, a grammar of pipe-able annotation layers (rings, flags, images, value labels), automatic small-cell label handling, and interactive hover maps. The tessellations it produces are exact power diagrams whose defining geometric properties are enforced by property-based tests. Benchmarks against voronoiTreemap (D3) and WeightedTreemaps (CGAL) show that ggvmap has the simplest installation and the shortest code for the same plot, is the fastest of the measurable implementations below about fifty cells, and trades runtime – governed by an explicit, user-visible iteration budget – at larger sizes.</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