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44"/>
          <w:szCs w:val="44"/>
        </w:rPr>
        <w:t xml:space="preserve">融而不溶：文旅体商融合下文艺创作的范式之变与价值之守</w:t>
      </w:r>
    </w:p>
    <w:p>
      <w:pPr>
        <w:spacing w:after="24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32"/>
          <w:szCs w:val="32"/>
        </w:rPr>
        <w:t xml:space="preserve">——以粤港澳大湾区为观察场域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2025年11月9日夜，广东奥林匹克体育中心，第十五届全国运动会开幕式以“同根同源、同心同缘、同梦同圆”三个篇章渐次展开，岭南文化与前沿科技交相辉映。这是全运会首次由粤港澳三地联合承办——同一个夜晚、同一个场域，体育盛事、文艺现场、旅游引擎、消费场景四重身份彼此重叠，构成当下中国文艺生态最具症候性的画面。当文化与旅游、体育、商业的深度融合成为常态，文艺创作面对的就不只是渠道之变、变现之变。本文的判断是：融合正在重构创作本体——创作单元从“作品”转向“场景”，创作方式从“独创”转向“共创”；而新范式能否成立，取决于文艺能否在融合中守住审美主体性与价值引领。一言以蔽之：融而不溶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一、从“作品”到“场景”：创作单元之变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传统意义上，首演或出版即意味着创作的完成；而在融合语境中，作品完成之日，不再是创作终结之时。深圳出品的舞剧《咏春》是这一转变的典型样本。它以咏春拳、香云纱两项国家级非遗为语汇，首演后并未止步于剧场，而是生长为一条不断延展的场景链：数年间足迹遍及全球五十余座城市，2025年岁末又在多伦多连演二十场</w:t>
      </w:r>
      <w:r>
        <w:rPr>
          <w:rStyle w:val="FootnoteReference"/>
        </w:rPr>
        <w:footnoteReference w:id="1"/>
      </w:r>
      <w:r>
        <w:rPr>
          <w:rFonts w:ascii="仿宋_GB2312" w:cs="仿宋_GB2312" w:eastAsia="仿宋_GB2312" w:hAnsi="仿宋_GB2312"/>
          <w:sz w:val="32"/>
          <w:szCs w:val="32"/>
        </w:rPr>
        <w:t xml:space="preserve">；所到之处，剧目与城市联动，武术研学、非遗展示、文创消费围绕演出次第展开。作品在此升格为场景的入口与灵魂——观众不只是“看一出戏”，而是“进入一种岭南生活”。深圳借此把一部舞剧运营成城市文化名片，顺德香云纱、岭南武术随剧而兴，作品成为组织城市文旅消费的中枢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这不是个案，而是消费逻辑变迁的必然。2026年上半年的文化消费观察显示，大众的决策逻辑正从“去哪里”转向“去干什么”</w:t>
      </w:r>
      <w:r>
        <w:rPr>
          <w:rStyle w:val="FootnoteReference"/>
        </w:rPr>
        <w:footnoteReference w:id="2"/>
      </w:r>
      <w:r>
        <w:rPr>
          <w:rFonts w:ascii="仿宋_GB2312" w:cs="仿宋_GB2312" w:eastAsia="仿宋_GB2312" w:hAnsi="仿宋_GB2312"/>
          <w:sz w:val="32"/>
          <w:szCs w:val="32"/>
        </w:rPr>
        <w:t xml:space="preserve">：空间让位于内容，观光让位于体验。放眼全国，《哪吒之魔童闹海》以超140亿元的全球票房刷新国产动画纪录，上映不足一月周边成交即突破3亿元</w:t>
      </w:r>
      <w:r>
        <w:rPr>
          <w:rStyle w:val="FootnoteReference"/>
        </w:rPr>
        <w:footnoteReference w:id="3"/>
      </w:r>
      <w:r>
        <w:rPr>
          <w:rFonts w:ascii="仿宋_GB2312" w:cs="仿宋_GB2312" w:eastAsia="仿宋_GB2312" w:hAnsi="仿宋_GB2312"/>
          <w:sz w:val="32"/>
          <w:szCs w:val="32"/>
        </w:rPr>
        <w:t xml:space="preserve">，一部动画由此延展为可购买、可收藏、可分享的日常场景；“跟着演出去旅行”“跟着赛事去旅行”也从营销口号沉淀为创作的前置条件。本雅明曾忧虑机械复制时代艺术“灵晕”的消逝</w:t>
      </w:r>
      <w:r>
        <w:rPr>
          <w:rStyle w:val="FootnoteReference"/>
        </w:rPr>
        <w:footnoteReference w:id="4"/>
      </w:r>
      <w:r>
        <w:rPr>
          <w:rFonts w:ascii="仿宋_GB2312" w:cs="仿宋_GB2312" w:eastAsia="仿宋_GB2312" w:hAnsi="仿宋_GB2312"/>
          <w:sz w:val="32"/>
          <w:szCs w:val="32"/>
        </w:rPr>
        <w:t xml:space="preserve">，而场景化创作以不可复制的身体在场，恰为“灵晕”的当代重建提供了可能；派恩与吉尔摩所预言的“体验经济”</w:t>
      </w:r>
      <w:r>
        <w:rPr>
          <w:rStyle w:val="FootnoteReference"/>
        </w:rPr>
        <w:footnoteReference w:id="5"/>
      </w:r>
      <w:r>
        <w:rPr>
          <w:rFonts w:ascii="仿宋_GB2312" w:cs="仿宋_GB2312" w:eastAsia="仿宋_GB2312" w:hAnsi="仿宋_GB2312"/>
          <w:sz w:val="32"/>
          <w:szCs w:val="32"/>
        </w:rPr>
        <w:t xml:space="preserve">、场景理论所揭示的空间品质对社会生活的塑造力</w:t>
      </w:r>
      <w:r>
        <w:rPr>
          <w:rStyle w:val="FootnoteReference"/>
        </w:rPr>
        <w:footnoteReference w:id="6"/>
      </w:r>
      <w:r>
        <w:rPr>
          <w:rFonts w:ascii="仿宋_GB2312" w:cs="仿宋_GB2312" w:eastAsia="仿宋_GB2312" w:hAnsi="仿宋_GB2312"/>
          <w:sz w:val="32"/>
          <w:szCs w:val="32"/>
        </w:rPr>
        <w:t xml:space="preserve">，都在中国的融合实践中获得了创作论层面的回应。应当辨明的是，场景不是布景：布景只供观看，场景则组织行动——它规定着观众如何进入、停留、参与和分享。对创作者而言，在地性、可进入性、可分享性，正在成为与主题、结构、语言同等重要的构思变量。为场景而作不是降格，而是文艺重新嵌入生活世界的方式，是“以文塑旅、以旅彰文”</w:t>
      </w:r>
      <w:r>
        <w:rPr>
          <w:rStyle w:val="FootnoteReference"/>
        </w:rPr>
        <w:footnoteReference w:id="7"/>
      </w:r>
      <w:r>
        <w:rPr>
          <w:rFonts w:ascii="仿宋_GB2312" w:cs="仿宋_GB2312" w:eastAsia="仿宋_GB2312" w:hAnsi="仿宋_GB2312"/>
          <w:sz w:val="32"/>
          <w:szCs w:val="32"/>
        </w:rPr>
        <w:t xml:space="preserve">在创作端的落实。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二、从“独创”到“共创”：创作主体之变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场景化创作必然带来主体的扩容。岭南民俗英歌的当代旅程提供了一条完整的证据链：祠堂前的年例英歌，经短视频用户的二次创作以“中华战舞”之名出圈；2024年11月，广州歌舞剧院创排的舞剧《英歌》首演，主创团队将普宁英歌、甲子英歌的国家级非遗代表性传承人请进剧组，对演员进行系统集训</w:t>
      </w:r>
      <w:r>
        <w:rPr>
          <w:rStyle w:val="FootnoteReference"/>
        </w:rPr>
        <w:footnoteReference w:id="8"/>
      </w:r>
      <w:r>
        <w:rPr>
          <w:rFonts w:ascii="仿宋_GB2312" w:cs="仿宋_GB2312" w:eastAsia="仿宋_GB2312" w:hAnsi="仿宋_GB2312"/>
          <w:sz w:val="32"/>
          <w:szCs w:val="32"/>
        </w:rPr>
        <w:t xml:space="preserve">，次年开启数十场全国巡演；剧场的成功又反哺节庆与街区，英歌成为春节文旅的顶流。广场、屏幕、剧场、街区，四个工位之间不是单向的“改编”关系，而是一张共创网络：传承人的身体记忆、编导的剧场语法、用户的传播智慧、城市的运营能力，共同完成了这一创作。在这里，“采风—创作—演出”的线性流程，已被“共生—共创—共享”的网状流程所取代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这张网络仍在扩大。2026年“苏超”赛季揭幕即带动数十亿元跨城文旅消费，商圈里数百个“第二现场”人声鼎沸</w:t>
      </w:r>
      <w:r>
        <w:rPr>
          <w:rStyle w:val="FootnoteReference"/>
        </w:rPr>
        <w:footnoteReference w:id="9"/>
      </w:r>
      <w:r>
        <w:rPr>
          <w:rFonts w:ascii="仿宋_GB2312" w:cs="仿宋_GB2312" w:eastAsia="仿宋_GB2312" w:hAnsi="仿宋_GB2312"/>
          <w:sz w:val="32"/>
          <w:szCs w:val="32"/>
        </w:rPr>
        <w:t xml:space="preserve">，围绕赛事生长的城市文案与球迷段子，本身就是一场全民参与的创作——这一图景，恰与学界正在讨论的“新大众文艺”相互印证</w:t>
      </w:r>
      <w:r>
        <w:rPr>
          <w:rStyle w:val="FootnoteReference"/>
        </w:rPr>
        <w:footnoteReference w:id="10"/>
      </w:r>
      <w:r>
        <w:rPr>
          <w:rFonts w:ascii="仿宋_GB2312" w:cs="仿宋_GB2312" w:eastAsia="仿宋_GB2312" w:hAnsi="仿宋_GB2312"/>
          <w:sz w:val="32"/>
          <w:szCs w:val="32"/>
        </w:rPr>
        <w:t xml:space="preserve">。在演出现场，万人合唱与荧光星海也早已是作品的组成部分，观众正从接受者变为文本的共同作者。与此同时，新质生产力为共创网络接入了“机器合作者”</w:t>
      </w:r>
      <w:r>
        <w:rPr>
          <w:rStyle w:val="FootnoteReference"/>
        </w:rPr>
        <w:footnoteReference w:id="11"/>
      </w:r>
      <w:r>
        <w:rPr>
          <w:rFonts w:ascii="仿宋_GB2312" w:cs="仿宋_GB2312" w:eastAsia="仿宋_GB2312" w:hAnsi="仿宋_GB2312"/>
          <w:sz w:val="32"/>
          <w:szCs w:val="32"/>
        </w:rPr>
        <w:t xml:space="preserve">：人工智能生成、扩展现实与机器人表演，正在进入舞台生产与文旅传播的流程。技术在此不只是工具，更是重构生产关系的力量——虚拟制作压缩了从构思到呈现的距离，数据洞察则让创作在与受众的实时对话中迭代。当创作主体从个体扩展为“人—人”乃至“人—机”网络，艺术生产正在生产关系的层面发生马克思意义上的当代更新。但必须警惕：共创不等于无主体的众包，当流量数据开始反向规定创作，趋同与平庸也就开始了。这把我们引向更关键的问题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三、融而不溶：新范式的价值锚点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范式之“新”若无价值之“守”，融合就会滑向溶解。近年的教训并不少见：各地竞逐“古镇+演艺”的现成模板，场景空转、文气尽失，“千镇一面”之讥随之而来；爆款一出，资源哄抢多于创作深耕。融合的风险，不在文艺与其他业态靠得太近，而在文艺把自己交了出去——沦为引流的道具、氛围的布景与算法的注脚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因此，新范式需要三个价值锚点。其一，人民性。场景的尽头是人而不是流量：英歌之所以动人，先在于它承载着一方水土的精神气质与集体记忆，然后才谈得上转化。十五运会开幕式上数千名群众演员与专业院团同台，同样提示着这一逻辑：融合时代最深厚的创作资源，是人民的生活与情感本身。其二，审美主体性。《咏春》的世界巡演证明，走得最远的恰恰是“文”最强的作品——它赢在武学精神与岭南气韵，而非营销技巧；舞剧《英歌》请传承人进团，是对民间身体知识的敬畏而非收割。当转化率开始给美学打分，创作就到了最需要定力的时刻。其三，价值引领。习近平文化思想以“明体达用、体用贯通”为鲜明品格</w:t>
      </w:r>
      <w:r>
        <w:rPr>
          <w:rStyle w:val="FootnoteReference"/>
        </w:rPr>
        <w:footnoteReference w:id="12"/>
      </w:r>
      <w:r>
        <w:rPr>
          <w:rFonts w:ascii="仿宋_GB2312" w:cs="仿宋_GB2312" w:eastAsia="仿宋_GB2312" w:hAnsi="仿宋_GB2312"/>
          <w:sz w:val="32"/>
          <w:szCs w:val="32"/>
        </w:rPr>
        <w:t xml:space="preserve">，提示融合之“用”必须以文化主体性之“体”为根基；“文化很发达的地方，经济照样走在前面”</w:t>
      </w:r>
      <w:r>
        <w:rPr>
          <w:rStyle w:val="FootnoteReference"/>
        </w:rPr>
        <w:footnoteReference w:id="13"/>
      </w:r>
      <w:r>
        <w:rPr>
          <w:rFonts w:ascii="仿宋_GB2312" w:cs="仿宋_GB2312" w:eastAsia="仿宋_GB2312" w:hAnsi="仿宋_GB2312"/>
          <w:sz w:val="32"/>
          <w:szCs w:val="32"/>
        </w:rPr>
        <w:t xml:space="preserve">，“人文经济学”的提出正是对文化与经济交融互动的学理概括——文化不是经济的装饰，而是发展的内生变量。对文艺而言，这意味着评价尺度的校正：场景的成功要以文化的成色来度量，产业的规模要以精品的产出来检验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粤港澳大湾区正是检验这三个锚点的最佳场域。一个国家、两种制度、三个关税区，文艺是其中最柔软也最深层的连接介质：从十五运会开幕式的“同根同源”，到2025年3月启用的香港启德体育园以赛事与演唱会重写体旅融合的城市叙事，再到澳门依托“演艺之都”推动经济适度多元，直至《咏春》《英歌》从湾区走向世界——三地规则不同、市场不同，却在同一场演出、同一场赛事中共享着同一种文化心跳。人文湾区的实践表明，文旅体商融合完全可以成为增强中华民族凝聚力、扩大中华文化影响力的创作机遇，而非消解文艺的陷阱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结语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文旅体商融合不是文艺的降维，而是文艺重新回到生活现场的历史契机。创作单元从作品到场景、创作方式从独创到共创，是范式之“变”；人民性、审美主体性、价值引领，是范式之“守”。变者，回应新质生产力时代的生产逻辑；守者，确保融合不至于溶解。融合的深处，不是边界的消失，而是主体性的相互成就。对于正在共建人文湾区的粤港澳，对于迈向文化强国的中国文艺，这既是新范式，也是新担当——融而不溶，方能行稳致远；以文化人，方见湾区气象。</w:t>
      </w:r>
    </w:p>
    <w:sectPr>
      <w:footnotePr>
        <w:numFmt w:val="decimalEnclosedCircle"/>
        <w:numRestart w:val="eachPage"/>
      </w:footnote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参见《舞剧〈咏春〉将于2026年1月震撼上演》，杭州网。</w:t>
      </w:r>
    </w:p>
  </w:footnote>
  <w:footnote w:id="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参见《2026上半年文化消费观察：从“去哪里”到“去干什么”》，中国新闻网2026年6月30日。</w:t>
      </w:r>
    </w:p>
  </w:footnote>
  <w:footnote w:id="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参见《“2025谷子经济·智享未来报告”：〈哪吒2〉周边催生千万级店铺》，《每日经济新闻》2025年3月12日。</w:t>
      </w:r>
    </w:p>
  </w:footnote>
  <w:footnote w:id="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〔德〕瓦尔特·本雅明：《机械复制时代的艺术作品》，载〔美〕汉娜·阿伦特编：《启迪：本雅明文选》，张旭东、王斑译，生活·读书·新知三联书店2008年版。</w:t>
      </w:r>
    </w:p>
  </w:footnote>
  <w:footnote w:id="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〔美〕B.约瑟夫·派恩、詹姆斯·H.吉尔摩：《体验经济》，毕崇毅译，机械工业出版社2016年版。</w:t>
      </w:r>
    </w:p>
  </w:footnote>
  <w:footnote w:id="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〔加〕丹尼尔·亚伦·西尔、〔美〕特里·尼科尔斯·克拉克：《场景：空间品质如何塑造社会生活》，祁述裕等译，社会科学文献出版社2019年版。</w:t>
      </w:r>
    </w:p>
  </w:footnote>
  <w:footnote w:id="7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习近平：《高举中国特色社会主义伟大旗帜 为全面建设社会主义现代化国家而团结奋斗——在中国共产党第二十次全国代表大会上的报告》，人民出版社2022年版。</w:t>
      </w:r>
    </w:p>
  </w:footnote>
  <w:footnote w:id="8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参见《粤产舞剧上新！舞剧〈英歌〉首演飒气凛然》，南方都市报App，2024年11月12日；《太“烫”啦！舞剧〈英歌〉开启全国巡演》，新浪网，2025年2月11日。</w:t>
      </w:r>
    </w:p>
  </w:footnote>
  <w:footnote w:id="9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参见《激发赛事经济新活力 打造文商体旅融合新标杆》，《群众》2026年第12期；《长三角议事厅·周报｜苏超2.0如何把周末流量踢成跨城留量》，澎湃新闻，2026年。</w:t>
      </w:r>
    </w:p>
  </w:footnote>
  <w:footnote w:id="10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“新大众文艺”由《延河》杂志于2024年倡扬；近期讨论参见《中国文艺评论》2026年第5期“新大众文艺的时代场景与知识建构”专题，其中李娅玮《为一出戏，奔赴一座城：新大众文艺的“事件性场景”何以生成？》所论“事件性场景”与本文可相互印证。</w:t>
      </w:r>
    </w:p>
  </w:footnote>
  <w:footnote w:id="1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参见习近平：《发展新质生产力是推动高质量发展的内在要求和重要着力点》，《求是》2024年第11期。</w:t>
      </w:r>
    </w:p>
  </w:footnote>
  <w:footnote w:id="1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参见《习近平对宣传思想文化工作作出重要指示》，《人民日报》2023年10月9日。</w:t>
      </w:r>
    </w:p>
  </w:footnote>
  <w:footnote w:id="1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习近平2023年3月5日参加十四届全国人大一次会议江苏代表团审议时的讲话；转引自《“文化很发达的地方，经济照样走在前面”》，中共江苏省委新闻网，2025年10月18日。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2026-07-23T08:34:24.781Z</dcterms:created>
  <dcterms:modified xsi:type="dcterms:W3CDTF">2026-07-23T08:34:24.782Z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