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  <w:jc w:val="center"/>
      </w:pPr>
      <w:r>
        <w:rPr>
          <w:rFonts w:ascii="方正小标宋简体" w:cs="方正小标宋简体" w:eastAsia="方正小标宋简体" w:hAnsi="方正小标宋简体"/>
          <w:sz w:val="44"/>
          <w:szCs w:val="44"/>
        </w:rPr>
        <w:t xml:space="preserve">融而不溶：文旅体商融合下文艺创作的范式之变与价值之守</w:t>
      </w:r>
    </w:p>
    <w:p>
      <w:pPr>
        <w:spacing w:after="240" w:line="240" w:lineRule="auto"/>
        <w:jc w:val="center"/>
      </w:pPr>
      <w:r>
        <w:rPr>
          <w:rFonts w:ascii="方正小标宋简体" w:cs="方正小标宋简体" w:eastAsia="方正小标宋简体" w:hAnsi="方正小标宋简体"/>
          <w:sz w:val="32"/>
          <w:szCs w:val="32"/>
        </w:rPr>
        <w:t xml:space="preserve">——以粤港澳大湾区为观察场域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2025年11月9日夜，广东奥林匹克体育中心，第十五届全国运动会开幕式的文体展演以“同根同源、同心同缘、同梦同圆”三个篇章渐次展开，岭南文化与前沿科技交相辉映。这是全运会首次由粤港澳三地联合承办。同一个夜晚、同一个场域，体育盛事、文艺现场、旅游引擎、消费场景四重身份彼此重叠，堪称当下中国文艺生态最具标志性的画面。当文化与旅游、体育、商业的深度融合成为常态，文艺面对的就不只是渠道之变、变现之变。融合正在重构它的基本单元与主体结构：视野从“完成的作品”扩展为“生长的场景”，方式从“独创”走向“共创”；而新范式能否成立，取决于文艺能否在融合中守住美学的裁决权与价值的引领力。一言以蔽之：融而不溶。</w:t>
      </w:r>
    </w:p>
    <w:p>
      <w:pPr>
        <w:spacing w:after="60" w:before="120" w:line="240" w:lineRule="auto"/>
        <w:ind w:firstLine="640"/>
      </w:pPr>
      <w:r>
        <w:rPr>
          <w:rFonts w:ascii="黑体" w:cs="黑体" w:eastAsia="黑体" w:hAnsi="黑体"/>
          <w:sz w:val="32"/>
          <w:szCs w:val="32"/>
        </w:rPr>
        <w:t xml:space="preserve">一、从“作品”到“场景”：创作单元之变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传统上，首演或出版即宣告一部作品的完成。而在融合语境中，作品面世之日不再是它的终点。这一转变以现场演艺为先导，文学、影视经IP转化间接卷入。深圳舞剧《咏春》是典型样本。它以咏春拳、香云纱两项国家级非遗为语汇，首演后并未止步于剧场，而是生长为一条不断延展的场景链：百场在深圳、二百场在伦敦、三百场于2026年初落在多伦多，足迹遍及全球五十余城</w:t>
      </w:r>
      <w:r>
        <w:rPr>
          <w:rStyle w:val="FootnoteReference"/>
        </w:rPr>
        <w:footnoteReference w:id="1"/>
      </w:r>
      <w:r>
        <w:rPr>
          <w:rFonts w:ascii="仿宋_GB2312" w:cs="仿宋_GB2312" w:eastAsia="仿宋_GB2312" w:hAnsi="仿宋_GB2312"/>
          <w:sz w:val="32"/>
          <w:szCs w:val="32"/>
        </w:rPr>
        <w:t xml:space="preserve">。所到之处，武术研学、非遗展示、文创消费围绕演出次第展开。作品在此升格为场景的入口与灵魂——观众不只是“看一出戏”，而是“进入一种岭南生活”。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这不是个案。2026年上半年的文化消费观察显示，大众的决策逻辑正从“去哪里”转向“去干什么”</w:t>
      </w:r>
      <w:r>
        <w:rPr>
          <w:rStyle w:val="FootnoteReference"/>
        </w:rPr>
        <w:footnoteReference w:id="2"/>
      </w:r>
      <w:r>
        <w:rPr>
          <w:rFonts w:ascii="仿宋_GB2312" w:cs="仿宋_GB2312" w:eastAsia="仿宋_GB2312" w:hAnsi="仿宋_GB2312"/>
          <w:sz w:val="32"/>
          <w:szCs w:val="32"/>
        </w:rPr>
        <w:t xml:space="preserve">：空间让位于内容，观光让位于体验。放眼全国，《哪吒之魔童闹海》登顶全球动画电影票房榜，周边成交不足一月即破3亿元</w:t>
      </w:r>
      <w:r>
        <w:rPr>
          <w:rStyle w:val="FootnoteReference"/>
        </w:rPr>
        <w:footnoteReference w:id="3"/>
      </w:r>
      <w:r>
        <w:rPr>
          <w:rFonts w:ascii="仿宋_GB2312" w:cs="仿宋_GB2312" w:eastAsia="仿宋_GB2312" w:hAnsi="仿宋_GB2312"/>
          <w:sz w:val="32"/>
          <w:szCs w:val="32"/>
        </w:rPr>
        <w:t xml:space="preserve">，一部动画蔓延为可购、可藏、可分享的衍生消费；“跟着演出去旅行”“跟着赛事去旅行”也从营销口号变成创作的前置条件。本雅明曾诊断机械复制时代艺术“灵晕”（aura）的衰竭，也在其中看到展示价值兴起的契机</w:t>
      </w:r>
      <w:r>
        <w:rPr>
          <w:rStyle w:val="FootnoteReference"/>
        </w:rPr>
        <w:footnoteReference w:id="4"/>
      </w:r>
      <w:r>
        <w:rPr>
          <w:rFonts w:ascii="仿宋_GB2312" w:cs="仿宋_GB2312" w:eastAsia="仿宋_GB2312" w:hAnsi="仿宋_GB2312"/>
          <w:sz w:val="32"/>
          <w:szCs w:val="32"/>
        </w:rPr>
        <w:t xml:space="preserve">。耐人寻味的是，复制技术极盛的今天，亿万次转发反而催生了对身体在场的渴求，场景化由此重新生产出“此时此地”的稀缺性。这不是灵晕的回归，而是它的当代变体。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但场景不是布景：布景只供观看，场景则组织行动——它规定着观众如何进入、停留、参与和分享。它也有两副面孔：以身体在场为核心的事件型场景，与以衍生消费为载体的日常型场景；两者可各自生成、亦可互相转化，本文所论创作之变，重心在前者。派恩与吉尔摩在产业逻辑层面预言的“体验经济”</w:t>
      </w:r>
      <w:r>
        <w:rPr>
          <w:rStyle w:val="FootnoteReference"/>
        </w:rPr>
        <w:footnoteReference w:id="5"/>
      </w:r>
      <w:r>
        <w:rPr>
          <w:rFonts w:ascii="仿宋_GB2312" w:cs="仿宋_GB2312" w:eastAsia="仿宋_GB2312" w:hAnsi="仿宋_GB2312"/>
          <w:sz w:val="32"/>
          <w:szCs w:val="32"/>
        </w:rPr>
        <w:t xml:space="preserve">，场景理论以城市舒适物为单位揭示的“空间品质塑造社会生活”</w:t>
      </w:r>
      <w:r>
        <w:rPr>
          <w:rStyle w:val="FootnoteReference"/>
        </w:rPr>
        <w:footnoteReference w:id="6"/>
      </w:r>
      <w:r>
        <w:rPr>
          <w:rFonts w:ascii="仿宋_GB2312" w:cs="仿宋_GB2312" w:eastAsia="仿宋_GB2312" w:hAnsi="仿宋_GB2312"/>
          <w:sz w:val="32"/>
          <w:szCs w:val="32"/>
        </w:rPr>
        <w:t xml:space="preserve">，都在中国的融合实践中被推进到创作论层面：在地性、可进入性、可分享性，正在进入构思的前置考量。为场景而作不是降格，而是文艺重新嵌入生活世界的方式，是“以文塑旅、以旅彰文”</w:t>
      </w:r>
      <w:r>
        <w:rPr>
          <w:rStyle w:val="FootnoteReference"/>
        </w:rPr>
        <w:footnoteReference w:id="7"/>
      </w:r>
      <w:r>
        <w:rPr>
          <w:rFonts w:ascii="仿宋_GB2312" w:cs="仿宋_GB2312" w:eastAsia="仿宋_GB2312" w:hAnsi="仿宋_GB2312"/>
          <w:sz w:val="32"/>
          <w:szCs w:val="32"/>
        </w:rPr>
        <w:t xml:space="preserve">在创作端的落实。</w:t>
      </w:r>
    </w:p>
    <w:p>
      <w:pPr>
        <w:spacing w:after="60" w:before="120" w:line="240" w:lineRule="auto"/>
        <w:ind w:firstLine="640"/>
      </w:pPr>
      <w:r>
        <w:rPr>
          <w:rFonts w:ascii="黑体" w:cs="黑体" w:eastAsia="黑体" w:hAnsi="黑体"/>
          <w:sz w:val="32"/>
          <w:szCs w:val="32"/>
        </w:rPr>
        <w:t xml:space="preserve">二、从“独创”到“共创”：创作主体之变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场景化必然带来主体的扩容。这里的“独创”，指近代以来以个体作者为中心的创作制度，它曾把民间文艺固有的集体性挤到边缘；今天的新变不在共创之有无，而在网络首次横跨专业与业余、线上与线下、人与机器。岭南民俗英歌的当代旅程提供了完整的证据链：祠堂前、游神队列里的英歌，经短视频二次创作（脸谱、槌声、阵型天然适配竖屏）以“中华战舞”之名走红。2024年11月，广州歌舞剧院创排的舞剧《英歌》首演，主创把普宁、甲子英歌的国家级传承人请进剧组系统集训</w:t>
      </w:r>
      <w:r>
        <w:rPr>
          <w:rStyle w:val="FootnoteReference"/>
        </w:rPr>
        <w:footnoteReference w:id="8"/>
      </w:r>
      <w:r>
        <w:rPr>
          <w:rFonts w:ascii="仿宋_GB2312" w:cs="仿宋_GB2312" w:eastAsia="仿宋_GB2312" w:hAnsi="仿宋_GB2312"/>
          <w:sz w:val="32"/>
          <w:szCs w:val="32"/>
        </w:rPr>
        <w:t xml:space="preserve">，次年开启数十场全国巡演。剧场热度又与年节游神叠加，英歌成为春节文旅的顶流。广场、屏幕、剧场、街区，四个工位各有各的创造，却在相互成就中织成一张共创网络：传承人的身体记忆、编导的剧场语法、用户的传播智慧、城市的运营能力，在此互为条件。“采风—创作—演出”的线性流程并未消失，但一张“共生—共创—共享”的网状流程已经叠加其上。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这张网络仍在扩大。2026年“苏超”赛季揭幕即带动数十亿元跨城文旅消费，商圈里数百个“第二现场”人声鼎沸</w:t>
      </w:r>
      <w:r>
        <w:rPr>
          <w:rStyle w:val="FootnoteReference"/>
        </w:rPr>
        <w:footnoteReference w:id="9"/>
      </w:r>
      <w:r>
        <w:rPr>
          <w:rFonts w:ascii="仿宋_GB2312" w:cs="仿宋_GB2312" w:eastAsia="仿宋_GB2312" w:hAnsi="仿宋_GB2312"/>
          <w:sz w:val="32"/>
          <w:szCs w:val="32"/>
        </w:rPr>
        <w:t xml:space="preserve">。围绕赛事生长的城市文案与球迷段子，正是“新大众文艺”在赛场的变体</w:t>
      </w:r>
      <w:r>
        <w:rPr>
          <w:rStyle w:val="FootnoteReference"/>
        </w:rPr>
        <w:footnoteReference w:id="10"/>
      </w:r>
      <w:r>
        <w:rPr>
          <w:rFonts w:ascii="仿宋_GB2312" w:cs="仿宋_GB2312" w:eastAsia="仿宋_GB2312" w:hAnsi="仿宋_GB2312"/>
          <w:sz w:val="32"/>
          <w:szCs w:val="32"/>
        </w:rPr>
        <w:t xml:space="preserve">，普通人的表达正大规模涌入公共文艺生活。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新质生产力</w:t>
      </w:r>
      <w:r>
        <w:rPr>
          <w:rStyle w:val="FootnoteReference"/>
        </w:rPr>
        <w:footnoteReference w:id="11"/>
      </w:r>
      <w:r>
        <w:rPr>
          <w:rFonts w:ascii="仿宋_GB2312" w:cs="仿宋_GB2312" w:eastAsia="仿宋_GB2312" w:hAnsi="仿宋_GB2312"/>
          <w:sz w:val="32"/>
          <w:szCs w:val="32"/>
        </w:rPr>
        <w:t xml:space="preserve">还为共创网络接入了新的伙伴：十五运会开幕式上，人形机器人奏响青铜乐器；此前的火炬传递中，人形机器人“夸父”完成全球首例机器人火炬接力</w:t>
      </w:r>
      <w:r>
        <w:rPr>
          <w:rStyle w:val="FootnoteReference"/>
        </w:rPr>
        <w:footnoteReference w:id="12"/>
      </w:r>
      <w:r>
        <w:rPr>
          <w:rFonts w:ascii="仿宋_GB2312" w:cs="仿宋_GB2312" w:eastAsia="仿宋_GB2312" w:hAnsi="仿宋_GB2312"/>
          <w:sz w:val="32"/>
          <w:szCs w:val="32"/>
        </w:rPr>
        <w:t xml:space="preserve">。“机器合作者”已从概念走进湾区现场。技术在此不只是工具：当平台以数据与算法调配资源、当千万用户的二次创作被纳入价值链条，艺术生产的组织方式与利益结构都在改写，马克思“艺术生产”论所提示的生产力与生产关系的矛盾运动，正在文艺领域获得当代形态</w:t>
      </w:r>
      <w:r>
        <w:rPr>
          <w:rStyle w:val="FootnoteReference"/>
        </w:rPr>
        <w:footnoteReference w:id="13"/>
      </w:r>
      <w:r>
        <w:rPr>
          <w:rFonts w:ascii="仿宋_GB2312" w:cs="仿宋_GB2312" w:eastAsia="仿宋_GB2312" w:hAnsi="仿宋_GB2312"/>
          <w:sz w:val="32"/>
          <w:szCs w:val="32"/>
        </w:rPr>
        <w:t xml:space="preserve">。但必须警惕：共创不等于无主体的众包，当流量数据开始反向规定创作，趋同与平庸也就开始了。既有讨论多聚焦事件性场景“何以生成”，本文更关心的是：场景化之后，创作何以自持？</w:t>
      </w:r>
    </w:p>
    <w:p>
      <w:pPr>
        <w:spacing w:after="60" w:before="120" w:line="240" w:lineRule="auto"/>
        <w:ind w:firstLine="640"/>
      </w:pPr>
      <w:r>
        <w:rPr>
          <w:rFonts w:ascii="黑体" w:cs="黑体" w:eastAsia="黑体" w:hAnsi="黑体"/>
          <w:sz w:val="32"/>
          <w:szCs w:val="32"/>
        </w:rPr>
        <w:t xml:space="preserve">三、从“变”到“守”：新范式的价值锚点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范式之“新”若无价值之“守”，融合就会滑向溶解。教训并不遥远：各地竞逐“古镇＋演艺”的现成模板，场景空转、文气尽失，“千镇一面”之讥早已见诸报端</w:t>
      </w:r>
      <w:r>
        <w:rPr>
          <w:rStyle w:val="FootnoteReference"/>
        </w:rPr>
        <w:footnoteReference w:id="14"/>
      </w:r>
      <w:r>
        <w:rPr>
          <w:rFonts w:ascii="仿宋_GB2312" w:cs="仿宋_GB2312" w:eastAsia="仿宋_GB2312" w:hAnsi="仿宋_GB2312"/>
          <w:sz w:val="32"/>
          <w:szCs w:val="32"/>
        </w:rPr>
        <w:t xml:space="preserve">。没有谁公开主张“溶解”，但流量至上的立项逻辑、变现优先的运营方法论，正在许多会议室里替文艺做决定——这才是“融而不溶”要面对的真实对手。融合的风险，不在文艺与其他业态靠得太近，而在它把自己交了出去——沦为引流的道具、氛围的布景与算法的注脚。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先要回答一个疑问：主体既已网络化，“守”落在谁身上？答案须分层：单元与流程可以重构，是可变项；不能让渡的是美学裁决权：网络再大，总要有人为作品的成色负最后之责。而这一票正被流量悄悄接管，“守”因此不是坐享的结构，而是进行时的争夺，守的就是这一票背后的文化判断力。由此，三个锚点得以落地。其一，人民性。场景的尽头是人而不是流量，判准很朴素：撤去补贴与热搜之后，人们还自发地来不来、传不传。英歌动人，先在于承载一方水土的精神气质与集体记忆，转化才有源头活水。其二，审美主导权。数据可以丈量传播、辅助运营，却不能代行美学的裁决：立项时看一眼流量无妨，让流量替创作拍板则不可。《咏春》走过全球五十余城表明：运营决定作品能否走出去，审美成色决定它能走多远。其三，价值引领。习近平文化思想以“明体达用、体用贯通”为鲜明品格</w:t>
      </w:r>
      <w:r>
        <w:rPr>
          <w:rStyle w:val="FootnoteReference"/>
        </w:rPr>
        <w:footnoteReference w:id="15"/>
      </w:r>
      <w:r>
        <w:rPr>
          <w:rFonts w:ascii="仿宋_GB2312" w:cs="仿宋_GB2312" w:eastAsia="仿宋_GB2312" w:hAnsi="仿宋_GB2312"/>
          <w:sz w:val="32"/>
          <w:szCs w:val="32"/>
        </w:rPr>
        <w:t xml:space="preserve">，并强调在“两个结合”中巩固文化主体性。由此观照，融合之“用”必须以文化之“体”为根基，创作者手中那一票，正是文化主体性在创作现场的落点。“文化很发达的地方，经济照样走在前面”</w:t>
      </w:r>
      <w:r>
        <w:rPr>
          <w:rStyle w:val="FootnoteReference"/>
        </w:rPr>
        <w:footnoteReference w:id="16"/>
      </w:r>
      <w:r>
        <w:rPr>
          <w:rFonts w:ascii="仿宋_GB2312" w:cs="仿宋_GB2312" w:eastAsia="仿宋_GB2312" w:hAnsi="仿宋_GB2312"/>
          <w:sz w:val="32"/>
          <w:szCs w:val="32"/>
        </w:rPr>
        <w:t xml:space="preserve">，“人文经济学”命题的提出，为理解文化与经济的交融互动指明了学理方向，文化不再是经济的装饰，而是发展的内生变量。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粤港澳大湾区正是检验这三个锚点最严苛的场域。一个国家、两种制度，三个关税区、三种货币并存，规则与市场各有其运行逻辑；在规则衔接、机制对接持续推进的同时，能让三地观众在同一场演出、同一场赛事中共享同一记心跳的，文化有着不可替代的作用。制度差异越大，“融”对“文”的依赖越深。香港以启德体育园的赛事与演唱会重写体旅融合的城市叙事，澳门依托“演艺之都”推动经济适度多元发展，广州、深圳则让《英歌》舞遍全国、《咏春》走向世界。三地各以融合破解自己的结构性课题，文艺是它们共同的语言。十五运会开幕式那句“同根同源”，说的正是这种以文艺完成的心灵联通：这是文旅体商融合增强中华民族凝聚力、扩大中华文化影响力的当代路径。</w:t>
      </w:r>
    </w:p>
    <w:p>
      <w:pPr>
        <w:spacing w:after="60" w:before="120" w:line="240" w:lineRule="auto"/>
        <w:ind w:firstLine="640"/>
      </w:pPr>
      <w:r>
        <w:rPr>
          <w:rFonts w:ascii="黑体" w:cs="黑体" w:eastAsia="黑体" w:hAnsi="黑体"/>
          <w:sz w:val="32"/>
          <w:szCs w:val="32"/>
        </w:rPr>
        <w:t xml:space="preserve">结语</w:t>
      </w:r>
    </w:p>
    <w:p>
      <w:pPr>
        <w:spacing w:line="240" w:lineRule="auto"/>
        <w:ind w:firstLine="640"/>
        <w:jc w:val="both"/>
      </w:pPr>
      <w:r>
        <w:rPr>
          <w:rFonts w:ascii="仿宋_GB2312" w:cs="仿宋_GB2312" w:eastAsia="仿宋_GB2312" w:hAnsi="仿宋_GB2312"/>
          <w:sz w:val="32"/>
          <w:szCs w:val="32"/>
        </w:rPr>
        <w:t xml:space="preserve">文旅体商融合不是文艺的降维，而是文艺重新回到生活现场的历史契机。创作视野从作品扩展到场景、创作方式从独创走向共创，是范式之“变”；人民性、审美主导权、价值引领，是范式之“守”。变者，回应新质生产力时代的生产逻辑；守者，确保美学裁决不被流量接管。融合的深处，不是边界的消失，而是各方主体性的相互成就。对于正在共建人文湾区的粤港澳，对于迈向文化强国的中国文艺，这既是新范式，也是新分寸——融得越深，越要守得住文艺自己的那一记心跳。</w:t>
      </w:r>
    </w:p>
    <w:sectPr>
      <w:footnotePr>
        <w:numFmt w:val="decimalEnclosedCircle"/>
        <w:numRestart w:val="eachPage"/>
      </w:footnote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参见《多伦多20场驻演叫好又叫座 深圳原创舞剧〈咏春〉开辟文艺精品“闯世界”新航道》，深圳新闻网，2026年1月7日。</w:t>
      </w:r>
    </w:p>
  </w:footnote>
  <w:footnote w:id="2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参见《2026上半年文化消费观察：从“去哪里”到“去干什么”》，中国新闻网，2026年6月30日。</w:t>
      </w:r>
    </w:p>
  </w:footnote>
  <w:footnote w:id="3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参见《〈哪吒之魔童闹海〉登顶全球动画电影票房榜》，央视网，2025年2月19日；周边成交数据参见“2025谷子经济·智享未来报告”相关报道（新浪财经等，2025年3月）。</w:t>
      </w:r>
    </w:p>
  </w:footnote>
  <w:footnote w:id="4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参见〔德〕瓦尔特·本雅明：《机械复制时代的艺术作品》，载〔美〕汉娜·阿伦特编：《启迪：本雅明文选》，张旭东、王斑译，生活·读书·新知三联书店2008年版。</w:t>
      </w:r>
    </w:p>
  </w:footnote>
  <w:footnote w:id="5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参见〔美〕B.约瑟夫·派恩、詹姆斯·H.吉尔摩：《体验经济》（珍藏版），毕崇毅译，机械工业出版社2016年版。</w:t>
      </w:r>
    </w:p>
  </w:footnote>
  <w:footnote w:id="6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参见〔加〕丹尼尔·亚伦·西尔、〔美〕特里·尼科尔斯·克拉克：《场景：空间品质如何塑造社会生活》，祁述裕等译，社会科学文献出版社2019年版。</w:t>
      </w:r>
    </w:p>
  </w:footnote>
  <w:footnote w:id="7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习近平：《高举中国特色社会主义伟大旗帜 为全面建设社会主义现代化国家而团结奋斗——在中国共产党第二十次全国代表大会上的报告》，人民出版社2022年版。</w:t>
      </w:r>
    </w:p>
  </w:footnote>
  <w:footnote w:id="8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参见《粤产舞剧上新！舞剧〈英歌〉首演飒气凛然》，南方都市报App，2024年11月12日；《舞剧〈英歌〉启动2025年全国巡演》，广州市文化广电旅游局网站，2025年。</w:t>
      </w:r>
    </w:p>
  </w:footnote>
  <w:footnote w:id="9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参见《激发赛事经济新活力 打造文商体旅融合新标杆》，《群众》2026年第12期；《长三角议事厅·周报｜苏超2.0如何把周末流量踢成跨城留量》，澎湃新闻，2026年。</w:t>
      </w:r>
    </w:p>
  </w:footnote>
  <w:footnote w:id="10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“新大众文艺”一语已写入2026年《政府工作报告》；其概念源头参见《延河》2024年7月上半月刊编辑部文章《新传媒时代与新大众文艺的兴起》，近期讨论参见《中国文艺评论》2026年第5期“新大众文艺的时代场景与知识建构”专题。本文与其中李娅玮《为一出戏，奔赴一座城：新大众文艺的“事件性场景”何以生成？》一文的分野在于：彼文重事件性场景的生成机制，本文重创作单元与主体之变同价值之守的耦合。</w:t>
      </w:r>
    </w:p>
  </w:footnote>
  <w:footnote w:id="11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参见习近平：《发展新质生产力是推动高质量发展的内在要求和重要着力点》，《求是》2024年第11期。</w:t>
      </w:r>
    </w:p>
  </w:footnote>
  <w:footnote w:id="12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参见《活力大湾区 满满科技范》，光明网，2025年11月15日。</w:t>
      </w:r>
    </w:p>
  </w:footnote>
  <w:footnote w:id="13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参见马克思：《〈政治经济学批判〉导言》，《马克思恩格斯文集》第8卷，人民出版社2009年版。</w:t>
      </w:r>
    </w:p>
  </w:footnote>
  <w:footnote w:id="14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参见《告别“千镇一面”，古镇焕发新生》，《人民日报海外版》2023年5月1日。</w:t>
      </w:r>
    </w:p>
  </w:footnote>
  <w:footnote w:id="15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《习近平对宣传思想文化工作作出重要指示》，《人民日报》2023年10月9日。</w:t>
      </w:r>
    </w:p>
  </w:footnote>
  <w:footnote w:id="16">
    <w:p>
      <w:pPr>
        <w:spacing w:line="240" w:lineRule="auto"/>
      </w:pPr>
      <w:r>
        <w:rPr>
          <w:rStyle w:val="FootnoteReference"/>
        </w:rPr>
        <w:footnoteRef/>
      </w:r>
      <w:r>
        <w:rPr>
          <w:rFonts w:ascii="仿宋_GB2312" w:cs="仿宋_GB2312" w:eastAsia="仿宋_GB2312" w:hAnsi="仿宋_GB2312"/>
          <w:sz w:val="21"/>
          <w:szCs w:val="21"/>
        </w:rPr>
        <w:t xml:space="preserve">习近平2023年3月5日参加十四届全国人大一次会议江苏代表团审议时的讲话，见《人民日报》2023年3月6日相关报道。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2026-07-23T15:26:38.106Z</dcterms:created>
  <dcterms:modified xsi:type="dcterms:W3CDTF">2026-07-23T15:26:38.107Z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