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Workflow ID</w:t>
      </w:r>
    </w:p>
    <w:p>
      <w:pPr>
        <w:pStyle w:val="Heading1"/>
      </w:pPr>
      <w:r>
        <w:t>Find your workflow ID#</w:t>
      </w:r>
    </w:p>
    <w:p>
      <w:r>
        <w:t>Your workflow ID is available in:</w:t>
      </w:r>
    </w:p>
    <w:p>
      <w:r>
        <w:t>• The URL of the open workflow.</w:t>
      </w:r>
    </w:p>
    <w:p>
      <w:r>
        <w:t>• The workflow settings title.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