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Waiting</w:t>
      </w:r>
    </w:p>
    <w:p>
      <w:pPr>
        <w:pStyle w:val="Heading1"/>
      </w:pPr>
      <w:r>
        <w:t>Waiting#</w:t>
      </w:r>
    </w:p>
    <w:p>
      <w:r>
        <w:t>Waiting allows you to pause a workflow mid-execution, then resume where the workflow left off, with the same data. This is useful if you need to rate limit your calls to a service, or wait for an external event to complete. You can wait for a specified duration, or until a webhook fires.</w:t>
      </w:r>
    </w:p>
    <w:p>
      <w:r>
        <w:t>Making a workflow wait uses the Wait node. Refer to the node documentation for usage details.</w:t>
      </w:r>
    </w:p>
    <w:p>
      <w:r>
        <w:t>n8n provides a workflow template with a basic example of Rate limiting and waiting for external events.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