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 credentials</w:t>
      </w:r>
    </w:p>
    <w:p>
      <w:pPr>
        <w:pStyle w:val="Heading1"/>
      </w:pPr>
      <w:r>
        <w:t>Flow credentials#</w:t>
      </w:r>
    </w:p>
    <w:p>
      <w:r>
        <w:t>You can use these credentials to authenticate the following nodes:</w:t>
      </w:r>
    </w:p>
    <w:p>
      <w:r>
        <w:t>• Flow</w:t>
      </w:r>
    </w:p>
    <w:p>
      <w:r>
        <w:t>• Flow Trigger</w:t>
      </w:r>
    </w:p>
    <w:p>
      <w:pPr>
        <w:pStyle w:val="Heading2"/>
      </w:pPr>
      <w:r>
        <w:t>Prerequisites#</w:t>
      </w:r>
    </w:p>
    <w:p>
      <w:r>
        <w:t>Create a Flow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Flow's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Your numeric Organization ID</w:t>
      </w:r>
    </w:p>
    <w:p>
      <w:r>
        <w:t>• An Access Token</w:t>
      </w:r>
    </w:p>
    <w:p>
      <w:r>
        <w:t>Refer to the Flow API Getting Started documentation for instructions on generating your Access Token and viewing your Organization 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