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Hardening task runners</w:t>
      </w:r>
    </w:p>
    <w:p>
      <w:pPr>
        <w:pStyle w:val="Heading1"/>
      </w:pPr>
      <w:r>
        <w:t>Hardening task runners#</w:t>
      </w:r>
    </w:p>
    <w:p>
      <w:r>
        <w:t>Task runners are responsible for executing code from the Code node. While Code node executions are secure, you can follow these recommendations to further harden your task runners.</w:t>
      </w:r>
    </w:p>
    <w:p>
      <w:pPr>
        <w:pStyle w:val="Heading2"/>
      </w:pPr>
      <w:r>
        <w:t>Run task runners as sidecars in external mode#</w:t>
      </w:r>
    </w:p>
    <w:p>
      <w:r>
        <w:t>To increase the isolation between the core n8n process and code in the Code node, run task runners in external mode. External task runners launch as separate containers, providing a fully isolated environment to execute the JavaScript defined in the Code node.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