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Mandrill credentials</w:t>
      </w:r>
    </w:p>
    <w:p>
      <w:pPr>
        <w:pStyle w:val="Heading1"/>
      </w:pPr>
      <w:r>
        <w:t>Mandrill credentials#</w:t>
      </w:r>
    </w:p>
    <w:p>
      <w:r>
        <w:t>You can use these credentials to authenticate the following nodes:</w:t>
      </w:r>
    </w:p>
    <w:p>
      <w:r>
        <w:t>• Mandrill</w:t>
      </w:r>
    </w:p>
    <w:p>
      <w:pPr>
        <w:pStyle w:val="Heading2"/>
      </w:pPr>
      <w:r>
        <w:t>Prerequisites#</w:t>
      </w:r>
    </w:p>
    <w:p>
      <w:r>
        <w:t>• Create a Mailchimp Transactional email account</w:t>
      </w:r>
    </w:p>
    <w:p>
      <w:r>
        <w:t>• Log in to Mandrill with your Mailchimp account.</w:t>
      </w:r>
    </w:p>
    <w:p>
      <w:r>
        <w:t>If you already have a Mailchimp account with a Standard plan or higher, enable Transactional Emails within that account to use Mandrill.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Mailchimp's Transactional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Generate an API key from the Mandrill Settings. Refer to Mailchimp's Generate your API key documentation for more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