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Programmatic-style execute() method</w:t>
      </w:r>
    </w:p>
    <w:p>
      <w:pPr>
        <w:pStyle w:val="Heading1"/>
      </w:pPr>
      <w:r>
        <w:t>Programmatic-style execute() method#</w:t>
      </w:r>
    </w:p>
    <w:p>
      <w:r>
        <w:t>The main difference between the declarative and programmatic styles is how they handle incoming data and build API requests. The programmatic style requires an execute() method, which reads incoming data and parameters, then builds a request. The declarative style handles requests using the routing key in the operations object.</w:t>
      </w:r>
    </w:p>
    <w:p>
      <w:r>
        <w:rPr>
          <w:rFonts w:ascii="Courier New" w:hAnsi="Courier New"/>
          <w:sz w:val="18"/>
        </w:rPr>
        <w:t>execute()</w:t>
      </w:r>
    </w:p>
    <w:p>
      <w:r>
        <w:rPr>
          <w:rFonts w:ascii="Courier New" w:hAnsi="Courier New"/>
          <w:sz w:val="18"/>
        </w:rPr>
        <w:t>routing</w:t>
      </w:r>
    </w:p>
    <w:p>
      <w:r>
        <w:rPr>
          <w:rFonts w:ascii="Courier New" w:hAnsi="Courier New"/>
          <w:sz w:val="18"/>
        </w:rPr>
        <w:t>operations</w:t>
      </w:r>
    </w:p>
    <w:p>
      <w:r>
        <w:t>The execute() method creates and returns an instance of INodeExecutionData.</w:t>
      </w:r>
    </w:p>
    <w:p>
      <w:r>
        <w:rPr>
          <w:rFonts w:ascii="Courier New" w:hAnsi="Courier New"/>
          <w:sz w:val="18"/>
        </w:rPr>
        <w:t>execute()</w:t>
      </w:r>
    </w:p>
    <w:p>
      <w:r>
        <w:rPr>
          <w:rFonts w:ascii="Courier New" w:hAnsi="Courier New"/>
          <w:sz w:val="18"/>
        </w:rPr>
        <w:t>INodeExecutionData</w:t>
      </w:r>
    </w:p>
    <w:p>
      <w:r>
        <w:t>Paired items</w:t>
      </w:r>
    </w:p>
    <w:p>
      <w:r>
        <w:t>You must include input and output item pairing information in the data you return. For more information, refer to Paired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