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Embeddings Azure OpenAI node documentation</w:t>
      </w:r>
    </w:p>
    <w:p>
      <w:pPr>
        <w:pStyle w:val="Heading1"/>
      </w:pPr>
      <w:r>
        <w:t>Embeddings Azure OpenAI node#</w:t>
      </w:r>
    </w:p>
    <w:p>
      <w:r>
        <w:t>Use the Embeddings Azure OpenAI node to generate embeddings for a given text.</w:t>
      </w:r>
    </w:p>
    <w:p>
      <w:r>
        <w:t>On this page, you'll find the node parameters for the Embeddings Azure OpenAI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options#</w:t>
      </w:r>
    </w:p>
    <w:p>
      <w:r>
        <w:t>• Model (Deployment) Name: Select the model (deployment) to use for generating embeddings.</w:t>
      </w:r>
    </w:p>
    <w:p>
      <w:r>
        <w:t>• Batch Size: Enter the maximum number of documents to send in each request.</w:t>
      </w:r>
    </w:p>
    <w:p>
      <w:r>
        <w:t>• Strip New Lines: Select whether to remove new line characters from input text (turned on) or not (turned off). n8n enables this by default.</w:t>
      </w:r>
    </w:p>
    <w:p>
      <w:r>
        <w:t>• Timeout: Enter the maximum amount of time a request can take in seconds. Set to -1 for no timeout.</w:t>
      </w:r>
    </w:p>
    <w:p>
      <w:r>
        <w:rPr>
          <w:rFonts w:ascii="Courier New" w:hAnsi="Courier New"/>
          <w:sz w:val="18"/>
        </w:rPr>
        <w:t>-1</w:t>
      </w:r>
    </w:p>
    <w:p>
      <w:pPr>
        <w:pStyle w:val="Heading2"/>
      </w:pPr>
      <w:r>
        <w:t>Templates and examples#</w:t>
      </w:r>
    </w:p>
    <w:p>
      <w:r>
        <w:t>by Jimleuk</w:t>
      </w:r>
    </w:p>
    <w:p>
      <w:r>
        <w:t>by David Roberts</w:t>
      </w:r>
    </w:p>
    <w:p>
      <w:r>
        <w:t>by David Roberts</w:t>
      </w:r>
    </w:p>
    <w:p>
      <w:pPr>
        <w:pStyle w:val="Heading2"/>
      </w:pPr>
      <w:r>
        <w:t>Related resources#</w:t>
      </w:r>
    </w:p>
    <w:p>
      <w:r>
        <w:t>Refer to LangChains's OpenAI embeddings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