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Fetch collection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https://docs.weweb.io/workflows/actions/fetch-collection.html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2025-04-08T15:56:47.459844+00:00</w:t>
            </w:r>
          </w:p>
        </w:tc>
      </w:tr>
    </w:tbl>
    <w:p>
      <w:pPr>
        <w:pStyle w:val="Heading2"/>
      </w:pPr>
      <w:r>
        <w:t>Fetch collection ​</w:t>
      </w:r>
    </w:p>
    <w:p>
      <w:r>
        <w:t>The Fetch collection action allows you to manually trigger data fetching for any collection in WeWeb. While collections can fetch data automatically when a page loads , there are times when you need more control over when and how data is refreshed.</w:t>
        <w:br/>
        <w:t>When you add a Fetch collection action to a workflow, you select which collection to fetch. Upon triggering, the action makes a fresh request to your data source (like REST API, Supabase, or Xano) and updates your collection with the latest data.</w:t>
      </w:r>
    </w:p>
    <w:p>
      <w:pPr>
        <w:pStyle w:val="Heading2"/>
      </w:pPr>
      <w:r>
        <w:t>A common use case ​</w:t>
      </w:r>
    </w:p>
    <w:p>
      <w:r>
        <w:t>A modal display scenario is a perfect example - rather than loading all possible data when your page loads, you might want to fetch specific collection data only when a user opens a modal. This improves initial page performance while ensuring data is fresh when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fetch-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