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Language Input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https://docs.weweb.io/add-elements/elements/language.html</w:t>
              </w:r>
            </w:hyperlink>
          </w:p>
        </w:tc>
      </w:tr>
      <w:tr>
        <w:tc>
          <w:tcPr>
            <w:tcW w:type="dxa" w:w="4320"/>
          </w:tcPr>
          <w:p>
            <w:r>
              <w:t>Date de scraping</w:t>
            </w:r>
          </w:p>
        </w:tc>
        <w:tc>
          <w:tcPr>
            <w:tcW w:type="dxa" w:w="4320"/>
          </w:tcPr>
          <w:p>
            <w:r>
              <w:t>2025-04-08T15:52:48.744099+00:00</w:t>
            </w:r>
          </w:p>
        </w:tc>
      </w:tr>
    </w:tbl>
    <w:p>
      <w:pPr>
        <w:pStyle w:val="Heading2"/>
      </w:pPr>
      <w:r>
        <w:t>Language Input ​</w:t>
      </w:r>
    </w:p>
    <w:p>
      <w:r>
        <w:t>The Language Input dropdown provides the language options available for the page.</w:t>
        <w:br/>
        <w:t>You cannot modify the options in this dropdown. Instead, the options automatically reflect the languages you have enabled for the page. For more information about page languages, please refer to the App Settings .</w:t>
        <w:br/>
        <w:t>Once a desired language is selected from this dropdown, the page language changes automatically, eliminating the need to create a specific workflow.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add-elements/elements/langu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