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Print PDF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https://docs.weweb.io/workflows/actions/print-pdf.html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2025-04-08T15:56:51.543344+00:00</w:t>
            </w:r>
          </w:p>
        </w:tc>
      </w:tr>
    </w:tbl>
    <w:p>
      <w:pPr>
        <w:pStyle w:val="Heading2"/>
      </w:pPr>
      <w:r>
        <w:t>Print PDF ​</w:t>
      </w:r>
    </w:p>
    <w:p>
      <w:r>
        <w:t>The Print PDF action allows you to open the browser's print dialog, enabling users to print the current page or save it as a PDF. This action integrates with your browser's native printing capabilities.</w:t>
      </w:r>
    </w:p>
    <w:p>
      <w:pPr>
        <w:pStyle w:val="Heading2"/>
      </w:pPr>
      <w:r>
        <w:t>How it works ​</w:t>
      </w:r>
    </w:p>
    <w:p>
      <w:r>
        <w:t>When triggered, this action opens your browser's print dialog, where users can:</w:t>
        <w:br/>
        <w:t>Preview the page layout Choose printer settings Save as PDF Select specific pages to print Adjust margins and scaling</w:t>
      </w:r>
    </w:p>
    <w:p>
      <w:pPr>
        <w:pStyle w:val="Heading2"/>
      </w:pPr>
      <w:r>
        <w:t>Configuration ​</w:t>
      </w:r>
    </w:p>
    <w:p>
      <w:r>
        <w:t>Since this action uses the browser's built-in print functionality, no additional configuration is required. Simply add it to your workflow and it will open the print dialog when triggered.</w:t>
      </w:r>
    </w:p>
    <w:p>
      <w:pPr>
        <w:pStyle w:val="Heading2"/>
      </w:pPr>
      <w:r>
        <w:t>Common applications ​</w:t>
      </w:r>
    </w:p>
    <w:p>
      <w:r>
        <w:t>This action is particularly useful for generating printable reports, creating PDF versions of documents, or allowing users to save receipts and confirmations. It's commonly used in:</w:t>
        <w:br/>
        <w:t>Report generation interfaces Invoice printing systems Document management tools Receipt generation after purchases Exporting data views for offline use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workflows/actions/print-pd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