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방향 반전 분석과 정보 비노출 재판독을 통한</w:t>
        <w:br/>
        <w:t>AI 보조 판독의 등급 기준 평가</w:t>
      </w:r>
    </w:p>
    <w:p>
      <w:pPr>
        <w:pStyle w:val="Subtitle"/>
      </w:pPr>
      <w:r>
        <w:t>Phase1과 Phase2A 통합 최종보고서</w:t>
      </w:r>
    </w:p>
    <w:p>
      <w:r>
        <w:t>2026년 10월 14일  |  결과 기준 QC_Drift  1ae1997</w:t>
      </w:r>
    </w:p>
    <w:p>
      <w:pPr>
        <w:pStyle w:val="Heading1"/>
      </w:pPr>
      <w:r>
        <w:t>초록</w:t>
      </w:r>
    </w:p>
    <w:p>
      <w:r>
        <w:t>목적  서로 다른 원판독 조건에서 부여된 흉부 X선 등급의 상대적 차이를 확인하고, AI 보조 판독의 RB 상위 등급 방향성과 판독 기준 안정화 가능성을 구분해 평가하였다.</w:t>
      </w:r>
    </w:p>
    <w:p>
      <w:r>
        <w:t>방법  동일 판독자의 2024년 AI 비보조 원판독과 2026년 AI 보조 원판독을 대상으로, Phase1에서 교차 학습 방향을 반전시켜 예측 편향을 분해하고 분포 정합 in-domain 편향으로 보정하였다. Phase2A에서는 기존 라벨과 AI 출력을 가린 현재 비보조 재판독의 전체 1,155개 제시를 분석하였다. RB 상위 경계의 상향·하향 이동은 조건부 비율과 단측 기준으로 검정하였다. 중복 영상 287개의 324개 첫–반복 쌍에서는 전체 반복판독을 공통 기준으로 원판독–현재 첫 판독의 불일치를 비교하였다. Phase2 신뢰구간은 연도별 환자 군집을 20,000회 재표집하여 계산하였다.</w:t>
      </w:r>
    </w:p>
    <w:p>
      <w:r>
        <w:t>결과  Phase1 RB의 보정 방향반전 값은 +0.198 [+0.066, +0.324]등급이었다. Phase2A에서 RB 3→4 상향과 4→≤3 하향은 2024년 각각 24/214건과 37/101건, 2026년 각각 2/146건과 39/73건이었다. 2026년 AI 보조 상향 가설의 세 단측 조건이 모두 충족되었다. 전체 반복 ACC는 252/324건(77.78%), MAE는 0.225등급이었다. 이에 비해 2024년 원판독의 불일치는 반복 변동을 초과했으며, 2026년 원판독의 불일치는 반복 변동과 통계적으로 구별되지 않았다.</w:t>
      </w:r>
    </w:p>
    <w:p>
      <w:r>
        <w:t>결론  방향반전 신호와 비보조 재판독의 선택적 하향 수정은 AI 보조 원판독에서 RB 상위 등급을 상대적으로 높게 부여했다는 설명에 부합한다. 중복 영상 비교는 AI가 판독 기준을 일정하게 잡아줬을 가능성을 시사하며, 이 가능성은 상위 등급 방향성에 대한 검정 결과와 구분해 제시한다.</w:t>
      </w:r>
    </w:p>
    <w:p>
      <w:pPr>
        <w:pStyle w:val="Heading1"/>
      </w:pPr>
      <w:r>
        <w:t>1 연구 질문</w:t>
      </w:r>
    </w:p>
    <w:p>
      <w:r>
        <w:t>현재 판독자의 같은 영상에 대한 반복 변동을 내부 기준으로 삼아, 과거 원판독과 현재 비보조 재판독 사이의 차이를 해석하는 것이 이 연구의 목적이다. 질문은 두 가지다. 첫째, AI 보조 원판독의 RB 상위 경계가 현재 비보조 판독에서 어느 방향으로 바뀌는가. 둘째, 원판독–현재 판독의 불일치가 현재 판독자가 AI 없이 같은 영상을 반복 판독할 때 생기는 변동보다 큰가. 전자는 방향성, 후자는 차이의 크기를 측정한다.</w:t>
      </w:r>
    </w:p>
    <w:p>
      <w:r>
        <w:br w:type="page"/>
      </w:r>
    </w:p>
    <w:p>
      <w:pPr>
        <w:pStyle w:val="Heading1"/>
      </w:pPr>
      <w:r>
        <w:t>2 Phase1 방법</w:t>
      </w:r>
    </w:p>
    <w:p>
      <w:pPr>
        <w:pStyle w:val="Heading2"/>
      </w:pPr>
      <w:r>
        <w:t>2.1 분석 흐름과 대상</w:t>
      </w:r>
    </w:p>
    <w:p>
      <w:r>
        <w:t>Phase1은 구조·분포 확인, 영상 특징과 라벨 경계의 정합성 평가, 판독자 재현성 확인, 교차 방향반전, 분포 정합 in-domain 보정, 양성·음성 대조, 결과 종합의 순서로 구성하였다. 분석 대상은 2024년 718장·68명과 2026년 587장·46명이었다. 영상별 RT·LT·RB·LB 네 ROI에 0–4등급이 부여되어 있다. 구조·분포 지표는 a1, 영상 특징 기반 AUC는 a2, 기존 재현성 분석은 a3, 방향반전 및 대조 분석은 a4–a8, 최종 보정과 ROI 대비는 b1의 결과를 사용하였다.</w:t>
      </w:r>
    </w:p>
    <w:p>
      <w:pPr>
        <w:pStyle w:val="Heading2"/>
      </w:pPr>
      <w:r>
        <w:t>2.2 방향반전의 정의</w:t>
      </w:r>
    </w:p>
    <w:p>
      <w:r>
        <w:t>예측 편향은 예측 등급에서 평가 라벨 등급을 뺀 평균으로 정의하였다. 정방향 fwd는 2024년 학습→2026년 평가, 역방향 rev는 2026년 학습→2024년 평가다. 두 방향의 반차와 반합으로 다음 값을 계산하였다.</w:t>
      </w:r>
    </w:p>
    <w:p>
      <w:r>
        <w:t>δobs = (rev − fwd) / 2</w:t>
        <w:br/>
        <w:t>γ = (rev + fwd) / 2</w:t>
        <w:br/>
        <w:t>Δγ = bias(2024→2024) − bias(2026→2026)</w:t>
        <w:br/>
        <w:t>δcorr = δobs + Δγ / 2</w:t>
      </w:r>
    </w:p>
    <w:p>
      <w:r>
        <w:t>δcorr가 양수이면 2026년 라벨이 2024년 라벨보다 상대적으로 높은 방향을 뜻한다. 같은 연도에서 학습·평가한 편향 차이 Δγ는 두 코호트의 등급분포를 정합한 분석에서 구했다. 이 보정은 방향별 모델 편향의 대리값을 이용하는 민감도 점검이며, 관측 등급의 상대 차이를 재판독 후보 선정에 사용한다.</w:t>
      </w:r>
    </w:p>
    <w:p>
      <w:pPr>
        <w:pStyle w:val="Heading2"/>
      </w:pPr>
      <w:r>
        <w:t>2.3 식별 조건과 추정 범위</w:t>
      </w:r>
    </w:p>
    <w:p>
      <w:r>
        <w:t>방향반전 분해의 해석은 방향별 모델 오차가 대칭이고, 학습 라벨의 오프셋이 모델에 반영되며, 코호트 분포 차이의 영향을 조정한다는 조건에 의존한다. 방향별 오차가 다르면 δobs에는 (γrev−γfwd)/2가 섞이므로 Δγ/2를 더해 보정한다. 잠재 중증도에 판독 기준 오프셋이 더해지고 이를 등급 경계로 나누는 모형은 경계 근처에 이동이 집중될 수 있음을 설명한다. 보고된 수치는 관측 등급 단위의 차이로 해석한다.</w:t>
      </w:r>
    </w:p>
    <w:p>
      <w:pPr>
        <w:pStyle w:val="Heading2"/>
      </w:pPr>
      <w:r>
        <w:t>2.4 불확실성과 대조 분석</w:t>
      </w:r>
    </w:p>
    <w:p>
      <w:r>
        <w:t>기존 체크포인트에 저장된 예측을 사용하고 환자별 편향 벡터를 5,000회 재표집하였다. 네 ROI를 같은 환자 행으로 함께 재표집하여 ROI 간 공분산을 보존하였다. 교차 예측과 in-domain 분포를 결합한 뒤 점추정 중심에 맞춰 신뢰구간을 산출하였다. 알려진 라벨 오프셋을 주입한 양성대조와 학습량만 바꾼 음성대조는 각각 복원 성질과 방향반전 값의 누출을 점검하였다. 이는 저장된 예측을 이용한 불확실성 추정이며 bootstrap마다 재학습하는 분석과 구분된다.</w:t>
      </w:r>
    </w:p>
    <w:p>
      <w:r>
        <w:t>영상 특징 분석은 평균·중앙값·엔트로피·균일도·GLRLM SRE·GLSZM SAE의 여섯 특징 중 인접 등급 분리도가 가장 큰 방향무관 AUC를 보고하였다. 최대 특징 선택의 영향은 1,500회 순열로 보정하고, 네 ROI에는 α=0.0125를 적용하였다. Phase1의 역할은 상대 차이를 검출하고 재판독 우선 경계를 선정하는 것이다.</w:t>
      </w:r>
    </w:p>
    <w:p>
      <w:r>
        <w:br w:type="page"/>
      </w:r>
    </w:p>
    <w:p>
      <w:pPr>
        <w:pStyle w:val="Heading1"/>
      </w:pPr>
      <w:r>
        <w:t>3 Phase2A 방법</w:t>
      </w:r>
    </w:p>
    <w:p>
      <w:pPr>
        <w:pStyle w:val="Heading2"/>
      </w:pPr>
      <w:r>
        <w:t>3.1 원판독과 현재 재판독 조건</w:t>
      </w:r>
    </w:p>
    <w:p>
      <w:r>
        <w:t>2024년은 AI 비보조 원판독, 2026년은 AI 보조 원판독이며, 현재 재판독은 동일 판독자가 AI 출력 없이 수행한 공통 비보조 판독이다. 선정된 미니시퀀스의 모든 영상을 네 ROI에 대해 판독하였다. 제시 순서는 무작위화하되 미니시퀀스 내부의 순서는 유지하였다. 기존 등급, AI 예측, 촬영 연도, 환자 식별자와 선정 경로는 판독 화면에서 가렸다.</w:t>
      </w:r>
    </w:p>
    <w:p>
      <w:r>
        <w:t>선정 코드는 길이 7의 미니시퀀스로 RB 3·4 영상을 포함하고 대조 영상을 균형 표집하였다. 같은 영상의 반복 제시를 포함해 총 165개 미니시퀀스, 1,155개 제시가 구성되었다. 이 중 고유 영상은 831개, 첫 제시는 831개, 반복 제시는 324개다. NPZ 내 점수 입력은 빈 상태로 제공되며 기존 등급과 AI 예측을 포함하지 않는다. 반환 결과는 제시 식별자로 원자료와 연결하고, 같은 미니시퀀스의 복수 저장본 중 유효한 최신 저장본을 사용하였다.</w:t>
      </w:r>
    </w:p>
    <w:p>
      <w:pPr>
        <w:pStyle w:val="Heading2"/>
      </w:pPr>
      <w:r>
        <w:t>3.2 표 1의 분석 대상과 방향성</w:t>
      </w:r>
    </w:p>
    <w:p>
      <w:r>
        <w:t>최종 분석은 반복 제시를 포함한 전체 1,155개 제시를 동일 가중치로 사용하였다. 최초 제시만 사용하고 표집가중치를 적용하는 초기 계획과 달리, 최종 연구 질문은 실제 판독한 전체 제시에서의 이동이다. 조건부 분모는 선정 경로가 아니라 기존 등급으로 정하였다.</w:t>
      </w:r>
    </w:p>
    <w:p>
      <w:r>
        <w:t>상향률은 기존 3 중 현재 4가 된 비율, 하향률은 기존 4 중 현재 ≤3이 된 비율이다. T는 2024년, U는 2026년의 상향률−하향률이다. 원판독 조건 선택성은 T−U이며, 경계 선택성은 각 연도의 3↔4 방향성 이동에서 2↔3 방향성 이동을 뺀 값이다. 하향에는 4→3과 4→2 이하가 모두 포함된다. 서로 다른 등급 분모의 두 조건부 비율을 비교하므로 단순 상향 건수−하향 건수와 구분한다.</w:t>
      </w:r>
    </w:p>
    <w:p>
      <w:r>
        <w:t>가설 ①은 T&gt;0, T−U&gt;0, 2024년 경계 선택성&gt;0을 요구한다. 가설 ②는 U&lt;0, T−U&gt;0, 2026년 경계 선택성&lt;0을 요구한다. 양의 조건은 단측 95% 하한&gt;0, 음의 조건은 단측 95% 상한&lt;0일 때 충족으로 판정하였다. 표 1은 양측 95% CI도 함께 제시한다.</w:t>
      </w:r>
    </w:p>
    <w:p>
      <w:pPr>
        <w:pStyle w:val="Heading2"/>
      </w:pPr>
      <w:r>
        <w:t>3.3 표 2의 전체 반복 기준</w:t>
      </w:r>
    </w:p>
    <w:p>
      <w:r>
        <w:t>중복 영상 287개에서 각 반복 제시를 그 영상의 현재 첫 판독과 연결하여 324쌍을 구성하였다. 2024년은 220개 영상·249쌍·41명, 2026년은 67개 영상·75쌍·16명이다. 원판독–현재 첫 판독도 이 쌍과 같은 가중치로 계산하였다. 세 번 이상 제시된 영상은 반복 횟수만큼 첫 판독과 연결된다. 현재 평가자의 반복 기준은 두 연도를 합친 전체 324쌍으로 고정하였다.</w:t>
      </w:r>
    </w:p>
    <w:p>
      <w:r>
        <w:t>전체 반복쌍의 RB는 첫 판독보다 상향 40/324건, 하향 32/324건, 동일 252/324건이었다. 상향·하향은 반복 순서에 따른 기술값으로 보고하며, 반복 변동의 크기는 아래의 대칭 지표로 평가하였다.</w:t>
      </w:r>
    </w:p>
    <w:p>
      <w:r>
        <w:t>ACC는 두 판독의 정확한 등급 일치율, MAE는 절대 등급 차이의 평균, 경계 불일치율은 한 판독이 4이고 다른 판독이 ≤3인 비율이다. 세 지표는 첫–반복 순서를 뒤집어도 같다. 차이는 원판독–현재 첫 판독 지표에서 전체 반복 지표를 뺀 값이다. ACC 차이의 CI 상한&lt;0, MAE와 경계 불일치율 차이의 CI 하한&gt;0이면 반복 변동 초과로 판정하였다.</w:t>
      </w:r>
    </w:p>
    <w:p>
      <w:r>
        <w:br w:type="page"/>
      </w:r>
    </w:p>
    <w:p>
      <w:pPr>
        <w:pStyle w:val="Heading1"/>
      </w:pPr>
      <w:r>
        <w:t>4 통계 추정과 Phase1 결과</w:t>
      </w:r>
    </w:p>
    <w:p>
      <w:pPr>
        <w:pStyle w:val="Heading2"/>
      </w:pPr>
      <w:r>
        <w:t>4.1 환자 군집 신뢰구간</w:t>
      </w:r>
    </w:p>
    <w:p>
      <w:r>
        <w:t>Phase2A에서는 연도별로 환자를 20,000회 재표집하고 해당 환자의 모든 영상과 반복 판독쌍을 함께 포함하였다. 표 1의 모수와 대비는 같은 재표집에서 계산하였다. 표 2도 매 재표집에서 전체 반복 기준을 다시 계산하고 원판독–현재 지표와의 차이를 구하였다. 따라서 공통 반복 기준의 불확실성과 두 지표 사이의 의존성을 반영한다. 표 1 seed는 20261012, 표 2 seed는 20261014다. 표 1의 단측 조건 판정과 표 2의 양측 차이 판정을 각각 적용하였다.</w:t>
      </w:r>
    </w:p>
    <w:p>
      <w:pPr>
        <w:pStyle w:val="Heading2"/>
      </w:pPr>
      <w:r>
        <w:t>4.2 구조와 영상 특징</w:t>
      </w:r>
    </w:p>
    <w:p>
      <w:r>
        <w:t>2024년과 2026년의 평균 등급은 각각 1.6403, 1.4289였다. RB 3↔4 경계의 최고 영상 특징 AUC는 2024년 0.6036(순열 p=0.0606), 2026년 0.8184(p=0.0007)였다. 2024년 RT도 p=0.0320으로 네 ROI 보정 기준을 통과하지 못했다. 이는 RB 상위 경계를 우선 재판독할 근거이며, 영상 특징만으로 원판독의 정오를 정하는 지표와는 구분된다.</w:t>
      </w:r>
    </w:p>
    <w:p>
      <w:pPr>
        <w:pStyle w:val="Heading2"/>
      </w:pPr>
      <w:r>
        <w:t>4.3 방향반전과 보정 결과</w:t>
      </w:r>
    </w:p>
    <w:p>
      <w:r>
        <w:t>RB 편향은 정방향 −0.308등급에서 역방향 +0.173등급으로 반전되었다. 보정 후 δcorr는 +0.198 [+0.066, +0.324]등급으로 양의 차이가 유지되었다. LT도 +0.194 [+0.069, +0.316]등급으로 양의 차이가 유지되었다. RT와 LB의 보정 CI는 0을 포함하였다.</w:t>
      </w:r>
    </w:p>
    <w:tbl>
      <w:tblPr>
        <w:tblW w:type="auto" w:w="0"/>
        <w:jc w:val="center"/>
        <w:tblLayout w:type="fixed"/>
        <w:tblLook w:firstColumn="1" w:firstRow="1" w:lastColumn="0" w:lastRow="0" w:noHBand="0" w:noVBand="1" w:val="04A0"/>
      </w:tblPr>
      <w:tblGrid>
        <w:gridCol w:w="792"/>
        <w:gridCol w:w="1469"/>
        <w:gridCol w:w="1469"/>
        <w:gridCol w:w="1080"/>
        <w:gridCol w:w="5112"/>
      </w:tblGrid>
      <w:tr>
        <w:trPr>
          <w:cantSplit/>
          <w:tblHeader/>
        </w:trPr>
        <w:tc>
          <w:tcPr>
            <w:tcW w:type="dxa" w:w="79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ROI</w:t>
            </w:r>
          </w:p>
        </w:tc>
        <w:tc>
          <w:tcPr>
            <w:tcW w:type="dxa" w:w="1469"/>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정방향 bias</w:t>
            </w:r>
          </w:p>
        </w:tc>
        <w:tc>
          <w:tcPr>
            <w:tcW w:type="dxa" w:w="1469"/>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역방향 bias</w:t>
            </w:r>
          </w:p>
        </w:tc>
        <w:tc>
          <w:tcPr>
            <w:tcW w:type="dxa" w:w="108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δobs</w:t>
            </w:r>
          </w:p>
        </w:tc>
        <w:tc>
          <w:tcPr>
            <w:tcW w:type="dxa" w:w="511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δcorr [95% CI]</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RT</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−0.149</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+0.098</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+0.124</w:t>
            </w:r>
          </w:p>
        </w:tc>
        <w:tc>
          <w:tcPr>
            <w:tcW w:type="dxa" w:w="51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+0.113 [−0.020, +0.239]</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LT</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−0.237</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+0.195</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+0.216</w:t>
            </w:r>
          </w:p>
        </w:tc>
        <w:tc>
          <w:tcPr>
            <w:tcW w:type="dxa" w:w="51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+0.194 [+0.069, +0.316]</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−0.308</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+0.173</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+0.240</w:t>
            </w:r>
          </w:p>
        </w:tc>
        <w:tc>
          <w:tcPr>
            <w:tcW w:type="dxa" w:w="51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+0.198 [+0.066, +0.324]</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LB</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−0.201</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+0.016</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+0.108</w:t>
            </w:r>
          </w:p>
        </w:tc>
        <w:tc>
          <w:tcPr>
            <w:tcW w:type="dxa" w:w="51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+0.109 [−0.022, +0.235]</w:t>
            </w:r>
          </w:p>
        </w:tc>
      </w:tr>
      <w:tr>
        <w:trPr>
          <w:cantSplit/>
        </w:trPr>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전체</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−0.224</w:t>
            </w:r>
          </w:p>
        </w:tc>
        <w:tc>
          <w:tcPr>
            <w:tcW w:type="dxa" w:w="1469"/>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+0.120</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+0.172</w:t>
            </w:r>
          </w:p>
        </w:tc>
        <w:tc>
          <w:tcPr>
            <w:tcW w:type="dxa" w:w="51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+0.154 [+0.052, +0.252]</w:t>
            </w:r>
          </w:p>
        </w:tc>
      </w:tr>
    </w:tbl>
    <w:p/>
    <w:p>
      <w:r>
        <w:t>위 표의 단위는 등급이다. 최신 보정 결과에서는 RB와 LT가 모두 0을 제외한다. RB는 영상 특징에서 상위 경계 분리도가 낮고 기존 재현성 분석에서 exact agreement가 낮았다는 근거를 함께 갖는 우선 재판독 대상으로 해석한다. 재판독 대상을 정하는 근거와 특정 연도의 라벨이 어느 방향으로 바뀌어야 하는지는 Phase2A에서 나누어 확인하였다.</w:t>
      </w:r>
    </w:p>
    <w:p>
      <w:pPr>
        <w:pStyle w:val="Heading2"/>
      </w:pPr>
      <w:r>
        <w:t>4.4 대조 분석</w:t>
      </w:r>
    </w:p>
    <w:p>
      <w:r>
        <w:t>양성대조의 복원 기울기는 0.9405였다. 학습량 비율 1.0, 0.5, 0.25의 음성대조 방향반전 값은 각각 +0.015, +0.035, −0.009등급이었다. ROI 직접 대비와 in-domain 보정의 상세값은 부록에 제시하였다.</w:t>
      </w:r>
    </w:p>
    <w:p>
      <w:pPr>
        <w:sectPr>
          <w:footerReference w:type="default" r:id="rId9"/>
          <w:pgSz w:w="11909" w:h="16834"/>
          <w:pgMar w:top="922" w:right="936" w:bottom="922" w:left="936" w:header="432" w:footer="432" w:gutter="0"/>
          <w:cols w:space="720"/>
          <w:docGrid w:linePitch="360"/>
        </w:sectPr>
      </w:pPr>
    </w:p>
    <w:p>
      <w:pPr>
        <w:pStyle w:val="Heading1"/>
      </w:pPr>
      <w:r>
        <w:t>5 표 1 RB 상위 경계 이동과 가설 판정</w:t>
      </w:r>
    </w:p>
    <w:p>
      <w:r>
        <w:t>전체 1,155개 제시 기준. 2024년은 비보조 원판독→현재 비보조 재판독, 2026년은 AI 보조 원판독→현재 비보조 재판독이다.</w:t>
      </w:r>
    </w:p>
    <w:tbl>
      <w:tblPr>
        <w:tblW w:type="auto" w:w="0"/>
        <w:jc w:val="center"/>
        <w:tblLayout w:type="fixed"/>
        <w:tblLook w:firstColumn="1" w:firstRow="1" w:lastColumn="0" w:lastRow="0" w:noHBand="0" w:noVBand="1" w:val="04A0"/>
      </w:tblPr>
      <w:tblGrid>
        <w:gridCol w:w="1512"/>
        <w:gridCol w:w="2880"/>
        <w:gridCol w:w="1757"/>
        <w:gridCol w:w="1757"/>
        <w:gridCol w:w="2880"/>
        <w:gridCol w:w="1728"/>
        <w:gridCol w:w="1008"/>
      </w:tblGrid>
      <w:tr>
        <w:trPr>
          <w:cantSplit/>
          <w:tblHeader/>
        </w:trPr>
        <w:tc>
          <w:tcPr>
            <w:tcW w:type="dxa" w:w="151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가설</w:t>
            </w:r>
          </w:p>
        </w:tc>
        <w:tc>
          <w:tcPr>
            <w:tcW w:type="dxa" w:w="288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검정 조건</w:t>
            </w:r>
          </w:p>
        </w:tc>
        <w:tc>
          <w:tcPr>
            <w:tcW w:type="dxa" w:w="1757"/>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상향</w:t>
              <w:br/>
              <w:t>분자/분모</w:t>
            </w:r>
          </w:p>
        </w:tc>
        <w:tc>
          <w:tcPr>
            <w:tcW w:type="dxa" w:w="1757"/>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하향</w:t>
              <w:br/>
              <w:t>분자/분모</w:t>
            </w:r>
          </w:p>
        </w:tc>
        <w:tc>
          <w:tcPr>
            <w:tcW w:type="dxa" w:w="288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추정값</w:t>
              <w:br/>
              <w:t>[양측 95% CI]</w:t>
              <w:br/>
              <w:t>%p</w:t>
            </w:r>
          </w:p>
        </w:tc>
        <w:tc>
          <w:tcPr>
            <w:tcW w:type="dxa" w:w="172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단측 95%</w:t>
              <w:br/>
              <w:t>한계 %p</w:t>
            </w:r>
          </w:p>
        </w:tc>
        <w:tc>
          <w:tcPr>
            <w:tcW w:type="dxa" w:w="100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판정</w:t>
            </w:r>
          </w:p>
        </w:tc>
      </w:tr>
      <w:tr>
        <w:trPr>
          <w:cantSplit/>
        </w:trPr>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① 2024</w:t>
              <w:br/>
              <w:t>상향 수정</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비보조→비보조 이동 T&gt;0</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24/214 (11.2%)</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37/101 (36.6%)</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-25.42</w:t>
              <w:br/>
              <w:t>[-44.69, -5.56]</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하한 -41.68</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반대 방향</w:t>
            </w:r>
          </w:p>
        </w:tc>
      </w:tr>
      <w:tr>
        <w:trPr>
          <w:cantSplit/>
        </w:trPr>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① 2024</w:t>
              <w:br/>
              <w:t>상향 수정</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원판독 조건 선택성 T−U&gt;0</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+26.64</w:t>
              <w:br/>
              <w:t>[-3.87, 54.60]</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하한 +0.86</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① 2024</w:t>
              <w:br/>
              <w:t>상향 수정</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2024 경계 선택성 &gt;0</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-69.54</w:t>
              <w:br/>
              <w:t>[-90.37, -46.73]</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하한 -87.49</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반대 방향</w:t>
            </w:r>
          </w:p>
        </w:tc>
      </w:tr>
      <w:tr>
        <w:trPr>
          <w:cantSplit/>
        </w:trPr>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② 2026</w:t>
              <w:br/>
              <w:t>AI 보조 상향</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AI 보조→비보조 이동 U&lt;0</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2/146 (1.4%)</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39/73 (53.4%)</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-52.05</w:t>
              <w:br/>
              <w:t>[-71.76, -28.69]</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상한 -32.14</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② 2026</w:t>
              <w:br/>
              <w:t>AI 보조 상향</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원판독 조건 선택성 T−U&gt;0</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+26.64</w:t>
              <w:br/>
              <w:t>[-3.87, 54.60]</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하한 +0.86</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② 2026</w:t>
              <w:br/>
              <w:t>AI 보조 상향</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2026 경계 선택성 &lt;0</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17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w:t>
            </w:r>
          </w:p>
        </w:tc>
        <w:tc>
          <w:tcPr>
            <w:tcW w:type="dxa" w:w="28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-51.87</w:t>
              <w:br/>
              <w:t>[-80.95, -17.86]</w:t>
            </w:r>
          </w:p>
        </w:tc>
        <w:tc>
          <w:tcPr>
            <w:tcW w:type="dxa" w:w="172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상한 -23.44</w:t>
            </w:r>
          </w:p>
        </w:tc>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bl>
    <w:p/>
    <w:p>
      <w:r>
        <w:t>상향: 기존 3→현재 4. 하향: 기존 4→현재 ≤3. T: 2024년 상향률−하향률. U: 2026년 상향률−하향률. 경계 선택성: 해당 연도의 3↔4 이동−2↔3 이동. 신뢰구간은 연도별 환자 군집 bootstrap 20,000회로 계산하였다.</w:t>
      </w:r>
    </w:p>
    <w:p>
      <w:r>
        <w:t>2024년 상향 수정 가설은 T와 경계 선택성이 반대 방향으로 나타났다. 2026년 AI 보조 상향 가설은 U&lt;0, T−U&gt;0, 2026년 경계 선택성&lt;0의 세 단측 조건을 모두 충족하였다. T−U의 양측 CI는 0을 포함하지만 사전에 정한 단측 하한은 +0.86%p로 0보다 컸다.</w:t>
      </w:r>
    </w:p>
    <w:p>
      <w:r>
        <w:t>이는 2026년 AI 보조 원판독을 현재 비보조로 다시 읽었을 때 RB 상위 경계가 선택적으로 낮아졌다는 뜻이다. Phase1의 상대적 상향 신호와 함께, AI 보조가 RB 상위 등급을 상대적으로 높게 부여하도록 작용했다는 설명을 지지한다. 이 표의 경계 선택성은 상위 경계와 하위 경계의 방향성 차이를 검정한다.</w:t>
      </w:r>
    </w:p>
    <w:p>
      <w:pPr>
        <w:sectPr>
          <w:pgSz w:w="16834" w:h="11909" w:orient="landscape"/>
          <w:pgMar w:top="922" w:right="936" w:bottom="922" w:left="936" w:header="432" w:footer="432" w:gutter="0"/>
          <w:cols w:space="720"/>
          <w:docGrid w:linePitch="360"/>
        </w:sectPr>
      </w:pPr>
    </w:p>
    <w:p>
      <w:pPr>
        <w:pStyle w:val="Heading1"/>
      </w:pPr>
      <w:r>
        <w:t>6 표 2 현재 평가자의 전체 반복 변동과 비교</w:t>
      </w:r>
    </w:p>
    <w:p>
      <w:r>
        <w:t>287개 고유 영상의 324개 첫–반복 쌍. 모든 행의 재판독 내부 기준은 전체 324쌍으로 동일하다. ACC는 등급 일치율이며 정답률을 뜻하지 않는다.</w:t>
      </w:r>
    </w:p>
    <w:tbl>
      <w:tblPr>
        <w:tblW w:type="auto" w:w="0"/>
        <w:jc w:val="center"/>
        <w:tblLayout w:type="fixed"/>
        <w:tblLook w:firstColumn="1" w:firstRow="1" w:lastColumn="0" w:lastRow="0" w:noHBand="0" w:noVBand="1" w:val="04A0"/>
      </w:tblPr>
      <w:tblGrid>
        <w:gridCol w:w="1555"/>
        <w:gridCol w:w="1354"/>
        <w:gridCol w:w="3024"/>
        <w:gridCol w:w="3024"/>
        <w:gridCol w:w="3384"/>
        <w:gridCol w:w="1181"/>
      </w:tblGrid>
      <w:tr>
        <w:trPr>
          <w:cantSplit/>
          <w:tblHeader/>
        </w:trPr>
        <w:tc>
          <w:tcPr>
            <w:tcW w:type="dxa" w:w="1555"/>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sz w:val="17"/>
              </w:rPr>
              <w:t>지표</w:t>
            </w:r>
          </w:p>
        </w:tc>
        <w:tc>
          <w:tcPr>
            <w:tcW w:type="dxa" w:w="135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sz w:val="17"/>
              </w:rPr>
              <w:t>원판독</w:t>
              <w:br/>
              <w:t>조건</w:t>
            </w:r>
          </w:p>
        </w:tc>
        <w:tc>
          <w:tcPr>
            <w:tcW w:type="dxa" w:w="302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sz w:val="17"/>
              </w:rPr>
              <w:t>원판독–현재 첫 판독</w:t>
              <w:br/>
              <w:t>[95% CI]</w:t>
            </w:r>
          </w:p>
        </w:tc>
        <w:tc>
          <w:tcPr>
            <w:tcW w:type="dxa" w:w="302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sz w:val="17"/>
              </w:rPr>
              <w:t>전체 재판독 내 변동</w:t>
              <w:br/>
              <w:t>[95% CI]</w:t>
            </w:r>
          </w:p>
        </w:tc>
        <w:tc>
          <w:tcPr>
            <w:tcW w:type="dxa" w:w="338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sz w:val="17"/>
              </w:rPr>
              <w:t>차이</w:t>
              <w:br/>
              <w:t>분수 및 점추정 [95% CI]</w:t>
            </w:r>
          </w:p>
        </w:tc>
        <w:tc>
          <w:tcPr>
            <w:tcW w:type="dxa" w:w="1181"/>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sz w:val="17"/>
              </w:rPr>
              <w:t>반복 변동</w:t>
              <w:br/>
              <w:t>초과</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RB 전체 ACC</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2024 비보조</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165/249 = 66.27%</w:t>
              <w:br/>
              <w:t>[56.13, 75.53]%</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252/324 = 77.78%</w:t>
              <w:br/>
              <w:t>[71.10, 83.73]%</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-86/747 = -11.51%p</w:t>
              <w:br/>
              <w:t>[-20.61, -3.06]%p</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확인</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RB 전체 ACC</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2026 AI 보조</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52/75 = 69.33%</w:t>
              <w:br/>
              <w:t>[57.33, 81.63]%</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252/324 = 77.78%</w:t>
              <w:br/>
              <w:t>[71.10, 83.73]%</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-19/225 = -8.44%p</w:t>
              <w:br/>
              <w:t>[-21.73, 5.58]%p</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판단 불충분</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RB 전체 ACC</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전체</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217/324 = 66.98%</w:t>
              <w:br/>
              <w:t>[58.82, 74.63]%</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252/324 = 77.78%</w:t>
              <w:br/>
              <w:t>[71.10, 83.73]%</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-35/324 = -10.80%p</w:t>
              <w:br/>
              <w:t>[-18.59, -3.24]%p</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확인</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RB 전체 MAE</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2024 비보조</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90/249 = 0.361</w:t>
              <w:br/>
              <w:t>[0.259, 0.476]</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73/324 = 0.225</w:t>
              <w:br/>
              <w:t>[0.164, 0.296]</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3661/26892 = +0.136</w:t>
              <w:br/>
              <w:t>[0.045, 0.237]</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확인</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RB 전체 MAE</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2026 AI 보조</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23/75 = 0.307</w:t>
              <w:br/>
              <w:t>[0.184, 0.427]</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73/324 = 0.225</w:t>
              <w:br/>
              <w:t>[0.164, 0.296]</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659/8100 = +0.081</w:t>
              <w:br/>
              <w:t>[-0.060, 0.215]</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판단 불충분</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RB 전체 MAE</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전체</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113/324 = 0.349</w:t>
              <w:br/>
              <w:t>[0.266, 0.439]</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73/324 = 0.225</w:t>
              <w:br/>
              <w:t>[0.164, 0.296]</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10/81 = +0.123</w:t>
              <w:br/>
              <w:t>[0.044, 0.207]</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확인</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4 대 ≤3</w:t>
              <w:br/>
              <w:t>경계 불일치율</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2024 비보조</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22/249 = 8.84%</w:t>
              <w:br/>
              <w:t>[3.38, 15.41]%</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14/324 = 4.32%</w:t>
              <w:br/>
              <w:t>[2.04, 6.88]%</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607/13446 = +4.51%p</w:t>
              <w:br/>
              <w:t>[0.22, 9.53]%p</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확인</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4 대 ≤3</w:t>
              <w:br/>
              <w:t>경계 불일치율</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2026 AI 보조</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8/75 = 10.67%</w:t>
              <w:br/>
              <w:t>[0.00, 25.81]%</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14/324 = 4.32%</w:t>
              <w:br/>
              <w:t>[2.04, 6.88]%</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257/4050 = +6.35%p</w:t>
              <w:br/>
              <w:t>[-4.46, 20.49]%p</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판단 불충분</w:t>
            </w:r>
          </w:p>
        </w:tc>
      </w:tr>
      <w:tr>
        <w:trPr>
          <w:cantSplit/>
        </w:trPr>
        <w:tc>
          <w:tcPr>
            <w:tcW w:type="dxa" w:w="1555"/>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4 대 ≤3</w:t>
              <w:br/>
              <w:t>경계 불일치율</w:t>
            </w:r>
          </w:p>
        </w:tc>
        <w:tc>
          <w:tcPr>
            <w:tcW w:type="dxa" w:w="135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전체</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30/324 = 9.26%</w:t>
              <w:br/>
              <w:t>[3.97, 15.38]%</w:t>
            </w:r>
          </w:p>
        </w:tc>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14/324 = 4.32%</w:t>
              <w:br/>
              <w:t>[2.04, 6.88]%</w:t>
            </w:r>
          </w:p>
        </w:tc>
        <w:tc>
          <w:tcPr>
            <w:tcW w:type="dxa" w:w="33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4/81 = +4.94%p</w:t>
              <w:br/>
              <w:t>[1.32, 9.09]%p</w:t>
            </w:r>
          </w:p>
        </w:tc>
        <w:tc>
          <w:tcPr>
            <w:tcW w:type="dxa" w:w="1181"/>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2" w:lineRule="exact"/>
            </w:pPr>
            <w:r>
              <w:rPr>
                <w:b w:val="0"/>
                <w:sz w:val="17"/>
              </w:rPr>
              <w:t>확인</w:t>
            </w:r>
          </w:p>
        </w:tc>
      </w:tr>
    </w:tbl>
    <w:p/>
    <w:p>
      <w:r>
        <w:t>차이 = 원판독–현재 첫 판독 지표 − 전체 반복 지표. 분수는 두 비율의 산술적 차이이며 새로운 사건 수/표본 수가 아니다. MAE 분자는 절대 등급 차이의 합이고 단위는 등급이다. ACC·경계 불일치율 차이의 단위는 %p다. 신뢰구간은 연도별 환자 군집 bootstrap 20,000회에서 공통 반복 기준과 함께 계산하였다.</w:t>
      </w:r>
    </w:p>
    <w:p>
      <w:r>
        <w:t>2024년은 ACC·MAE·경계 불일치율 모두에서 현재 반복 변동을 초과하였다. 2026년은 세 지표 모두 반복 변동과 통계적으로 구별되는 차이가 확인되지 않아 초과 판정을 불충분으로 두었다. 전체 ACC 차이의 CI는 [−18.59, −3.24]%p로 양 끝이 음수다.</w:t>
      </w:r>
    </w:p>
    <w:p>
      <w:pPr>
        <w:sectPr>
          <w:pgSz w:w="16834" w:h="11909" w:orient="landscape"/>
          <w:pgMar w:top="922" w:right="936" w:bottom="922" w:left="936" w:header="432" w:footer="432" w:gutter="0"/>
          <w:cols w:space="720"/>
          <w:docGrid w:linePitch="360"/>
        </w:sectPr>
      </w:pPr>
    </w:p>
    <w:p>
      <w:pPr>
        <w:pStyle w:val="Heading1"/>
      </w:pPr>
      <w:r>
        <w:t>7 결과 해석과 고찰</w:t>
      </w:r>
    </w:p>
    <w:p>
      <w:pPr>
        <w:pStyle w:val="Heading2"/>
      </w:pPr>
      <w:r>
        <w:t>7.1 AI 영향의 방향</w:t>
      </w:r>
    </w:p>
    <w:p>
      <w:r>
        <w:t>Phase1은 2026년 라벨이 2024년 라벨보다 상대적으로 높은 방향을 검출하였다. Phase2A에서는 2026년 AI 보조 원판독의 RB 3→4 상향이 2/146건(1.4%)인 반면 4→≤3 하향은 39/73건(53.4%)이었다. 상향률−하향률은 −52.05%p였고 상위 경계의 이동은 하위 경계보다 하향 쪽이었다. 두 단계의 결과는 서로 부합하며, AI 보조 원판독에서 RB 상위 등급을 상대적으로 높게 부여했다는 설명을 지지한다.</w:t>
      </w:r>
    </w:p>
    <w:p>
      <w:pPr>
        <w:pStyle w:val="Heading2"/>
      </w:pPr>
      <w:r>
        <w:t>7.2 판독 기준 안정화 가능성</w:t>
      </w:r>
    </w:p>
    <w:p>
      <w:r>
        <w:t>현재 평가자가 AI 없이 같은 영상을 다시 읽었을 때 RB 등급은 252/324쌍(77.78%)에서 일치했고, 평균 절대 차이는 0.225등급이었다. 2024년 비보조 원판독–현재 첫 판독의 ACC는 66.27%, MAE는 0.361등급으로 이 반복 기준보다 불일치가 컸다. 2026년 AI 보조 원판독–현재 첫 판독의 ACC는 69.33%, MAE는 0.307등급이며, 반복 기준과의 차이 CI가 0을 포함하였다.</w:t>
      </w:r>
    </w:p>
    <w:p>
      <w:r>
        <w:t>임상적으로는 비보조 원판독에서 현재 판독 기준과의 변화가 더 뚜렷하고, AI 보조 원판독에서는 현재 평가자의 반복 변동과 구별할 만큼 큰 차이가 드러나지 않은 양상이다. 이 결과는 AI가 판독 기준을 일정하게 잡아줬을 가능성을 시사한다. 기준 안정화의 해석은 중복 영상에서의 반복 기준 비교에 근거한 가능성으로 제시하고, 통계적으로 충족된 RB 상위 등급 방향성과 근거의 강도를 구분한다.</w:t>
      </w:r>
    </w:p>
    <w:p>
      <w:pPr>
        <w:pStyle w:val="Heading2"/>
      </w:pPr>
      <w:r>
        <w:t>7.3 두 결과가 함께 의미하는 것</w:t>
      </w:r>
    </w:p>
    <w:p>
      <w:r>
        <w:t>등급 기준이 일정해지는 것과 특정 경계에서 등급을 높게 부여하는 것은 서로 다른 성질이다. 판독이 반복 가능하더라도 상위 경계의 위치는 높거나 낮게 놓일 수 있다. 표 1은 경계가 어느 방향으로 바뀌는지를, 표 2는 그 판독 차이가 현재 평가자의 일반적인 반복 변동보다 큰지를 보여준다. 따라서 이 연구의 통합 해석은 “AI 보조가 판독 기준을 일정하게 잡아줬을 가능성과 RB 상위 등급을 상대적으로 높이는 방향성이 함께 관찰되었다”이다.</w:t>
      </w:r>
    </w:p>
    <w:p>
      <w:pPr>
        <w:pStyle w:val="Heading2"/>
      </w:pPr>
      <w:r>
        <w:t>7.4 해석 범위</w:t>
      </w:r>
    </w:p>
    <w:p>
      <w:r>
        <w:t>표 2의 2026년 차이 CI는 0과 반복 변동 초과값을 함께 포함한다. 이 결과는 현재 자료에서 반복 기준과의 유의한 차이가 드러나지 않았다는 범위로 해석한다. 중복 영상에서의 기준 안정화 가능성과 전체 제시에서의 전반적인 정확도 개선은 구분한다. 현재 비보조 재판독은 비교 기준이며 외부 정답으로 설정하지 않았다. 표 1의 원판독 조건·경계 선택성과 표 2의 반복 변동 초과 여부를 함께 보고해 두 질문에 대한 답을 혼합하지 않는다.</w:t>
      </w:r>
    </w:p>
    <w:p>
      <w:r>
        <w:t>설계의 비교 조건은 2024년 비보조, 2026년 AI 보조, 현재 비보조 재판독이다. 동일 영상의 원판독과 현재 판독 비교가 영상 자체의 차이를 고정하며, 전체 반복판독이 현재 판독자의 내부 변동을 제공한다. 이 조건에서 관찰된 방향성을 AI 보조의 영향에 부합하는 결과로 해석한다. 초기 계획에 명시된 판독 간격과 이전 AI 보조 경험의 범위는 원판독 조건 해석에 함께 둔다.</w:t>
      </w:r>
    </w:p>
    <w:p>
      <w:r>
        <w:br w:type="page"/>
      </w:r>
    </w:p>
    <w:p>
      <w:pPr>
        <w:pStyle w:val="Heading1"/>
      </w:pPr>
      <w:r>
        <w:t>8 결론과 분석 범위</w:t>
      </w:r>
    </w:p>
    <w:p>
      <w:pPr>
        <w:pStyle w:val="Heading2"/>
      </w:pPr>
      <w:r>
        <w:t>8.1 최종 결론</w:t>
      </w:r>
    </w:p>
    <w:p>
      <w:r>
        <w:t>Phase1의 양의 방향반전 보정값과 Phase2A의 선택적 하향 수정은 AI 보조 원판독에서 RB 상위 등급이 상대적으로 높게 부여되었다는 설명을 지지한다. 현재 평가자의 전체 반복 변동과 비교하면 2024년 비보조 원판독의 불일치는 반복 변동을 초과했고, 2026년 AI 보조 원판독은 반복 변동과 통계적으로 구별되지 않아 판독 기준 안정화 가능성을 시사한다. 따라서 기준 안정화는 중복 영상 비교에 근거한 가능성으로, RB 상위 등급의 상대적 상향은 단측 가설 조건이 충족된 방향성 결과로 각각 제시한다.</w:t>
      </w:r>
    </w:p>
    <w:p>
      <w:pPr>
        <w:pStyle w:val="Heading2"/>
      </w:pPr>
      <w:r>
        <w:t>8.2 초기 계획과 최종 분석의 연결</w:t>
      </w:r>
    </w:p>
    <w:p>
      <w:r>
        <w:t>초기 계획의 첫 제시·가중 분석은 선정과 모집단 추정의 설계를 설명한다. 최종 표 1은 실제 판독한 전체 1,155개 제시를 동일 가중치로 포함하도록 확정한 분석이다. 표 2는 첫–반복 판독의 순서에 의존하지 않는 세 지표를 사용하며, 반복 기준을 연도별로 나누지 않고 전체로 합쳤다. 최초 판독을 정답으로 놓거나 첫→반복의 방향성 차이를 일반적인 반복 불일치 크기로 해석하지 않는다.</w:t>
      </w:r>
    </w:p>
    <w:p>
      <w:r>
        <w:t>초기 계획의 조건부 방향성 반복 초과값과 최종 표 2의 불일치 크기는 서로 다른 모수다. 표 1의 세 단측 조건 충족은 해당 가설 조건에 대한 결과로 보고하고, 초기 계획에 열거된 모든 민감도 분석이 완료되었다는 뜻으로 확대하지 않는다. 표 2는 반복판독 자체의 변동을 직접 비교하므로 최종 임상 해석의 내부 대조 역할을 담당한다.</w:t>
      </w:r>
    </w:p>
    <w:p>
      <w:pPr>
        <w:pStyle w:val="Heading2"/>
      </w:pPr>
      <w:r>
        <w:t>8.3 원자료와 최종 결과의 구분</w:t>
      </w:r>
    </w:p>
    <w:p>
      <w:r>
        <w:t>1,155는 전체 영상 제시 횟수, 831은 고유 영상 수다. 324는 첫–반복 쌍 수이며 287개 고유 영상에서 나온 값이다. 선정 당시의 원본 세트 800개와 보충 미니시퀀스 구성 수치는 선정 이력을 나타낸다. 최종 분석 분모는 반환된 실제 제시와 반복 판독쌍을 기준으로 하였다. 반복 영상이 여러 쌍에 기여하는 구조는 환자 군집 재표집에서 함께 보존하였다.</w:t>
      </w:r>
    </w:p>
    <w:p>
      <w:pPr>
        <w:pStyle w:val="Heading2"/>
      </w:pPr>
      <w:r>
        <w:t>8.4 전반적인 일치와 안정화 해석</w:t>
      </w:r>
    </w:p>
    <w:p>
      <w:r>
        <w:t>같은 중복 영상 분석에서 2026−2024의 ACC 직접 차이는 +3.07%p, 95% CI [−12.26, +19.18]였다.</w:t>
      </w:r>
    </w:p>
    <w:p>
      <w:r>
        <w:t>같은 중복 영상 분석에서 2026−2024의 MAE 직접 차이는 −0.055등급, 95% CI [−0.224, +0.104]였다.</w:t>
      </w:r>
    </w:p>
    <w:p>
      <w:r>
        <w:t>이 직접 대비는 표 2의 연도별 반복 기준 비교와 별도다. 최종 결론의 중심은 현재 판독자의 전체 반복 변동을 기준으로 한 두 원판독 조건의 양상과, RB 상위 경계에서 확인된 선택적 방향성이다. 기준 안정화 가능성은 이 비교 범위에 한정해 기술한다.</w:t>
      </w:r>
    </w:p>
    <w:p>
      <w:r>
        <w:t>전체 1,155개 제시의 RB 오차 SD는 Git의 최종 해석 파일에서 2024년 0.638, 2026년 0.665로 보고되어 있다. 따라서 중복 영상의 반복 기준 비교에서 제시한 안정화 가능성을 전체 제시의 일관된 산포 감소로 일반화하지 않는다.</w:t>
      </w:r>
    </w:p>
    <w:p>
      <w:r>
        <w:br w:type="page"/>
      </w:r>
    </w:p>
    <w:p>
      <w:pPr>
        <w:pStyle w:val="Heading1"/>
      </w:pPr>
      <w:r>
        <w:t>부록 A Phase1 최신 집계값</w:t>
      </w:r>
    </w:p>
    <w:p>
      <w:pPr>
        <w:pStyle w:val="Heading2"/>
      </w:pPr>
      <w:r>
        <w:t>A1 구조와 분포</w:t>
      </w:r>
    </w:p>
    <w:tbl>
      <w:tblPr>
        <w:tblW w:type="auto" w:w="0"/>
        <w:jc w:val="center"/>
        <w:tblLayout w:type="fixed"/>
        <w:tblLook w:firstColumn="1" w:firstRow="1" w:lastColumn="0" w:lastRow="0" w:noHBand="0" w:noVBand="1" w:val="04A0"/>
      </w:tblPr>
      <w:tblGrid>
        <w:gridCol w:w="5040"/>
        <w:gridCol w:w="2448"/>
        <w:gridCol w:w="2434"/>
      </w:tblGrid>
      <w:tr>
        <w:trPr>
          <w:cantSplit/>
          <w:tblHeader/>
        </w:trPr>
        <w:tc>
          <w:tcPr>
            <w:tcW w:type="dxa" w:w="504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지표</w:t>
            </w:r>
          </w:p>
        </w:tc>
        <w:tc>
          <w:tcPr>
            <w:tcW w:type="dxa" w:w="244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2024</w:t>
            </w:r>
          </w:p>
        </w:tc>
        <w:tc>
          <w:tcPr>
            <w:tcW w:type="dxa" w:w="243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2026</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환자 수</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68</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46</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영상 수</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718</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587</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평균 시퀀스 길이</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10.5588</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12.7609</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평균 등급</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1.6403</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1.4289</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등급 0 비율</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0.1654</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0.2359</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등급 4 비율</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0.093</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0.0703</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악화 전이 비율</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0.1877</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0.1885</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유지 전이 비율</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0.6396</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0.6386</w:t>
            </w:r>
          </w:p>
        </w:tc>
      </w:tr>
      <w:tr>
        <w:trPr>
          <w:cantSplit/>
        </w:trPr>
        <w:tc>
          <w:tcPr>
            <w:tcW w:type="dxa" w:w="50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호전 전이 비율</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0.1727</w:t>
            </w:r>
          </w:p>
        </w:tc>
        <w:tc>
          <w:tcPr>
            <w:tcW w:type="dxa" w:w="243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0.1728</w:t>
            </w:r>
          </w:p>
        </w:tc>
      </w:tr>
    </w:tbl>
    <w:p/>
    <w:p>
      <w:pPr>
        <w:pStyle w:val="Heading2"/>
      </w:pPr>
      <w:r>
        <w:t>A2 상위 경계 영상 특징 AUC</w:t>
      </w:r>
    </w:p>
    <w:tbl>
      <w:tblPr>
        <w:tblW w:type="auto" w:w="0"/>
        <w:jc w:val="center"/>
        <w:tblLayout w:type="fixed"/>
        <w:tblLook w:firstColumn="1" w:firstRow="1" w:lastColumn="0" w:lastRow="0" w:noHBand="0" w:noVBand="1" w:val="04A0"/>
      </w:tblPr>
      <w:tblGrid>
        <w:gridCol w:w="1008"/>
        <w:gridCol w:w="792"/>
        <w:gridCol w:w="1440"/>
        <w:gridCol w:w="2448"/>
        <w:gridCol w:w="1512"/>
        <w:gridCol w:w="2722"/>
      </w:tblGrid>
      <w:tr>
        <w:trPr>
          <w:cantSplit/>
          <w:tblHeader/>
        </w:trPr>
        <w:tc>
          <w:tcPr>
            <w:tcW w:type="dxa" w:w="100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연도</w:t>
            </w:r>
          </w:p>
        </w:tc>
        <w:tc>
          <w:tcPr>
            <w:tcW w:type="dxa" w:w="79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ROI</w:t>
            </w:r>
          </w:p>
        </w:tc>
        <w:tc>
          <w:tcPr>
            <w:tcW w:type="dxa" w:w="144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최고 AUC</w:t>
            </w:r>
          </w:p>
        </w:tc>
        <w:tc>
          <w:tcPr>
            <w:tcW w:type="dxa" w:w="244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특징</w:t>
            </w:r>
          </w:p>
        </w:tc>
        <w:tc>
          <w:tcPr>
            <w:tcW w:type="dxa" w:w="151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순열 p</w:t>
            </w:r>
          </w:p>
        </w:tc>
        <w:tc>
          <w:tcPr>
            <w:tcW w:type="dxa" w:w="272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α=0.0125 충족</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2024</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RT</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0.6491</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median</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0.032</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불충분</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2024</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LT</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0.8331</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uniformity</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0.0007</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2024</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0.6036</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glszm_SAE</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0.0606</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불충분</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2024</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LB</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0.7905</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mean</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0.0007</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2026</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RT</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0.8899</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entropy</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0.0007</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2026</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LT</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0.8973</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median</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0.0007</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2026</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0.8184</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median</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0.0007</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r>
        <w:trPr>
          <w:cantSplit/>
        </w:trPr>
        <w:tc>
          <w:tcPr>
            <w:tcW w:type="dxa" w:w="100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2026</w:t>
            </w:r>
          </w:p>
        </w:tc>
        <w:tc>
          <w:tcPr>
            <w:tcW w:type="dxa" w:w="79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LB</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0.8261</w:t>
            </w:r>
          </w:p>
        </w:tc>
        <w:tc>
          <w:tcPr>
            <w:tcW w:type="dxa" w:w="244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mean</w:t>
            </w:r>
          </w:p>
        </w:tc>
        <w:tc>
          <w:tcPr>
            <w:tcW w:type="dxa" w:w="151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0.0007</w:t>
            </w:r>
          </w:p>
        </w:tc>
        <w:tc>
          <w:tcPr>
            <w:tcW w:type="dxa" w:w="27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충족</w:t>
            </w:r>
          </w:p>
        </w:tc>
      </w:tr>
    </w:tbl>
    <w:p/>
    <w:p>
      <w:r>
        <w:t>영상 특징 AUC는 해당 특징이 기존 등급을 얼마나 구분하는지 측정한다. Phase2A의 재판독 이동률이나 현재 반복 일치율과는 다른 분석이다.</w:t>
      </w:r>
    </w:p>
    <w:p>
      <w:r>
        <w:br w:type="page"/>
      </w:r>
    </w:p>
    <w:p>
      <w:pPr>
        <w:pStyle w:val="Heading1"/>
      </w:pPr>
      <w:r>
        <w:t>부록 B Phase1 보정과 재현성</w:t>
      </w:r>
    </w:p>
    <w:p>
      <w:pPr>
        <w:pStyle w:val="Heading2"/>
      </w:pPr>
      <w:r>
        <w:t>B1 분포 정합 in domain 편향 차이</w:t>
      </w:r>
    </w:p>
    <w:tbl>
      <w:tblPr>
        <w:tblW w:type="auto" w:w="0"/>
        <w:jc w:val="center"/>
        <w:tblLayout w:type="fixed"/>
        <w:tblLook w:firstColumn="1" w:firstRow="1" w:lastColumn="0" w:lastRow="0" w:noHBand="0" w:noVBand="1" w:val="04A0"/>
      </w:tblPr>
      <w:tblGrid>
        <w:gridCol w:w="936"/>
        <w:gridCol w:w="4464"/>
        <w:gridCol w:w="4522"/>
      </w:tblGrid>
      <w:tr>
        <w:trPr>
          <w:cantSplit/>
          <w:tblHeader/>
        </w:trPr>
        <w:tc>
          <w:tcPr>
            <w:tcW w:type="dxa" w:w="936"/>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ROI</w:t>
            </w:r>
          </w:p>
        </w:tc>
        <w:tc>
          <w:tcPr>
            <w:tcW w:type="dxa" w:w="446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정합 Δγ [95% CI]</w:t>
            </w:r>
          </w:p>
        </w:tc>
        <w:tc>
          <w:tcPr>
            <w:tcW w:type="dxa" w:w="452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정합 전 δcorr [95% CI]</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RT</w:t>
            </w:r>
          </w:p>
        </w:tc>
        <w:tc>
          <w:tcPr>
            <w:tcW w:type="dxa" w:w="446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−0.022 [−0.231, +0.175]</w:t>
            </w:r>
          </w:p>
        </w:tc>
        <w:tc>
          <w:tcPr>
            <w:tcW w:type="dxa" w:w="45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+0.071 [−0.045, +0.182]</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LT</w:t>
            </w:r>
          </w:p>
        </w:tc>
        <w:tc>
          <w:tcPr>
            <w:tcW w:type="dxa" w:w="446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−0.044 [−0.221, +0.133]</w:t>
            </w:r>
          </w:p>
        </w:tc>
        <w:tc>
          <w:tcPr>
            <w:tcW w:type="dxa" w:w="45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+0.147 [+0.029, +0.258]</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w:t>
            </w:r>
          </w:p>
        </w:tc>
        <w:tc>
          <w:tcPr>
            <w:tcW w:type="dxa" w:w="446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−0.084 [−0.288, +0.112]</w:t>
            </w:r>
          </w:p>
        </w:tc>
        <w:tc>
          <w:tcPr>
            <w:tcW w:type="dxa" w:w="45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+0.180 [+0.064, +0.289]</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LB</w:t>
            </w:r>
          </w:p>
        </w:tc>
        <w:tc>
          <w:tcPr>
            <w:tcW w:type="dxa" w:w="446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+0.001 [−0.194, +0.198]</w:t>
            </w:r>
          </w:p>
        </w:tc>
        <w:tc>
          <w:tcPr>
            <w:tcW w:type="dxa" w:w="45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+0.087 [−0.031, +0.201]</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전체</w:t>
            </w:r>
          </w:p>
        </w:tc>
        <w:tc>
          <w:tcPr>
            <w:tcW w:type="dxa" w:w="446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−0.037 [−0.192, +0.113]</w:t>
            </w:r>
          </w:p>
        </w:tc>
        <w:tc>
          <w:tcPr>
            <w:tcW w:type="dxa" w:w="452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+0.121 [+0.030, +0.210]</w:t>
            </w:r>
          </w:p>
        </w:tc>
      </w:tr>
    </w:tbl>
    <w:p/>
    <w:p>
      <w:r>
        <w:t>정합 Δγ의 모든 CI는 0을 포함하였다. 정합 보정값과 정합 전 보정값은 각각의 대리 편향으로 계산한 별도 결과다. 최종 주 결과는 본문에 제시한 정합 δcorr를 사용한다.</w:t>
      </w:r>
    </w:p>
    <w:p>
      <w:pPr>
        <w:pStyle w:val="Heading2"/>
      </w:pPr>
      <w:r>
        <w:t>B2 보정 후 ROI 직접 대비</w:t>
      </w:r>
    </w:p>
    <w:tbl>
      <w:tblPr>
        <w:tblW w:type="auto" w:w="0"/>
        <w:jc w:val="center"/>
        <w:tblLayout w:type="fixed"/>
        <w:tblLook w:firstColumn="1" w:firstRow="1" w:lastColumn="0" w:lastRow="0" w:noHBand="0" w:noVBand="1" w:val="04A0"/>
      </w:tblPr>
      <w:tblGrid>
        <w:gridCol w:w="3240"/>
        <w:gridCol w:w="1152"/>
        <w:gridCol w:w="3600"/>
        <w:gridCol w:w="1930"/>
      </w:tblGrid>
      <w:tr>
        <w:trPr>
          <w:cantSplit/>
          <w:tblHeader/>
        </w:trPr>
        <w:tc>
          <w:tcPr>
            <w:tcW w:type="dxa" w:w="324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대비</w:t>
            </w:r>
          </w:p>
        </w:tc>
        <w:tc>
          <w:tcPr>
            <w:tcW w:type="dxa" w:w="1152"/>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추정값</w:t>
            </w:r>
          </w:p>
        </w:tc>
        <w:tc>
          <w:tcPr>
            <w:tcW w:type="dxa" w:w="360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양측 95% CI</w:t>
            </w:r>
          </w:p>
        </w:tc>
        <w:tc>
          <w:tcPr>
            <w:tcW w:type="dxa" w:w="193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단측 tail 비율</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 − LT</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+0.004</w:t>
            </w:r>
          </w:p>
        </w:tc>
        <w:tc>
          <w:tcPr>
            <w:tcW w:type="dxa" w:w="360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[−0.145, +0.151]</w:t>
            </w:r>
          </w:p>
        </w:tc>
        <w:tc>
          <w:tcPr>
            <w:tcW w:type="dxa" w:w="193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0.4764</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 − 평균 RT LT LB</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+0.060</w:t>
            </w:r>
          </w:p>
        </w:tc>
        <w:tc>
          <w:tcPr>
            <w:tcW w:type="dxa" w:w="360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[−0.045, +0.163]</w:t>
            </w:r>
          </w:p>
        </w:tc>
        <w:tc>
          <w:tcPr>
            <w:tcW w:type="dxa" w:w="193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0.1334</w:t>
            </w:r>
          </w:p>
        </w:tc>
      </w:tr>
      <w:tr>
        <w:trPr>
          <w:cantSplit/>
        </w:trPr>
        <w:tc>
          <w:tcPr>
            <w:tcW w:type="dxa" w:w="32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 − 평균 RT LB</w:t>
            </w:r>
          </w:p>
        </w:tc>
        <w:tc>
          <w:tcPr>
            <w:tcW w:type="dxa" w:w="115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+0.087</w:t>
            </w:r>
          </w:p>
        </w:tc>
        <w:tc>
          <w:tcPr>
            <w:tcW w:type="dxa" w:w="360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[−0.009, +0.185]</w:t>
            </w:r>
          </w:p>
        </w:tc>
        <w:tc>
          <w:tcPr>
            <w:tcW w:type="dxa" w:w="193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0.0392</w:t>
            </w:r>
          </w:p>
        </w:tc>
      </w:tr>
    </w:tbl>
    <w:p/>
    <w:p>
      <w:r>
        <w:t>ROI 대비는 다중성을 보정하지 않은 탐색적 결과다. 양측 CI와 단측 bootstrap tail 비율을 구분해 읽는다. RB와 LT의 직접 차이 CI는 0을 포함한다.</w:t>
      </w:r>
    </w:p>
    <w:p>
      <w:pPr>
        <w:pStyle w:val="Heading2"/>
      </w:pPr>
      <w:r>
        <w:t>B3 Phase1 기존 재현성 분석</w:t>
      </w:r>
    </w:p>
    <w:tbl>
      <w:tblPr>
        <w:tblW w:type="auto" w:w="0"/>
        <w:jc w:val="center"/>
        <w:tblLayout w:type="fixed"/>
        <w:tblLook w:firstColumn="1" w:firstRow="1" w:lastColumn="0" w:lastRow="0" w:noHBand="0" w:noVBand="1" w:val="04A0"/>
      </w:tblPr>
      <w:tblGrid>
        <w:gridCol w:w="936"/>
        <w:gridCol w:w="2304"/>
        <w:gridCol w:w="1584"/>
        <w:gridCol w:w="1440"/>
        <w:gridCol w:w="3658"/>
      </w:tblGrid>
      <w:tr>
        <w:trPr>
          <w:cantSplit/>
          <w:tblHeader/>
        </w:trPr>
        <w:tc>
          <w:tcPr>
            <w:tcW w:type="dxa" w:w="936"/>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ROI</w:t>
            </w:r>
          </w:p>
        </w:tc>
        <w:tc>
          <w:tcPr>
            <w:tcW w:type="dxa" w:w="230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자기일치 ACC</w:t>
            </w:r>
          </w:p>
        </w:tc>
        <w:tc>
          <w:tcPr>
            <w:tcW w:type="dxa" w:w="158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가중 κ</w:t>
            </w:r>
          </w:p>
        </w:tc>
        <w:tc>
          <w:tcPr>
            <w:tcW w:type="dxa" w:w="1440"/>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MAE</w:t>
            </w:r>
          </w:p>
        </w:tc>
        <w:tc>
          <w:tcPr>
            <w:tcW w:type="dxa" w:w="365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sz w:val="18"/>
              </w:rPr>
              <w:t>모델–판독자 일치</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RT</w:t>
            </w:r>
          </w:p>
        </w:tc>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79.83%</w:t>
            </w:r>
          </w:p>
        </w:tc>
        <w:tc>
          <w:tcPr>
            <w:tcW w:type="dxa" w:w="15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0.8872</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0.2101</w:t>
            </w:r>
          </w:p>
        </w:tc>
        <w:tc>
          <w:tcPr>
            <w:tcW w:type="dxa" w:w="365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77.51%</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LT</w:t>
            </w:r>
          </w:p>
        </w:tc>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88.24%</w:t>
            </w:r>
          </w:p>
        </w:tc>
        <w:tc>
          <w:tcPr>
            <w:tcW w:type="dxa" w:w="15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0.8481</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0.1261</w:t>
            </w:r>
          </w:p>
        </w:tc>
        <w:tc>
          <w:tcPr>
            <w:tcW w:type="dxa" w:w="365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57.92%</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RB</w:t>
            </w:r>
          </w:p>
        </w:tc>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68.91%</w:t>
            </w:r>
          </w:p>
        </w:tc>
        <w:tc>
          <w:tcPr>
            <w:tcW w:type="dxa" w:w="15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0.899</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0.3361</w:t>
            </w:r>
          </w:p>
        </w:tc>
        <w:tc>
          <w:tcPr>
            <w:tcW w:type="dxa" w:w="365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50.60%</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LB</w:t>
            </w:r>
          </w:p>
        </w:tc>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82.35%</w:t>
            </w:r>
          </w:p>
        </w:tc>
        <w:tc>
          <w:tcPr>
            <w:tcW w:type="dxa" w:w="15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0.9034</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0.1765</w:t>
            </w:r>
          </w:p>
        </w:tc>
        <w:tc>
          <w:tcPr>
            <w:tcW w:type="dxa" w:w="365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67.63%</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전체</w:t>
            </w:r>
          </w:p>
        </w:tc>
        <w:tc>
          <w:tcPr>
            <w:tcW w:type="dxa" w:w="230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79.83%</w:t>
            </w:r>
          </w:p>
        </w:tc>
        <w:tc>
          <w:tcPr>
            <w:tcW w:type="dxa" w:w="158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0.9049</w:t>
            </w:r>
          </w:p>
        </w:tc>
        <w:tc>
          <w:tcPr>
            <w:tcW w:type="dxa" w:w="144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0.2122</w:t>
            </w:r>
          </w:p>
        </w:tc>
        <w:tc>
          <w:tcPr>
            <w:tcW w:type="dxa" w:w="365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40" w:lineRule="exact"/>
            </w:pPr>
            <w:r>
              <w:rPr>
                <w:b w:val="0"/>
                <w:sz w:val="18"/>
              </w:rPr>
              <w:t>63.42%</w:t>
            </w:r>
          </w:p>
        </w:tc>
      </w:tr>
    </w:tbl>
    <w:p/>
    <w:p>
      <w:r>
        <w:t>이 표는 Phase1의 기존 재현성 자료다. Phase2A의 전체 324쌍 반복 기준과 대상 및 분모가 다르므로 표 2의 기준값으로 대체하여 사용하지 않는다.</w:t>
      </w:r>
    </w:p>
    <w:p>
      <w:r>
        <w:br w:type="page"/>
      </w:r>
    </w:p>
    <w:p>
      <w:pPr>
        <w:pStyle w:val="Heading1"/>
      </w:pPr>
      <w:r>
        <w:t>부록 C 수치 출처와 재현성</w:t>
      </w:r>
    </w:p>
    <w:p>
      <w:r>
        <w:t>최종 수치 기준은 QC_Drift Git 커밋 1ae1997841a3fd0b4310dfb7f83a90c56925d8bf이다. 문서의 숫자 표는 해당 커밋의 CSV를 직접 읽어 구성하였다. 과거 JSON과 초안의 수치를 최신 결과와 혼합하지 않았다.</w:t>
      </w:r>
    </w:p>
    <w:tbl>
      <w:tblPr>
        <w:tblW w:type="auto" w:w="0"/>
        <w:jc w:val="center"/>
        <w:tblLayout w:type="fixed"/>
        <w:tblLook w:firstColumn="1" w:firstRow="1" w:lastColumn="0" w:lastRow="0" w:noHBand="0" w:noVBand="1" w:val="04A0"/>
      </w:tblPr>
      <w:tblGrid>
        <w:gridCol w:w="3024"/>
        <w:gridCol w:w="6898"/>
      </w:tblGrid>
      <w:tr>
        <w:trPr>
          <w:cantSplit/>
          <w:tblHeader/>
        </w:trPr>
        <w:tc>
          <w:tcPr>
            <w:tcW w:type="dxa" w:w="3024"/>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sz w:val="17"/>
              </w:rPr>
              <w:t>문서 내용</w:t>
            </w:r>
          </w:p>
        </w:tc>
        <w:tc>
          <w:tcPr>
            <w:tcW w:type="dxa" w:w="6898"/>
            <w:vAlign w:val="center"/>
            <w:shd w:fill="E7EDF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sz w:val="17"/>
              </w:rPr>
              <w:t>Git 결과 파일</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Phase1 구조와 분포</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Result/Phase1/A_analysis/a1_structure.csv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Phase1 영상 특징 AUC</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Result/Phase1/A_analysis/a2_label_image_auc.csv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Phase1 재현성</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Result/Phase1/A_analysis/a3_reproducibility.csv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Phase1 방향반전·보정·ROI 대비</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Result/Phase1/B_summary/b1_summary.csv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표 1 최종 값</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Result/Phase2/C_analysis/c4_table1.csv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표 2 최종 값</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Result/Phase2/C_analysis/c4_table2.csv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표 1 원집계·검정</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c2_transition_counts.csv / c2_hypothesis_results.csv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표 2 원집계·반복 구성</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c3_repeat_variability.csv / c3_repeat_counts.csv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직접 조건 대비</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Result/Phase2/C_analysis/c3_year_contrasts.csv</w:t>
            </w:r>
          </w:p>
        </w:tc>
      </w:tr>
      <w:tr>
        <w:trPr>
          <w:cantSplit/>
        </w:trPr>
        <w:tc>
          <w:tcPr>
            <w:tcW w:type="dxa" w:w="302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최종 해석</w:t>
            </w:r>
          </w:p>
        </w:tc>
        <w:tc>
          <w:tcPr>
            <w:tcW w:type="dxa" w:w="68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before="40" w:line="230" w:lineRule="exact"/>
            </w:pPr>
            <w:r>
              <w:rPr>
                <w:b w:val="0"/>
                <w:sz w:val="17"/>
              </w:rPr>
              <w:t>Result/Phase2/C_analysis/c4_interpretation.txt</w:t>
            </w:r>
          </w:p>
        </w:tc>
      </w:tr>
    </w:tbl>
    <w:p/>
    <w:p>
      <w:r>
        <w:t>표 1·2의 분자/분모, 산술 차이, 신뢰구간 부호와 판정, 전체 324쌍의 공통 기준을 대조하였다. Phase1은 δcorr=δobs+Δγ/2와 ROI 직접 대비를 검산하였다. 환자·영상 식별자와 개별 판독 원자료는 문서에 포함하지 않았다.</w:t>
      </w:r>
    </w:p>
    <w:p>
      <w:pPr>
        <w:pStyle w:val="Heading2"/>
      </w:pPr>
      <w:r>
        <w:t>참고 문서</w:t>
      </w:r>
    </w:p>
    <w:p>
      <w:r>
        <w:t>통합 검토 문서는 draft_phase1.md, guide_phase2.md, plan_phase2A.md, plan_phase2A_terms_variables.md, Phase2A_확정 보고서.docx, Phase2A_확정 보고서_old.docx다. 초기 선정 보고서는 설계와 선정 이력으로 유지하고 본 문서를 최종 결과·해석 문서로 사용한다.</w:t>
      </w:r>
    </w:p>
    <w:p>
      <w:pPr>
        <w:pStyle w:val="Heading2"/>
      </w:pPr>
      <w:r>
        <w:t>방법론 참고문헌</w:t>
      </w:r>
    </w:p>
    <w:p>
      <w:r>
        <w:t>Field CA, Welsh AH. Bootstrapping clustered data. Journal of the Royal Statistical Society Series B. 2007;69:369–390.</w:t>
      </w:r>
    </w:p>
    <w:p>
      <w:r>
        <w:t>Kottner J, Audigé L, Brorson S, et al. Guidelines for Reporting Reliability and Agreement Studies were proposed. Journal of Clinical Epidemiology. 2011;64:96–106.</w:t>
      </w:r>
    </w:p>
    <w:p>
      <w:r>
        <w:t>Berger RL. Multiparameter hypothesis testing and acceptance sampling. Technometrics. 1982;24:295–300.</w:t>
      </w:r>
    </w:p>
    <w:p>
      <w:r>
        <w:t>Cohen J. Weighted kappa: Nominal scale agreement with provision for scaled disagreement or partial credit. Psychological Bulletin. 1968;70:213–220.</w:t>
      </w:r>
    </w:p>
    <w:sectPr w:rsidR="00FC693F" w:rsidRPr="0006063C" w:rsidSect="00034616">
      <w:pgSz w:w="11909" w:h="16834"/>
      <w:pgMar w:top="922" w:right="936" w:bottom="92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00" w:lineRule="exact" w:after="14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440" w:lineRule="exact"/>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40" w:lineRule="exact"/>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맑은 고딕" w:hAnsi="맑은 고딕"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방향 반전 분석과 정보 비노출 재판독을 통한 AI 보조 판독의 등급 기준 평가</dc:title>
  <dc:subject>QC Drift Phase1 Phase2A 최종 결과</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