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방향 반전 분석과 정보 비노출 재판독을 통한</w:t>
        <w:br/>
        <w:t>AI 보조 판독의 등급 기준 평가</w:t>
      </w:r>
    </w:p>
    <w:p>
      <w:pPr>
        <w:pStyle w:val="Heading1"/>
      </w:pPr>
      <w:r>
        <w:t>초록</w:t>
      </w:r>
    </w:p>
    <w:p>
      <w:r>
        <w:t>목적  흉부 X선의 순서형 등급에서 AI 비보조 및 보조 원판독의 상대적 차이를 평가하고, RB 상위 등급의 방향성과 판독 기준 안정화 가능성을 구분하였다.</w:t>
      </w:r>
    </w:p>
    <w:p>
      <w:r>
        <w:t>방법  동일 판독자의 2024년 AI 비보조 원판독과 2026년 AI 보조 원판독을 대상으로 두 단계의 분석을 수행하였다. Phase1은 학습·평가 방향을 반전한 예측 편향을 분해하고 분포 정합 in-domain 편향 차이로 보정하였다. Phase2A는 현재 AI 비보조·정보 비노출 재판독의 전체 1,155개 제시를 분석하였다. RB 상위 경계의 이동은 상향·하향률과 사전 지정 단측 기준으로 평가하였다. 중복 영상 287개의 324개 첫–반복 쌍에서는 전체 반복판독을 공통 기준으로 원판독–현재 첫 판독의 일치율과 절대 등급 차이를 비교하였다. Phase2A 신뢰구간은 연도별 환자 군집 bootstrap 20,000회로 산출하였다.</w:t>
      </w:r>
    </w:p>
    <w:p>
      <w:r>
        <w:t>결과  Phase1의 RB 보정 방향반전 값은 +0.198 [0.066, 0.324]등급이었다. Phase2A에서 2026년 RB 3→4 상향은 2/146 (1.370%), 4→≤3 하향은 39/73 (53.425%)였으며, 상향률−하향률은 −52.055%p, 95% CI [−71.765, −28.687]였다. 2026년 AI 보조 상향 가설의 세 단측 조건이 충족되었다. 전체 반복판독의 일치율은 77.778%, MAE는 0.225등급이었다. 반복 기준 대비 MAE 차이는 2024년 +0.136 [0.045, 0.237]등급, 2026년 +0.081 [−0.060, 0.215]등급이었다.</w:t>
      </w:r>
    </w:p>
    <w:p>
      <w:r>
        <w:t>결론  Phase1의 상대적 상향 신호와 Phase2A의 선택적 하향 수정은 AI 보조 원판독에서 RB 상위 등급을 상대적으로 높게 부여했다는 설명을 지지한다. 2024년 비보조 원판독의 불일치는 현재 반복 변동을 초과했고, 2026년 AI 보조 원판독의 불일치는 반복 변동과 통계적으로 구별되지 않았다. 이 양상은 AI 보조에 의한 판독 기준 안정화 가능성을 시사하며, 상위 등급 방향성의 검정 결과와 구분해 해석한다.</w:t>
      </w:r>
    </w:p>
    <w:p>
      <w:r>
        <w:t>핵심어  AI 보조 판독, 판독 기준, 방향 반전, 정보 비노출 재판독, 반복판독 변동, 흉부 X선</w:t>
      </w:r>
    </w:p>
    <w:p>
      <w:r>
        <w:br w:type="page"/>
      </w:r>
    </w:p>
    <w:p>
      <w:pPr>
        <w:pStyle w:val="Heading1"/>
      </w:pPr>
      <w:r>
        <w:t>1 서론</w:t>
      </w:r>
    </w:p>
    <w:p>
      <w:r>
        <w:t>서로 다른 원판독 조건에서 생성된 의료영상 등급을 통합하려면 영상과 환자군의 차이뿐 아니라 판독 기준의 일관성을 확인해야 한다. 동일 판독자라도 AI 보조 여부와 판독 시점에 따라 같은 영상에 부여하는 등급이 달라질 수 있다. 이러한 차이를 단순한 일치율로만 평가하면 특정 경계의 체계적인 이동과 일반적인 반복 변동을 구분하기 어렵다.</w:t>
      </w:r>
    </w:p>
    <w:p>
      <w:r>
        <w:t>학습·평가 방향을 바꾸는 교차 검증은 데이터셋 사이의 예측 편향을 비교할 수 있게 한다. 본 연구의 Phase1은 두 방향의 편향을 반차와 반합으로 분해하고, 분포 정합 in-domain 편향을 이용해 방향 비대칭을 보정하였다. 이 분석은 어느 조건의 라벨이 상대적으로 높은지를 보여주지만, 현재 판독 기준에서 실제로 어떤 경계가 어느 방향으로 이동하는지는 직접 재판독으로 확인해야 한다.</w:t>
      </w:r>
    </w:p>
    <w:p>
      <w:r>
        <w:t>Phase2A는 동일 판독자가 과거 라벨과 AI 출력을 보지 않고 영상을 다시 판독하도록 설계하였다. 재판독 내 중복 영상은 현재 평가자가 AI 없이 같은 영상을 반복 판독할 때의 변동을 측정하는 내부 대조다. 반복 일치도와 원판독–현재 일치도를 함께 평가하면, 관찰된 판독 차이가 현재 평가자의 일반적인 반복 변동을 넘어서는지 확인할 수 있다.[1,2]</w:t>
      </w:r>
    </w:p>
    <w:p>
      <w:r>
        <w:t>본 연구는 두 질문을 구분하였다. 첫째, 2026년 AI 보조 원판독의 RB 상위 경계가 현재 비보조 재판독에서 선택적으로 낮아지는가. 둘째, 2024년 비보조 및 2026년 AI 보조 원판독과 현재 첫 판독 사이의 불일치가 전체 반복판독 변동보다 큰가. 전자는 AI 보조와 관련된 상위 등급 방향성을, 후자는 판독 기준 안정화 가능성을 평가한다.</w:t>
      </w:r>
    </w:p>
    <w:p>
      <w:pPr>
        <w:pStyle w:val="Heading1"/>
      </w:pPr>
      <w:r>
        <w:t>2 방법</w:t>
      </w:r>
    </w:p>
    <w:p>
      <w:pPr>
        <w:pStyle w:val="Heading2"/>
      </w:pPr>
      <w:r>
        <w:t>2.1 연구 대상과 판독 조건</w:t>
      </w:r>
    </w:p>
    <w:p>
      <w:r>
        <w:t>Phase1은 2024년 718장·68명과 2026년 587장·46명의 흉부 X선을 분석하였다. 각 영상에는 우상(RT), 좌상(LT), 우하(RB), 좌하(LB)의 네 ROI에 대해 0–4등급이 부여되어 있다. 원판독자는 동일하며, 2024년에는 AI 없이, 2026년에는 AI 도움을 받아 판독하였다. Phase2A의 공통 재판독은 동일 판독자가 AI 출력 없이 수행하였다.</w:t>
      </w:r>
    </w:p>
    <w:p>
      <w:r>
        <w:t>Phase1은 구조와 등급 분포, 영상 특징에 따른 인접 등급 분리도, 기존 판독자 재현성, 교차 방향반전, in-domain 보정 및 양성·음성 대조를 순차적으로 평가하였다. Phase2A는 이 과정에서 우선 후보로 선정한 RB 상위 경계와 대조 경계를 정보 비노출 재판독으로 평가하였다.</w:t>
      </w:r>
    </w:p>
    <w:p>
      <w:r>
        <w:br w:type="page"/>
      </w:r>
    </w:p>
    <w:p>
      <w:pPr>
        <w:pStyle w:val="Heading2"/>
      </w:pPr>
      <w:r>
        <w:t>2.2 Phase1 방향반전과 보정</w:t>
      </w:r>
    </w:p>
    <w:p>
      <w:r>
        <w:t>예측 편향은 예측 등급에서 평가 라벨 등급을 뺀 평균으로 정의하였다. 정방향 fwd는 2024년 학습→2026년 평가, 역방향 rev는 2026년 학습→2024년 평가다. 두 방향의 반차 δobs와 반합 γ를 계산하고, 분포 정합 in-domain 편향 차이 Δγ로 보정하였다.</w:t>
      </w:r>
    </w:p>
    <w:p>
      <w:r>
        <w:t>δobs = (rev − fwd) / 2</w:t>
        <w:br/>
        <w:t>γ = (rev + fwd) / 2</w:t>
        <w:br/>
        <w:t>Δγ = bias(2024→2024) − bias(2026→2026)</w:t>
        <w:br/>
        <w:t>δcorr = δobs + Δγ / 2</w:t>
      </w:r>
    </w:p>
    <w:p>
      <w:r>
        <w:t>양의 δcorr는 2026년 라벨이 2024년 라벨보다 상대적으로 높은 방향을 의미한다. 이 해석은 방향별 모델 오차의 대칭성, 학습 라벨 오프셋의 반영, 코호트 분포 영향의 조정에 의존한다. in-domain 보정은 방향 비대칭의 대리값을 이용하는 민감도 분석으로 해석하였다. 기존 체크포인트의 예측에서 환자별 편향 벡터를 구성하고 5,000회 재표집하였다. ROI 간 공분산을 보존하기 위해 같은 환자의 네 ROI를 함께 재표집하였으며, 보정 신뢰구간은 점추정 중심에 맞춰 산출하였다.</w:t>
      </w:r>
    </w:p>
    <w:p>
      <w:r>
        <w:t>영상 특징 분석은 평균·중앙값·엔트로피·균일도·GLRLM SRE·GLSZM SAE의 여섯 특징으로 인접 등급 분리도를 평가하였다. 방향무관 AUC의 최댓값을 보고하고, 특징 선택의 영향은 1,500회 순열로 보정하였다. 네 ROI에 대한 유의수준은 5%/4로 설정하였다. 알려진 라벨 오프셋의 양성대조와 학습량 비대칭의 음성대조로 방향반전 추정의 성질을 점검하였다.</w:t>
      </w:r>
    </w:p>
    <w:p>
      <w:pPr>
        <w:pStyle w:val="Heading2"/>
      </w:pPr>
      <w:r>
        <w:t>2.3 Phase2A 영상 선정과 정보 비노출 재판독</w:t>
      </w:r>
    </w:p>
    <w:p>
      <w:r>
        <w:t>RB 기존 등급 3·4를 포함하는 길이 7의 미니시퀀스를 구성하고 대조 영상을 균형 표집하였다. 미니시퀀스 내부에서는 원자료 순서를 유지하고, 미니시퀀스 사이의 제시 순서를 무작위화하였다. 기존 라벨, AI 예측, 촬영 연도, 환자 식별자, 선정 경로와 반복 여부는 판독 화면에서 가렸다. 선정된 미니시퀀스의 모든 영상을 네 ROI에 대해 판독하였다.</w:t>
      </w:r>
    </w:p>
    <w:p>
      <w:r>
        <w:t>총 165개 미니시퀀스에서 1,155개 영상 제시가 이루어졌다. 고유 영상과 첫 제시는 831개이며 반복 제시는 324개였다. 반환된 판독값은 제시 식별자로 연결하고, 복수 저장본이 있는 경우 유효한 최신 저장본을 채택하였다. 최종 방향성 분석은 반복 제시를 포함한 전체 1,155개 제시를 동일 가중치로 사용하였다. 최초 제시 중심의 초기 계획에서 분석 대상을 전체 제시로 확정했으며, 결과의 해석 범위는 실제 판독한 제시 집합이다.</w:t>
      </w:r>
    </w:p>
    <w:p>
      <w:pPr>
        <w:pStyle w:val="Heading2"/>
      </w:pPr>
      <w:r>
        <w:t>2.4 방향성 이동과 가설 조건</w:t>
      </w:r>
    </w:p>
    <w:p>
      <w:r>
        <w:t>상향률은 기존 3 중 현재 4가 된 비율, 하향률은 기존 4 중 현재 ≤3이 된 비율이다. 하향에는 4→3뿐 아니라 4→2 이하도 포함된다. 두 비율의 차이를 방향성 이동으로 정의하고, 2024년의 값을 T, 2026년의 값을 U로 표기하였다. 분모는 선정 경로가 아닌 기존 등급으로 정하였다. 원판독 조건 선택성은 T−U, 경계 선택성은 같은 연도의 3↔4 이동에서 2↔3 이동을 뺀 값이다.</w:t>
      </w:r>
    </w:p>
    <w:p>
      <w:r>
        <w:t>가설 ①은 2024년 상향 수정으로 T&gt;0, T−U&gt;0, 2024년 경계 선택성&gt;0을 요구하였다. 가설 ②는 2026년 AI 보조 상향으로 U&lt;0, T−U&gt;0, 2026년 경계 선택성&lt;0을 요구하였다. 양의 조건은 단측 95% 하한&gt;0, 음의 조건은 단측 95% 상한&lt;0일 때 충족으로 판정하였다. 모든 조건의 공동 충족과 개별 조건의 판정을 구분하였다.[3]</w:t>
      </w:r>
    </w:p>
    <w:p>
      <w:r>
        <w:br w:type="page"/>
      </w:r>
    </w:p>
    <w:p>
      <w:pPr>
        <w:pStyle w:val="Heading2"/>
      </w:pPr>
      <w:r>
        <w:t>2.5 전체 반복판독 기준과 통계 분석</w:t>
      </w:r>
    </w:p>
    <w:p>
      <w:r>
        <w:t>중복 영상 287개에서 각 반복 제시를 해당 영상의 현재 첫 판독과 연결하여 324쌍을 구성하였다. 2024년은 220개 영상·249쌍·41명, 2026년은 67개 영상·75쌍·16명이었다. 원판독–현재 첫 판독의 지표도 이 쌍과 같은 가중치로 계산하였다. 세 번 이상 제시된 영상은 반복 횟수만큼 첫 판독과 연결하였다. 현재 평가자의 반복 기준은 연도별로 나누지 않고 전체 324쌍으로 고정하였다.</w:t>
      </w:r>
    </w:p>
    <w:p>
      <w:r>
        <w:t>ACC는 정확한 등급 일치율, MAE는 절대 등급 차이의 평균, 경계 불일치율은 한 판독이 4이고 다른 판독이 ≤3인 비율로 정의하였다. 세 지표는 두 판독의 순서를 뒤집어도 동일하다. 차이는 원판독–현재 첫 판독의 지표에서 전체 반복 지표를 뺀 값이다. ACC 차이의 양측 95% CI 상한&lt;0, MAE 및 경계 불일치율 차이의 CI 하한&gt;0이면 반복 변동 초과로 판정하였다.</w:t>
      </w:r>
    </w:p>
    <w:p>
      <w:r>
        <w:t>Phase2A 신뢰구간은 연도별 환자 군집 bootstrap 20,000회로 계산하였다.[1] 선택된 환자의 모든 영상·반복쌍을 함께 포함하고, 각 표의 지표와 대비를 같은 재표집에서 계산하였다. 표 2에서는 공통 반복 기준도 매 재표집에서 다시 계산하여 그 불확실성을 반영하였다. 단측 조건 판정과 양측 차이 판정을 구분하였으며, 판단에는 반올림 전 수치를 사용하였다. 보고값은 소수점 셋째 자리로 반올림하고 p&lt;0.001은 부등호로 표기하였다.</w:t>
      </w:r>
    </w:p>
    <w:p>
      <w:pPr>
        <w:pStyle w:val="Heading1"/>
      </w:pPr>
      <w:r>
        <w:t>3 결과</w:t>
      </w:r>
    </w:p>
    <w:p>
      <w:pPr>
        <w:pStyle w:val="Heading2"/>
      </w:pPr>
      <w:r>
        <w:t>3.1 Phase1 상대적 등급 차이</w:t>
      </w:r>
    </w:p>
    <w:p>
      <w:r>
        <w:t>평균 등급은 2024년 1.640와 2026년 1.429였다. RB 상위 경계의 최고 AUC는 2024년 0.604(p=0.061), 2026년 0.818(p&lt;0.001)이었다. RB의 교차 예측 편향은 정방향 −0.308등급에서 역방향 +0.173등급으로 반전되었다.</w:t>
      </w:r>
    </w:p>
    <w:p>
      <w:r>
        <w:t>보정 δcorr는 RB +0.198 [0.066, 0.324], LT +0.194 [0.069, 0.316], RT +0.113 [−0.020, 0.239], LB +0.109 [−0.022, 0.235]등급이었다(보충표 S2).</w:t>
      </w:r>
    </w:p>
    <w:p>
      <w:r>
        <w:t>보정 후 RB와 LT의 신뢰구간은 0을 제외했고, RT와 LB는 0을 포함하였다. RB는 상위 경계의 낮은 영상 특징 분리도와 기존 재현성 결과를 함께 고려한 우선 재판독 후보였다. 양성대조의 복원 기울기는 0.941였으며, 상세 Phase1 결과는 보충표에 제시하였다.</w:t>
      </w:r>
    </w:p>
    <w:p>
      <w:pPr>
        <w:pStyle w:val="Heading2"/>
      </w:pPr>
      <w:r>
        <w:t>3.2 Phase2A RB 상위 경계의 이동</w:t>
      </w:r>
    </w:p>
    <w:p>
      <w:r>
        <w:t>2024년 상향과 하향은 각각 24/214 (11.215%), 37/101 (36.634%)였으며 T는 −25.419%p였다. 2026년 상향과 하향은 각각 2/146 (1.370%), 39/73 (53.425%)였으며 U는 −52.055%p였다. 2024년 상향 수정 가설은 반대 방향으로 나타났고, 2026년 AI 보조 상향 가설의 세 단측 조건은 모두 충족되었다(표 1).</w:t>
      </w:r>
    </w:p>
    <w:p>
      <w:pPr>
        <w:sectPr>
          <w:footerReference w:type="default" r:id="rId9"/>
          <w:pgSz w:w="11909" w:h="16834"/>
          <w:pgMar w:top="922" w:right="936" w:bottom="922" w:left="936" w:header="432" w:footer="432" w:gutter="0"/>
          <w:cols w:space="720"/>
          <w:docGrid w:linePitch="360"/>
        </w:sectPr>
      </w:pPr>
    </w:p>
    <w:p>
      <w:pPr>
        <w:pStyle w:val="Heading1"/>
      </w:pPr>
      <w:r>
        <w:t>표 1 RB 상위 경계 이동과 가설 조건</w:t>
      </w:r>
    </w:p>
    <w:p>
      <w:r>
        <w:t>전체 1,155개 제시. 2024년 비보조 원판독과 2026년 AI 보조 원판독을 각각 현재 비보조 재판독과 비교하였다.</w:t>
      </w:r>
    </w:p>
    <w:tbl>
      <w:tblPr>
        <w:tblW w:type="auto" w:w="0"/>
        <w:jc w:val="center"/>
        <w:tblLayout w:type="fixed"/>
        <w:tblLook w:firstColumn="1" w:firstRow="1" w:lastColumn="0" w:lastRow="0" w:noHBand="0" w:noVBand="1" w:val="04A0"/>
      </w:tblPr>
      <w:tblGrid>
        <w:gridCol w:w="1512"/>
        <w:gridCol w:w="2664"/>
        <w:gridCol w:w="1944"/>
        <w:gridCol w:w="1944"/>
        <w:gridCol w:w="2808"/>
        <w:gridCol w:w="1656"/>
        <w:gridCol w:w="1008"/>
      </w:tblGrid>
      <w:tr>
        <w:trPr>
          <w:cantSplit/>
          <w:tblHeader/>
        </w:trPr>
        <w:tc>
          <w:tcPr>
            <w:tcW w:type="dxa" w:w="1512"/>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sz w:val="18"/>
              </w:rPr>
              <w:t>가설</w:t>
            </w:r>
          </w:p>
        </w:tc>
        <w:tc>
          <w:tcPr>
            <w:tcW w:type="dxa" w:w="2664"/>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sz w:val="18"/>
              </w:rPr>
              <w:t>조건</w:t>
            </w:r>
          </w:p>
        </w:tc>
        <w:tc>
          <w:tcPr>
            <w:tcW w:type="dxa" w:w="1944"/>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sz w:val="18"/>
              </w:rPr>
              <w:t>상향</w:t>
              <w:br/>
              <w:t>분자/분모</w:t>
            </w:r>
          </w:p>
        </w:tc>
        <w:tc>
          <w:tcPr>
            <w:tcW w:type="dxa" w:w="1944"/>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sz w:val="18"/>
              </w:rPr>
              <w:t>하향</w:t>
              <w:br/>
              <w:t>분자/분모</w:t>
            </w:r>
          </w:p>
        </w:tc>
        <w:tc>
          <w:tcPr>
            <w:tcW w:type="dxa" w:w="2808"/>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sz w:val="18"/>
              </w:rPr>
              <w:t>추정값 [95% CI]</w:t>
              <w:br/>
              <w:t>%p</w:t>
            </w:r>
          </w:p>
        </w:tc>
        <w:tc>
          <w:tcPr>
            <w:tcW w:type="dxa" w:w="1656"/>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sz w:val="18"/>
              </w:rPr>
              <w:t>단측 95% 한계</w:t>
              <w:br/>
              <w:t>%p</w:t>
            </w:r>
          </w:p>
        </w:tc>
        <w:tc>
          <w:tcPr>
            <w:tcW w:type="dxa" w:w="1008"/>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sz w:val="18"/>
              </w:rPr>
              <w:t>판정</w:t>
            </w:r>
          </w:p>
        </w:tc>
      </w:tr>
      <w:tr>
        <w:trPr>
          <w:cantSplit/>
        </w:trPr>
        <w:tc>
          <w:tcPr>
            <w:tcW w:type="dxa" w:w="151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① 2024</w:t>
              <w:br/>
              <w:t>상향 수정</w:t>
            </w:r>
          </w:p>
        </w:tc>
        <w:tc>
          <w:tcPr>
            <w:tcW w:type="dxa" w:w="266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T &gt; 0</w:t>
            </w:r>
          </w:p>
        </w:tc>
        <w:tc>
          <w:tcPr>
            <w:tcW w:type="dxa" w:w="194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24/214 (11.215%)</w:t>
            </w:r>
          </w:p>
        </w:tc>
        <w:tc>
          <w:tcPr>
            <w:tcW w:type="dxa" w:w="194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37/101 (36.634%)</w:t>
            </w:r>
          </w:p>
        </w:tc>
        <w:tc>
          <w:tcPr>
            <w:tcW w:type="dxa" w:w="2808"/>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−25.419</w:t>
              <w:br/>
              <w:t>[−44.691, −5.559]</w:t>
            </w:r>
          </w:p>
        </w:tc>
        <w:tc>
          <w:tcPr>
            <w:tcW w:type="dxa" w:w="165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하한 −41.682</w:t>
            </w:r>
          </w:p>
        </w:tc>
        <w:tc>
          <w:tcPr>
            <w:tcW w:type="dxa" w:w="1008"/>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반대 방향</w:t>
            </w:r>
          </w:p>
        </w:tc>
      </w:tr>
      <w:tr>
        <w:trPr>
          <w:cantSplit/>
        </w:trPr>
        <w:tc>
          <w:tcPr>
            <w:tcW w:type="dxa" w:w="151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① 2024</w:t>
              <w:br/>
              <w:t>상향 수정</w:t>
            </w:r>
          </w:p>
        </w:tc>
        <w:tc>
          <w:tcPr>
            <w:tcW w:type="dxa" w:w="266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T − U &gt; 0</w:t>
            </w:r>
          </w:p>
        </w:tc>
        <w:tc>
          <w:tcPr>
            <w:tcW w:type="dxa" w:w="194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w:t>
            </w:r>
          </w:p>
        </w:tc>
        <w:tc>
          <w:tcPr>
            <w:tcW w:type="dxa" w:w="194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w:t>
            </w:r>
          </w:p>
        </w:tc>
        <w:tc>
          <w:tcPr>
            <w:tcW w:type="dxa" w:w="2808"/>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+26.636</w:t>
              <w:br/>
              <w:t>[−3.872, 54.601]</w:t>
            </w:r>
          </w:p>
        </w:tc>
        <w:tc>
          <w:tcPr>
            <w:tcW w:type="dxa" w:w="165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하한 +0.865</w:t>
            </w:r>
          </w:p>
        </w:tc>
        <w:tc>
          <w:tcPr>
            <w:tcW w:type="dxa" w:w="1008"/>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충족</w:t>
            </w:r>
          </w:p>
        </w:tc>
      </w:tr>
      <w:tr>
        <w:trPr>
          <w:cantSplit/>
        </w:trPr>
        <w:tc>
          <w:tcPr>
            <w:tcW w:type="dxa" w:w="151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① 2024</w:t>
              <w:br/>
              <w:t>상향 수정</w:t>
            </w:r>
          </w:p>
        </w:tc>
        <w:tc>
          <w:tcPr>
            <w:tcW w:type="dxa" w:w="266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2024 경계 선택성 &gt; 0</w:t>
            </w:r>
          </w:p>
        </w:tc>
        <w:tc>
          <w:tcPr>
            <w:tcW w:type="dxa" w:w="194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w:t>
            </w:r>
          </w:p>
        </w:tc>
        <w:tc>
          <w:tcPr>
            <w:tcW w:type="dxa" w:w="194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w:t>
            </w:r>
          </w:p>
        </w:tc>
        <w:tc>
          <w:tcPr>
            <w:tcW w:type="dxa" w:w="2808"/>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−69.538</w:t>
              <w:br/>
              <w:t>[−90.367, −46.729]</w:t>
            </w:r>
          </w:p>
        </w:tc>
        <w:tc>
          <w:tcPr>
            <w:tcW w:type="dxa" w:w="165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하한 −87.487</w:t>
            </w:r>
          </w:p>
        </w:tc>
        <w:tc>
          <w:tcPr>
            <w:tcW w:type="dxa" w:w="1008"/>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반대 방향</w:t>
            </w:r>
          </w:p>
        </w:tc>
      </w:tr>
      <w:tr>
        <w:trPr>
          <w:cantSplit/>
        </w:trPr>
        <w:tc>
          <w:tcPr>
            <w:tcW w:type="dxa" w:w="151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② 2026</w:t>
              <w:br/>
              <w:t>AI 보조 상향</w:t>
            </w:r>
          </w:p>
        </w:tc>
        <w:tc>
          <w:tcPr>
            <w:tcW w:type="dxa" w:w="266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U &lt; 0</w:t>
            </w:r>
          </w:p>
        </w:tc>
        <w:tc>
          <w:tcPr>
            <w:tcW w:type="dxa" w:w="194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2/146 (1.370%)</w:t>
            </w:r>
          </w:p>
        </w:tc>
        <w:tc>
          <w:tcPr>
            <w:tcW w:type="dxa" w:w="194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39/73 (53.425%)</w:t>
            </w:r>
          </w:p>
        </w:tc>
        <w:tc>
          <w:tcPr>
            <w:tcW w:type="dxa" w:w="2808"/>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−52.055</w:t>
              <w:br/>
              <w:t>[−71.765, −28.687]</w:t>
            </w:r>
          </w:p>
        </w:tc>
        <w:tc>
          <w:tcPr>
            <w:tcW w:type="dxa" w:w="165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상한 −32.144</w:t>
            </w:r>
          </w:p>
        </w:tc>
        <w:tc>
          <w:tcPr>
            <w:tcW w:type="dxa" w:w="1008"/>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충족</w:t>
            </w:r>
          </w:p>
        </w:tc>
      </w:tr>
      <w:tr>
        <w:trPr>
          <w:cantSplit/>
        </w:trPr>
        <w:tc>
          <w:tcPr>
            <w:tcW w:type="dxa" w:w="151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② 2026</w:t>
              <w:br/>
              <w:t>AI 보조 상향</w:t>
            </w:r>
          </w:p>
        </w:tc>
        <w:tc>
          <w:tcPr>
            <w:tcW w:type="dxa" w:w="266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T − U &gt; 0</w:t>
            </w:r>
          </w:p>
        </w:tc>
        <w:tc>
          <w:tcPr>
            <w:tcW w:type="dxa" w:w="194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w:t>
            </w:r>
          </w:p>
        </w:tc>
        <w:tc>
          <w:tcPr>
            <w:tcW w:type="dxa" w:w="194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w:t>
            </w:r>
          </w:p>
        </w:tc>
        <w:tc>
          <w:tcPr>
            <w:tcW w:type="dxa" w:w="2808"/>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+26.636</w:t>
              <w:br/>
              <w:t>[−3.872, 54.601]</w:t>
            </w:r>
          </w:p>
        </w:tc>
        <w:tc>
          <w:tcPr>
            <w:tcW w:type="dxa" w:w="165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하한 +0.865</w:t>
            </w:r>
          </w:p>
        </w:tc>
        <w:tc>
          <w:tcPr>
            <w:tcW w:type="dxa" w:w="1008"/>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충족</w:t>
            </w:r>
          </w:p>
        </w:tc>
      </w:tr>
      <w:tr>
        <w:trPr>
          <w:cantSplit/>
        </w:trPr>
        <w:tc>
          <w:tcPr>
            <w:tcW w:type="dxa" w:w="151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② 2026</w:t>
              <w:br/>
              <w:t>AI 보조 상향</w:t>
            </w:r>
          </w:p>
        </w:tc>
        <w:tc>
          <w:tcPr>
            <w:tcW w:type="dxa" w:w="266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2026 경계 선택성 &lt; 0</w:t>
            </w:r>
          </w:p>
        </w:tc>
        <w:tc>
          <w:tcPr>
            <w:tcW w:type="dxa" w:w="194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w:t>
            </w:r>
          </w:p>
        </w:tc>
        <w:tc>
          <w:tcPr>
            <w:tcW w:type="dxa" w:w="194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w:t>
            </w:r>
          </w:p>
        </w:tc>
        <w:tc>
          <w:tcPr>
            <w:tcW w:type="dxa" w:w="2808"/>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−51.870</w:t>
              <w:br/>
              <w:t>[−80.947, −17.862]</w:t>
            </w:r>
          </w:p>
        </w:tc>
        <w:tc>
          <w:tcPr>
            <w:tcW w:type="dxa" w:w="165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상한 −23.437</w:t>
            </w:r>
          </w:p>
        </w:tc>
        <w:tc>
          <w:tcPr>
            <w:tcW w:type="dxa" w:w="1008"/>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충족</w:t>
            </w:r>
          </w:p>
        </w:tc>
      </w:tr>
    </w:tbl>
    <w:p/>
    <w:p>
      <w:r>
        <w:t>T와 U는 각각 2024년과 2026년의 상향률−하향률이다. 상향은 기존 3→현재 4, 하향은 기존 4→현재 ≤3이다. 경계 선택성은 해당 연도의 3↔4 방향성 이동−2↔3 방향성 이동이다. 각 분모는 기존 등급으로 정의되므로 상향과 하향의 분모가 다르다.</w:t>
      </w:r>
    </w:p>
    <w:p>
      <w:r>
        <w:t>양측 95% CI와 판정용 단측 95% 한계는 연도별 환자 군집 bootstrap 20,000회로 계산하였다. T−U의 양측 CI는 0을 포함하나, 단측 하한은 +0.865%p로 양의 조건을 충족하였다. 가설 ②의 세 조건 충족은 RB 상위 경계의 상대적 상향 설명을 지지한다.</w:t>
      </w:r>
    </w:p>
    <w:p>
      <w:pPr>
        <w:sectPr>
          <w:pgSz w:w="16834" w:h="11909" w:orient="landscape"/>
          <w:pgMar w:top="922" w:right="936" w:bottom="922" w:left="936" w:header="432" w:footer="432" w:gutter="0"/>
          <w:cols w:space="720"/>
          <w:docGrid w:linePitch="360"/>
        </w:sectPr>
      </w:pPr>
    </w:p>
    <w:p>
      <w:pPr>
        <w:pStyle w:val="Heading1"/>
      </w:pPr>
      <w:r>
        <w:t>표 2 전체 반복판독 변동 대비 원판독 불일치</w:t>
      </w:r>
    </w:p>
    <w:p>
      <w:r>
        <w:t>287개 고유 영상에서 구성한 324개 첫–반복 쌍. 재판독 내부 기준은 모든 행에서 전체 324쌍으로 동일하다.</w:t>
      </w:r>
    </w:p>
    <w:tbl>
      <w:tblPr>
        <w:tblW w:type="auto" w:w="0"/>
        <w:jc w:val="center"/>
        <w:tblLayout w:type="fixed"/>
        <w:tblLook w:firstColumn="1" w:firstRow="1" w:lastColumn="0" w:lastRow="0" w:noHBand="0" w:noVBand="1" w:val="04A0"/>
      </w:tblPr>
      <w:tblGrid>
        <w:gridCol w:w="1440"/>
        <w:gridCol w:w="1440"/>
        <w:gridCol w:w="3096"/>
        <w:gridCol w:w="3096"/>
        <w:gridCol w:w="3312"/>
        <w:gridCol w:w="1152"/>
      </w:tblGrid>
      <w:tr>
        <w:trPr>
          <w:cantSplit/>
          <w:tblHeader/>
        </w:trPr>
        <w:tc>
          <w:tcPr>
            <w:tcW w:type="dxa" w:w="1440"/>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sz w:val="17"/>
              </w:rPr>
              <w:t>지표</w:t>
            </w:r>
          </w:p>
        </w:tc>
        <w:tc>
          <w:tcPr>
            <w:tcW w:type="dxa" w:w="1440"/>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sz w:val="17"/>
              </w:rPr>
              <w:t>원판독 조건</w:t>
            </w:r>
          </w:p>
        </w:tc>
        <w:tc>
          <w:tcPr>
            <w:tcW w:type="dxa" w:w="3096"/>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sz w:val="17"/>
              </w:rPr>
              <w:t>원판독–현재 첫 판독</w:t>
              <w:br/>
              <w:t>[95% CI]</w:t>
            </w:r>
          </w:p>
        </w:tc>
        <w:tc>
          <w:tcPr>
            <w:tcW w:type="dxa" w:w="3096"/>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sz w:val="17"/>
              </w:rPr>
              <w:t>전체 반복판독</w:t>
              <w:br/>
              <w:t>[95% CI]</w:t>
            </w:r>
          </w:p>
        </w:tc>
        <w:tc>
          <w:tcPr>
            <w:tcW w:type="dxa" w:w="3312"/>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sz w:val="17"/>
              </w:rPr>
              <w:t>차이의 분수 및 점추정</w:t>
              <w:br/>
              <w:t>[95% CI]</w:t>
            </w:r>
          </w:p>
        </w:tc>
        <w:tc>
          <w:tcPr>
            <w:tcW w:type="dxa" w:w="1152"/>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sz w:val="17"/>
              </w:rPr>
              <w:t>반복 변동</w:t>
              <w:br/>
              <w:t>초과</w:t>
            </w:r>
          </w:p>
        </w:tc>
      </w:tr>
      <w:tr>
        <w:trPr>
          <w:cantSplit/>
        </w:trPr>
        <w:tc>
          <w:tcPr>
            <w:tcW w:type="dxa" w:w="144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RB ACC</w:t>
            </w:r>
          </w:p>
        </w:tc>
        <w:tc>
          <w:tcPr>
            <w:tcW w:type="dxa" w:w="144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2024 비보조</w:t>
            </w:r>
          </w:p>
        </w:tc>
        <w:tc>
          <w:tcPr>
            <w:tcW w:type="dxa" w:w="309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165/249 = 66.265%</w:t>
              <w:br/>
              <w:t>[56.132, 75.528]</w:t>
            </w:r>
          </w:p>
        </w:tc>
        <w:tc>
          <w:tcPr>
            <w:tcW w:type="dxa" w:w="309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252/324 = 77.778%</w:t>
              <w:br/>
              <w:t>[71.098, 83.733]</w:t>
            </w:r>
          </w:p>
        </w:tc>
        <w:tc>
          <w:tcPr>
            <w:tcW w:type="dxa" w:w="331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-86/747 = −11.513%p</w:t>
              <w:br/>
              <w:t>[−20.614, −3.057]</w:t>
            </w:r>
          </w:p>
        </w:tc>
        <w:tc>
          <w:tcPr>
            <w:tcW w:type="dxa" w:w="115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확인</w:t>
            </w:r>
          </w:p>
        </w:tc>
      </w:tr>
      <w:tr>
        <w:trPr>
          <w:cantSplit/>
        </w:trPr>
        <w:tc>
          <w:tcPr>
            <w:tcW w:type="dxa" w:w="144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RB ACC</w:t>
            </w:r>
          </w:p>
        </w:tc>
        <w:tc>
          <w:tcPr>
            <w:tcW w:type="dxa" w:w="144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2026 AI 보조</w:t>
            </w:r>
          </w:p>
        </w:tc>
        <w:tc>
          <w:tcPr>
            <w:tcW w:type="dxa" w:w="309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52/75 = 69.333%</w:t>
              <w:br/>
              <w:t>[57.333, 81.633]</w:t>
            </w:r>
          </w:p>
        </w:tc>
        <w:tc>
          <w:tcPr>
            <w:tcW w:type="dxa" w:w="309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252/324 = 77.778%</w:t>
              <w:br/>
              <w:t>[71.098, 83.733]</w:t>
            </w:r>
          </w:p>
        </w:tc>
        <w:tc>
          <w:tcPr>
            <w:tcW w:type="dxa" w:w="331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-19/225 = −8.444%p</w:t>
              <w:br/>
              <w:t>[−21.731, 5.581]</w:t>
            </w:r>
          </w:p>
        </w:tc>
        <w:tc>
          <w:tcPr>
            <w:tcW w:type="dxa" w:w="115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불충분</w:t>
            </w:r>
          </w:p>
        </w:tc>
      </w:tr>
      <w:tr>
        <w:trPr>
          <w:cantSplit/>
        </w:trPr>
        <w:tc>
          <w:tcPr>
            <w:tcW w:type="dxa" w:w="144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RB ACC</w:t>
            </w:r>
          </w:p>
        </w:tc>
        <w:tc>
          <w:tcPr>
            <w:tcW w:type="dxa" w:w="144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전체</w:t>
            </w:r>
          </w:p>
        </w:tc>
        <w:tc>
          <w:tcPr>
            <w:tcW w:type="dxa" w:w="309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217/324 = 66.975%</w:t>
              <w:br/>
              <w:t>[58.823, 74.627]</w:t>
            </w:r>
          </w:p>
        </w:tc>
        <w:tc>
          <w:tcPr>
            <w:tcW w:type="dxa" w:w="309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252/324 = 77.778%</w:t>
              <w:br/>
              <w:t>[71.098, 83.733]</w:t>
            </w:r>
          </w:p>
        </w:tc>
        <w:tc>
          <w:tcPr>
            <w:tcW w:type="dxa" w:w="331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-35/324 = −10.802%p</w:t>
              <w:br/>
              <w:t>[−18.590, −3.245]</w:t>
            </w:r>
          </w:p>
        </w:tc>
        <w:tc>
          <w:tcPr>
            <w:tcW w:type="dxa" w:w="115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확인</w:t>
            </w:r>
          </w:p>
        </w:tc>
      </w:tr>
      <w:tr>
        <w:trPr>
          <w:cantSplit/>
        </w:trPr>
        <w:tc>
          <w:tcPr>
            <w:tcW w:type="dxa" w:w="144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RB MAE</w:t>
            </w:r>
          </w:p>
        </w:tc>
        <w:tc>
          <w:tcPr>
            <w:tcW w:type="dxa" w:w="144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2024 비보조</w:t>
            </w:r>
          </w:p>
        </w:tc>
        <w:tc>
          <w:tcPr>
            <w:tcW w:type="dxa" w:w="309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90/249 = 0.361</w:t>
              <w:br/>
              <w:t>[0.259, 0.476]</w:t>
            </w:r>
          </w:p>
        </w:tc>
        <w:tc>
          <w:tcPr>
            <w:tcW w:type="dxa" w:w="309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73/324 = 0.225</w:t>
              <w:br/>
              <w:t>[0.164, 0.296]</w:t>
            </w:r>
          </w:p>
        </w:tc>
        <w:tc>
          <w:tcPr>
            <w:tcW w:type="dxa" w:w="331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3661/26892 = +0.136</w:t>
              <w:br/>
              <w:t>[0.045, 0.237]</w:t>
            </w:r>
          </w:p>
        </w:tc>
        <w:tc>
          <w:tcPr>
            <w:tcW w:type="dxa" w:w="115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확인</w:t>
            </w:r>
          </w:p>
        </w:tc>
      </w:tr>
      <w:tr>
        <w:trPr>
          <w:cantSplit/>
        </w:trPr>
        <w:tc>
          <w:tcPr>
            <w:tcW w:type="dxa" w:w="144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RB MAE</w:t>
            </w:r>
          </w:p>
        </w:tc>
        <w:tc>
          <w:tcPr>
            <w:tcW w:type="dxa" w:w="144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2026 AI 보조</w:t>
            </w:r>
          </w:p>
        </w:tc>
        <w:tc>
          <w:tcPr>
            <w:tcW w:type="dxa" w:w="309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23/75 = 0.307</w:t>
              <w:br/>
              <w:t>[0.184, 0.427]</w:t>
            </w:r>
          </w:p>
        </w:tc>
        <w:tc>
          <w:tcPr>
            <w:tcW w:type="dxa" w:w="309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73/324 = 0.225</w:t>
              <w:br/>
              <w:t>[0.164, 0.296]</w:t>
            </w:r>
          </w:p>
        </w:tc>
        <w:tc>
          <w:tcPr>
            <w:tcW w:type="dxa" w:w="331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659/8100 = +0.081</w:t>
              <w:br/>
              <w:t>[−0.060, 0.215]</w:t>
            </w:r>
          </w:p>
        </w:tc>
        <w:tc>
          <w:tcPr>
            <w:tcW w:type="dxa" w:w="115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불충분</w:t>
            </w:r>
          </w:p>
        </w:tc>
      </w:tr>
      <w:tr>
        <w:trPr>
          <w:cantSplit/>
        </w:trPr>
        <w:tc>
          <w:tcPr>
            <w:tcW w:type="dxa" w:w="144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RB MAE</w:t>
            </w:r>
          </w:p>
        </w:tc>
        <w:tc>
          <w:tcPr>
            <w:tcW w:type="dxa" w:w="144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전체</w:t>
            </w:r>
          </w:p>
        </w:tc>
        <w:tc>
          <w:tcPr>
            <w:tcW w:type="dxa" w:w="309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113/324 = 0.349</w:t>
              <w:br/>
              <w:t>[0.266, 0.439]</w:t>
            </w:r>
          </w:p>
        </w:tc>
        <w:tc>
          <w:tcPr>
            <w:tcW w:type="dxa" w:w="309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73/324 = 0.225</w:t>
              <w:br/>
              <w:t>[0.164, 0.296]</w:t>
            </w:r>
          </w:p>
        </w:tc>
        <w:tc>
          <w:tcPr>
            <w:tcW w:type="dxa" w:w="331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10/81 = +0.123</w:t>
              <w:br/>
              <w:t>[0.044, 0.207]</w:t>
            </w:r>
          </w:p>
        </w:tc>
        <w:tc>
          <w:tcPr>
            <w:tcW w:type="dxa" w:w="115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확인</w:t>
            </w:r>
          </w:p>
        </w:tc>
      </w:tr>
      <w:tr>
        <w:trPr>
          <w:cantSplit/>
        </w:trPr>
        <w:tc>
          <w:tcPr>
            <w:tcW w:type="dxa" w:w="144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4 대 ≤3</w:t>
              <w:br/>
              <w:t>경계 불일치율</w:t>
            </w:r>
          </w:p>
        </w:tc>
        <w:tc>
          <w:tcPr>
            <w:tcW w:type="dxa" w:w="144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2024 비보조</w:t>
            </w:r>
          </w:p>
        </w:tc>
        <w:tc>
          <w:tcPr>
            <w:tcW w:type="dxa" w:w="309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22/249 = 8.835%</w:t>
              <w:br/>
              <w:t>[3.376, 15.411]</w:t>
            </w:r>
          </w:p>
        </w:tc>
        <w:tc>
          <w:tcPr>
            <w:tcW w:type="dxa" w:w="309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14/324 = 4.321%</w:t>
              <w:br/>
              <w:t>[2.041, 6.877]</w:t>
            </w:r>
          </w:p>
        </w:tc>
        <w:tc>
          <w:tcPr>
            <w:tcW w:type="dxa" w:w="331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607/13446 = +4.514%p</w:t>
              <w:br/>
              <w:t>[0.219, 9.529]</w:t>
            </w:r>
          </w:p>
        </w:tc>
        <w:tc>
          <w:tcPr>
            <w:tcW w:type="dxa" w:w="115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확인</w:t>
            </w:r>
          </w:p>
        </w:tc>
      </w:tr>
      <w:tr>
        <w:trPr>
          <w:cantSplit/>
        </w:trPr>
        <w:tc>
          <w:tcPr>
            <w:tcW w:type="dxa" w:w="144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4 대 ≤3</w:t>
              <w:br/>
              <w:t>경계 불일치율</w:t>
            </w:r>
          </w:p>
        </w:tc>
        <w:tc>
          <w:tcPr>
            <w:tcW w:type="dxa" w:w="144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2026 AI 보조</w:t>
            </w:r>
          </w:p>
        </w:tc>
        <w:tc>
          <w:tcPr>
            <w:tcW w:type="dxa" w:w="309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8/75 = 10.667%</w:t>
              <w:br/>
              <w:t>[0.000, 25.808]</w:t>
            </w:r>
          </w:p>
        </w:tc>
        <w:tc>
          <w:tcPr>
            <w:tcW w:type="dxa" w:w="309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14/324 = 4.321%</w:t>
              <w:br/>
              <w:t>[2.041, 6.877]</w:t>
            </w:r>
          </w:p>
        </w:tc>
        <w:tc>
          <w:tcPr>
            <w:tcW w:type="dxa" w:w="331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257/4050 = +6.346%p</w:t>
              <w:br/>
              <w:t>[−4.459, 20.487]</w:t>
            </w:r>
          </w:p>
        </w:tc>
        <w:tc>
          <w:tcPr>
            <w:tcW w:type="dxa" w:w="115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불충분</w:t>
            </w:r>
          </w:p>
        </w:tc>
      </w:tr>
      <w:tr>
        <w:trPr>
          <w:cantSplit/>
        </w:trPr>
        <w:tc>
          <w:tcPr>
            <w:tcW w:type="dxa" w:w="144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4 대 ≤3</w:t>
              <w:br/>
              <w:t>경계 불일치율</w:t>
            </w:r>
          </w:p>
        </w:tc>
        <w:tc>
          <w:tcPr>
            <w:tcW w:type="dxa" w:w="144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전체</w:t>
            </w:r>
          </w:p>
        </w:tc>
        <w:tc>
          <w:tcPr>
            <w:tcW w:type="dxa" w:w="309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30/324 = 9.259%</w:t>
              <w:br/>
              <w:t>[3.974, 15.385]</w:t>
            </w:r>
          </w:p>
        </w:tc>
        <w:tc>
          <w:tcPr>
            <w:tcW w:type="dxa" w:w="309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14/324 = 4.321%</w:t>
              <w:br/>
              <w:t>[2.041, 6.877]</w:t>
            </w:r>
          </w:p>
        </w:tc>
        <w:tc>
          <w:tcPr>
            <w:tcW w:type="dxa" w:w="331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4/81 = +4.938%p</w:t>
              <w:br/>
              <w:t>[1.325, 9.091]</w:t>
            </w:r>
          </w:p>
        </w:tc>
        <w:tc>
          <w:tcPr>
            <w:tcW w:type="dxa" w:w="115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30" w:lineRule="exact"/>
            </w:pPr>
            <w:r>
              <w:rPr>
                <w:b w:val="0"/>
                <w:sz w:val="17"/>
              </w:rPr>
              <w:t>확인</w:t>
            </w:r>
          </w:p>
        </w:tc>
      </w:tr>
    </w:tbl>
    <w:p/>
    <w:p>
      <w:r>
        <w:t>차이는 원판독–현재 첫 판독 지표에서 전체 반복 지표를 뺀 값이다. 분수는 두 비율의 산술적 차이이며 새 사건 수/표본 수가 아니다. ACC는 등급 일치율이다. MAE 분자는 절대 등급 차이의 합이며 단위는 등급이다. ACC와 경계 불일치율의 CI 단위는 %, 차이 CI의 단위는 %p다.</w:t>
      </w:r>
    </w:p>
    <w:p>
      <w:r>
        <w:t>ACC 차이의 양측 95% CI 상한&lt;0, MAE·경계 불일치율 차이의 CI 하한&gt;0이면 반복 변동 초과로 판정하였다. 신뢰구간은 환자별 모든 반복쌍을 보존하고 공통 기준을 함께 계산한 연도별 환자 군집 bootstrap 20,000회 결과다.</w:t>
      </w:r>
    </w:p>
    <w:p>
      <w:pPr>
        <w:sectPr>
          <w:pgSz w:w="16834" w:h="11909" w:orient="landscape"/>
          <w:pgMar w:top="922" w:right="936" w:bottom="922" w:left="936" w:header="432" w:footer="432" w:gutter="0"/>
          <w:cols w:space="720"/>
          <w:docGrid w:linePitch="360"/>
        </w:sectPr>
      </w:pPr>
    </w:p>
    <w:p>
      <w:pPr>
        <w:pStyle w:val="Heading2"/>
      </w:pPr>
      <w:r>
        <w:t>3.3 현재 평가자의 반복 변동과 비교</w:t>
      </w:r>
    </w:p>
    <w:p>
      <w:r>
        <w:t>전체 반복쌍의 RB는 첫 판독 대비 상향 40/324건, 하향 32/324건, 동일 252/324건이었다. 반복 ACC는 77.778%, MAE는 0.225등급, 경계 불일치율은 4.321%였다. 상향·하향 건수는 순서에 따른 기술값이며, 반복 변동의 크기는 순서에 대칭인 세 지표로 평가하였다.</w:t>
      </w:r>
    </w:p>
    <w:p>
      <w:r>
        <w:t>2024년 원판독의 반복 기준 대비 ACC 차이는 −11.513 [−20.614, −3.057]%p, MAE 차이는 +0.136 [0.045, 0.237]등급이었다. 2026년의 ACC 차이는 −8.444 [−21.731, 5.581]%p, MAE 차이는 +0.081 [−0.060, 0.215]등급이었다. 2024년은 세 지표 모두에서 반복 변동을 초과하였다. 2026년은 세 차이의 CI가 모두 0을 포함하여 반복 변동 초과 판정이 불충분하였다(표 2).</w:t>
      </w:r>
    </w:p>
    <w:p>
      <w:pPr>
        <w:pStyle w:val="Heading1"/>
      </w:pPr>
      <w:r>
        <w:t>4 고찰</w:t>
      </w:r>
    </w:p>
    <w:p>
      <w:pPr>
        <w:pStyle w:val="Heading2"/>
      </w:pPr>
      <w:r>
        <w:t>4.1 RB 상위 등급에 대한 AI 보조의 방향성</w:t>
      </w:r>
    </w:p>
    <w:p>
      <w:r>
        <w:t>Phase1의 양의 δcorr는 2026년 라벨의 상대적 상향을 나타냈다. Phase2A에서는 AI 보조 원판독을 현재 비보조로 다시 읽을 때 RB 상위 경계가 선택적으로 낮아졌으며, 2026년 AI 보조 상향 가설의 세 단측 조건이 충족되었다. 이는 AI 보조가 RB 상위 등급을 상대적으로 높게 부여하도록 작용했다는 설명을 지지한다. 반면 2024년의 상향 수정을 예상한 가설은 관측 이동과 반대 방향이었다. Phase1에서 후보 경계를 선정한 뒤 Phase2A에서 실제 수정 방향을 확인한 두 단계의 역할이 여기서 구분된다.</w:t>
      </w:r>
    </w:p>
    <w:p>
      <w:pPr>
        <w:pStyle w:val="Heading2"/>
      </w:pPr>
      <w:r>
        <w:t>4.2 판독 기준 안정화 가능성</w:t>
      </w:r>
    </w:p>
    <w:p>
      <w:r>
        <w:t>현재 평가자가 AI 없이 같은 영상을 반복 판독한 변동을 기준으로 하면, 2024년 비보조 원판독과 현재 판독 사이의 불일치는 반복 변동보다 컸다. 2026년 AI 보조 원판독도 점추정상 불일치가 더 컸지만 현재 반복 변동과 통계적으로 구별되지 않았다. 이러한 양상은 AI 보조가 판독 기준을 일정하게 잡아줬을 가능성을 시사한다. 이 해석은 중복 영상의 반복 기준 비교에 근거한 가능성이며, 표 1의 방향성 조건 충족과 구분된다.</w:t>
      </w:r>
    </w:p>
    <w:p>
      <w:r>
        <w:t>판독 기준의 일관성과 특정 경계의 위치는 함께 평가할 수 있는 별개의 특성이다. 반복 가능한 판독에서도 상위 경계는 상대적으로 높거나 낮게 설정될 수 있다. 따라서 기준 안정화 가능성과 RB 상위 등급 상향은 서로 모순되지 않는다. 표 1은 방향성 이동을, 표 2는 현재 평가자의 반복 변동 대비 차이의 크기를 제시한다.</w:t>
      </w:r>
    </w:p>
    <w:p>
      <w:r>
        <w:br w:type="page"/>
      </w:r>
    </w:p>
    <w:p>
      <w:pPr>
        <w:pStyle w:val="Heading2"/>
      </w:pPr>
      <w:r>
        <w:t>4.3 해석 범위</w:t>
      </w:r>
    </w:p>
    <w:p>
      <w:r>
        <w:t>2026년과 반복 기준 사이의 차이 CI는 0과 반복 변동 초과값을 함께 포함하였다. 따라서 현재 표본에서 유의한 차이가 드러나지 않았다는 범위로 해석하며, 기준 안정화는 가능성으로 기술한다. 현재 재판독은 비교 기준이다. 정확한 등급 일치율은 두 판독의 동일성을 측정하며, 외부 정답에 대한 정확도와는 구분된다.</w:t>
      </w:r>
    </w:p>
    <w:p>
      <w:r>
        <w:t>같은 중복 영상 분석에서 2026−2024의 ACC 직접 차이는 +3.068%p, 95% CI [−12.257, 19.184]였다.</w:t>
      </w:r>
    </w:p>
    <w:p>
      <w:r>
        <w:t>같은 중복 영상 분석에서 2026−2024의 MAE 직접 차이는 −0.055등급, 95% CI [−0.224, 0.104]였다.</w:t>
      </w:r>
    </w:p>
    <w:p>
      <w:r>
        <w:t>이 직접 대비와 각 원판독 조건의 반복 기준 대비 차이는 서로 다른 질문이다. 본 연구의 안정화 해석은 후자의 관찰 양상에 한정한다. 전체 1,155개 제시의 RB 오차 SD는 2024년 0.638, 2026년 0.665로, 중복 영상에서의 해석을 전체 제시의 일관된 산포 감소로 확대하는 데에는 제한이 있다.</w:t>
      </w:r>
    </w:p>
    <w:p>
      <w:r>
        <w:t>동일 영상의 원판독과 현재 판독 비교는 영상 자체의 차이를 고정하며, 전체 반복판독은 현재 평가자의 내부 변동을 제공한다. AI 보조와 관련된 해석은 이 설계의 원판독 조건 차이에 근거한다. 원판독과 현재 재판독의 간격 및 이전 AI 보조 경험은 계획서에 명시된 해석 범위에 포함된다. 또한 Phase1의 신뢰구간은 저장된 예측에 조건부이며, Phase2A의 전체 제시 분석에서는 영상의 반복 횟수에 따른 기여를 환자 군집 구조 안에서 보존하였다.</w:t>
      </w:r>
    </w:p>
    <w:p>
      <w:r>
        <w:t>표 1의 조건 충족은 보고한 단측 조건에 대한 판정이며, 초기 계획의 모든 민감도 분석을 포함한 최종 확증과는 범위를 구분하였다. 표 2는 첫–반복 순서에 의존하지 않는 지표로 판독 차이의 크기를 평가하였다. 방향성 반복 이동과 일반적인 반복 불일치 크기를 혼합하지 않는 것이 두 표를 연결하는 핵심이다.</w:t>
      </w:r>
    </w:p>
    <w:p>
      <w:pPr>
        <w:pStyle w:val="Heading1"/>
      </w:pPr>
      <w:r>
        <w:t>5 결론</w:t>
      </w:r>
    </w:p>
    <w:p>
      <w:r>
        <w:t>Phase1 방향반전과 Phase2A 정보 비노출 재판독은 AI 보조 원판독에서 RB 상위 등급을 상대적으로 높게 부여했다는 설명에 일치하는 결과를 보였다. 2024년 비보조 원판독의 불일치는 현재 평가자의 전체 반복 변동을 초과한 반면, 2026년 AI 보조 원판독은 반복 변동과 통계적으로 구별되지 않아 판독 기준 안정화 가능성을 시사하였다. 따라서 기준 안정화는 반복 변동 비교에 근거한 가능성으로, RB 상위 등급 상향은 사전 지정 단측 조건이 충족된 방향성 결과로 구분해 제시한다.</w:t>
      </w:r>
    </w:p>
    <w:p>
      <w:pPr>
        <w:pStyle w:val="Heading1"/>
      </w:pPr>
      <w:r>
        <w:t>자료 및 분석 코드</w:t>
      </w:r>
    </w:p>
    <w:p>
      <w:r>
        <w:t>분석 코드와 집계 결과는 https://github.com/louppian/QC_Drift 에서 관리한다. 본 원고의 수치는 결과 커밋 1ae1997의 Phase1 요약과 Phase2A 최종 표 및 원집계에 근거하였다. 원자료의 환자·영상 식별자와 개별 판독값은 본 원고에 포함하지 않았다.</w:t>
      </w:r>
    </w:p>
    <w:p>
      <w:r>
        <w:br w:type="page"/>
      </w:r>
    </w:p>
    <w:p>
      <w:pPr>
        <w:pStyle w:val="Heading1"/>
      </w:pPr>
      <w:r>
        <w:t>참고문헌</w:t>
      </w:r>
    </w:p>
    <w:p>
      <w:r>
        <w:t>1. Field CA, Welsh AH. Bootstrapping clustered data. Journal of the Royal Statistical Society Series B. 2007;69:369–390.</w:t>
      </w:r>
    </w:p>
    <w:p>
      <w:r>
        <w:t>2. Kottner J, Audigé L, Brorson S, et al. Guidelines for Reporting Reliability and Agreement Studies were proposed. Journal of Clinical Epidemiology. 2011;64:96–106.</w:t>
      </w:r>
    </w:p>
    <w:p>
      <w:r>
        <w:t>3. Berger RL. Multiparameter hypothesis testing and acceptance sampling. Technometrics. 1982;24:295–300.</w:t>
      </w:r>
    </w:p>
    <w:p>
      <w:r>
        <w:t>4. Cohen J. Weighted kappa: Nominal scale agreement with provision for scaled disagreement or partial credit. Psychological Bulletin. 1968;70:213–220.</w:t>
      </w:r>
    </w:p>
    <w:p>
      <w:pPr>
        <w:pStyle w:val="Heading2"/>
      </w:pPr>
      <w:r>
        <w:t>보충표 S1 Phase1 영상 특징과 재현성</w:t>
      </w:r>
    </w:p>
    <w:tbl>
      <w:tblPr>
        <w:tblW w:type="auto" w:w="0"/>
        <w:jc w:val="center"/>
        <w:tblLayout w:type="fixed"/>
        <w:tblLook w:firstColumn="1" w:firstRow="1" w:lastColumn="0" w:lastRow="0" w:noHBand="0" w:noVBand="1" w:val="04A0"/>
      </w:tblPr>
      <w:tblGrid>
        <w:gridCol w:w="1152"/>
        <w:gridCol w:w="936"/>
        <w:gridCol w:w="1872"/>
        <w:gridCol w:w="3600"/>
        <w:gridCol w:w="2362"/>
      </w:tblGrid>
      <w:tr>
        <w:trPr>
          <w:cantSplit/>
          <w:tblHeader/>
        </w:trPr>
        <w:tc>
          <w:tcPr>
            <w:tcW w:type="dxa" w:w="1152"/>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sz w:val="18"/>
              </w:rPr>
              <w:t>연도</w:t>
            </w:r>
          </w:p>
        </w:tc>
        <w:tc>
          <w:tcPr>
            <w:tcW w:type="dxa" w:w="936"/>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sz w:val="18"/>
              </w:rPr>
              <w:t>ROI</w:t>
            </w:r>
          </w:p>
        </w:tc>
        <w:tc>
          <w:tcPr>
            <w:tcW w:type="dxa" w:w="1872"/>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sz w:val="18"/>
              </w:rPr>
              <w:t>최고 AUC</w:t>
            </w:r>
          </w:p>
        </w:tc>
        <w:tc>
          <w:tcPr>
            <w:tcW w:type="dxa" w:w="3600"/>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sz w:val="18"/>
              </w:rPr>
              <w:t>구동 특징</w:t>
            </w:r>
          </w:p>
        </w:tc>
        <w:tc>
          <w:tcPr>
            <w:tcW w:type="dxa" w:w="2362"/>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sz w:val="18"/>
              </w:rPr>
              <w:t>순열 p</w:t>
            </w:r>
          </w:p>
        </w:tc>
      </w:tr>
      <w:tr>
        <w:trPr>
          <w:cantSplit/>
        </w:trPr>
        <w:tc>
          <w:tcPr>
            <w:tcW w:type="dxa" w:w="115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2024</w:t>
            </w:r>
          </w:p>
        </w:tc>
        <w:tc>
          <w:tcPr>
            <w:tcW w:type="dxa" w:w="93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RT</w:t>
            </w:r>
          </w:p>
        </w:tc>
        <w:tc>
          <w:tcPr>
            <w:tcW w:type="dxa" w:w="187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0.649</w:t>
            </w:r>
          </w:p>
        </w:tc>
        <w:tc>
          <w:tcPr>
            <w:tcW w:type="dxa" w:w="360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median</w:t>
            </w:r>
          </w:p>
        </w:tc>
        <w:tc>
          <w:tcPr>
            <w:tcW w:type="dxa" w:w="236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0.032</w:t>
            </w:r>
          </w:p>
        </w:tc>
      </w:tr>
      <w:tr>
        <w:trPr>
          <w:cantSplit/>
        </w:trPr>
        <w:tc>
          <w:tcPr>
            <w:tcW w:type="dxa" w:w="115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2024</w:t>
            </w:r>
          </w:p>
        </w:tc>
        <w:tc>
          <w:tcPr>
            <w:tcW w:type="dxa" w:w="93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LT</w:t>
            </w:r>
          </w:p>
        </w:tc>
        <w:tc>
          <w:tcPr>
            <w:tcW w:type="dxa" w:w="187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0.833</w:t>
            </w:r>
          </w:p>
        </w:tc>
        <w:tc>
          <w:tcPr>
            <w:tcW w:type="dxa" w:w="360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uniformity</w:t>
            </w:r>
          </w:p>
        </w:tc>
        <w:tc>
          <w:tcPr>
            <w:tcW w:type="dxa" w:w="236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&lt;0.001</w:t>
            </w:r>
          </w:p>
        </w:tc>
      </w:tr>
      <w:tr>
        <w:trPr>
          <w:cantSplit/>
        </w:trPr>
        <w:tc>
          <w:tcPr>
            <w:tcW w:type="dxa" w:w="115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2024</w:t>
            </w:r>
          </w:p>
        </w:tc>
        <w:tc>
          <w:tcPr>
            <w:tcW w:type="dxa" w:w="93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RB</w:t>
            </w:r>
          </w:p>
        </w:tc>
        <w:tc>
          <w:tcPr>
            <w:tcW w:type="dxa" w:w="187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0.604</w:t>
            </w:r>
          </w:p>
        </w:tc>
        <w:tc>
          <w:tcPr>
            <w:tcW w:type="dxa" w:w="360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glszm_SAE</w:t>
            </w:r>
          </w:p>
        </w:tc>
        <w:tc>
          <w:tcPr>
            <w:tcW w:type="dxa" w:w="236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0.061</w:t>
            </w:r>
          </w:p>
        </w:tc>
      </w:tr>
      <w:tr>
        <w:trPr>
          <w:cantSplit/>
        </w:trPr>
        <w:tc>
          <w:tcPr>
            <w:tcW w:type="dxa" w:w="115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2024</w:t>
            </w:r>
          </w:p>
        </w:tc>
        <w:tc>
          <w:tcPr>
            <w:tcW w:type="dxa" w:w="93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LB</w:t>
            </w:r>
          </w:p>
        </w:tc>
        <w:tc>
          <w:tcPr>
            <w:tcW w:type="dxa" w:w="187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0.791</w:t>
            </w:r>
          </w:p>
        </w:tc>
        <w:tc>
          <w:tcPr>
            <w:tcW w:type="dxa" w:w="360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mean</w:t>
            </w:r>
          </w:p>
        </w:tc>
        <w:tc>
          <w:tcPr>
            <w:tcW w:type="dxa" w:w="236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&lt;0.001</w:t>
            </w:r>
          </w:p>
        </w:tc>
      </w:tr>
      <w:tr>
        <w:trPr>
          <w:cantSplit/>
        </w:trPr>
        <w:tc>
          <w:tcPr>
            <w:tcW w:type="dxa" w:w="115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2026</w:t>
            </w:r>
          </w:p>
        </w:tc>
        <w:tc>
          <w:tcPr>
            <w:tcW w:type="dxa" w:w="93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RT</w:t>
            </w:r>
          </w:p>
        </w:tc>
        <w:tc>
          <w:tcPr>
            <w:tcW w:type="dxa" w:w="187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0.890</w:t>
            </w:r>
          </w:p>
        </w:tc>
        <w:tc>
          <w:tcPr>
            <w:tcW w:type="dxa" w:w="360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entropy</w:t>
            </w:r>
          </w:p>
        </w:tc>
        <w:tc>
          <w:tcPr>
            <w:tcW w:type="dxa" w:w="236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&lt;0.001</w:t>
            </w:r>
          </w:p>
        </w:tc>
      </w:tr>
      <w:tr>
        <w:trPr>
          <w:cantSplit/>
        </w:trPr>
        <w:tc>
          <w:tcPr>
            <w:tcW w:type="dxa" w:w="115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2026</w:t>
            </w:r>
          </w:p>
        </w:tc>
        <w:tc>
          <w:tcPr>
            <w:tcW w:type="dxa" w:w="93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LT</w:t>
            </w:r>
          </w:p>
        </w:tc>
        <w:tc>
          <w:tcPr>
            <w:tcW w:type="dxa" w:w="187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0.897</w:t>
            </w:r>
          </w:p>
        </w:tc>
        <w:tc>
          <w:tcPr>
            <w:tcW w:type="dxa" w:w="360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median</w:t>
            </w:r>
          </w:p>
        </w:tc>
        <w:tc>
          <w:tcPr>
            <w:tcW w:type="dxa" w:w="236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&lt;0.001</w:t>
            </w:r>
          </w:p>
        </w:tc>
      </w:tr>
      <w:tr>
        <w:trPr>
          <w:cantSplit/>
        </w:trPr>
        <w:tc>
          <w:tcPr>
            <w:tcW w:type="dxa" w:w="115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2026</w:t>
            </w:r>
          </w:p>
        </w:tc>
        <w:tc>
          <w:tcPr>
            <w:tcW w:type="dxa" w:w="93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RB</w:t>
            </w:r>
          </w:p>
        </w:tc>
        <w:tc>
          <w:tcPr>
            <w:tcW w:type="dxa" w:w="187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0.818</w:t>
            </w:r>
          </w:p>
        </w:tc>
        <w:tc>
          <w:tcPr>
            <w:tcW w:type="dxa" w:w="360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median</w:t>
            </w:r>
          </w:p>
        </w:tc>
        <w:tc>
          <w:tcPr>
            <w:tcW w:type="dxa" w:w="236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&lt;0.001</w:t>
            </w:r>
          </w:p>
        </w:tc>
      </w:tr>
      <w:tr>
        <w:trPr>
          <w:cantSplit/>
        </w:trPr>
        <w:tc>
          <w:tcPr>
            <w:tcW w:type="dxa" w:w="115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2026</w:t>
            </w:r>
          </w:p>
        </w:tc>
        <w:tc>
          <w:tcPr>
            <w:tcW w:type="dxa" w:w="93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LB</w:t>
            </w:r>
          </w:p>
        </w:tc>
        <w:tc>
          <w:tcPr>
            <w:tcW w:type="dxa" w:w="187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0.826</w:t>
            </w:r>
          </w:p>
        </w:tc>
        <w:tc>
          <w:tcPr>
            <w:tcW w:type="dxa" w:w="360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mean</w:t>
            </w:r>
          </w:p>
        </w:tc>
        <w:tc>
          <w:tcPr>
            <w:tcW w:type="dxa" w:w="236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&lt;0.001</w:t>
            </w:r>
          </w:p>
        </w:tc>
      </w:tr>
    </w:tbl>
    <w:p/>
    <w:tbl>
      <w:tblPr>
        <w:tblW w:type="auto" w:w="0"/>
        <w:jc w:val="center"/>
        <w:tblLayout w:type="fixed"/>
        <w:tblLook w:firstColumn="1" w:firstRow="1" w:lastColumn="0" w:lastRow="0" w:noHBand="0" w:noVBand="1" w:val="04A0"/>
      </w:tblPr>
      <w:tblGrid>
        <w:gridCol w:w="864"/>
        <w:gridCol w:w="2376"/>
        <w:gridCol w:w="1584"/>
        <w:gridCol w:w="1440"/>
        <w:gridCol w:w="3658"/>
      </w:tblGrid>
      <w:tr>
        <w:trPr>
          <w:cantSplit/>
          <w:tblHeader/>
        </w:trPr>
        <w:tc>
          <w:tcPr>
            <w:tcW w:type="dxa" w:w="864"/>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sz w:val="18"/>
              </w:rPr>
              <w:t>ROI</w:t>
            </w:r>
          </w:p>
        </w:tc>
        <w:tc>
          <w:tcPr>
            <w:tcW w:type="dxa" w:w="2376"/>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sz w:val="18"/>
              </w:rPr>
              <w:t>자기일치 ACC %</w:t>
            </w:r>
          </w:p>
        </w:tc>
        <w:tc>
          <w:tcPr>
            <w:tcW w:type="dxa" w:w="1584"/>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sz w:val="18"/>
              </w:rPr>
              <w:t>가중 κ</w:t>
            </w:r>
          </w:p>
        </w:tc>
        <w:tc>
          <w:tcPr>
            <w:tcW w:type="dxa" w:w="1440"/>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sz w:val="18"/>
              </w:rPr>
              <w:t>MAE</w:t>
            </w:r>
          </w:p>
        </w:tc>
        <w:tc>
          <w:tcPr>
            <w:tcW w:type="dxa" w:w="3658"/>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sz w:val="18"/>
              </w:rPr>
              <w:t>모델–판독자 일치 %</w:t>
            </w:r>
          </w:p>
        </w:tc>
      </w:tr>
      <w:tr>
        <w:trPr>
          <w:cantSplit/>
        </w:trPr>
        <w:tc>
          <w:tcPr>
            <w:tcW w:type="dxa" w:w="86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RT</w:t>
            </w:r>
          </w:p>
        </w:tc>
        <w:tc>
          <w:tcPr>
            <w:tcW w:type="dxa" w:w="237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79.830</w:t>
            </w:r>
          </w:p>
        </w:tc>
        <w:tc>
          <w:tcPr>
            <w:tcW w:type="dxa" w:w="158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0.887</w:t>
            </w:r>
          </w:p>
        </w:tc>
        <w:tc>
          <w:tcPr>
            <w:tcW w:type="dxa" w:w="144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0.210</w:t>
            </w:r>
          </w:p>
        </w:tc>
        <w:tc>
          <w:tcPr>
            <w:tcW w:type="dxa" w:w="3658"/>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77.510</w:t>
            </w:r>
          </w:p>
        </w:tc>
      </w:tr>
      <w:tr>
        <w:trPr>
          <w:cantSplit/>
        </w:trPr>
        <w:tc>
          <w:tcPr>
            <w:tcW w:type="dxa" w:w="86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LT</w:t>
            </w:r>
          </w:p>
        </w:tc>
        <w:tc>
          <w:tcPr>
            <w:tcW w:type="dxa" w:w="237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88.240</w:t>
            </w:r>
          </w:p>
        </w:tc>
        <w:tc>
          <w:tcPr>
            <w:tcW w:type="dxa" w:w="158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0.848</w:t>
            </w:r>
          </w:p>
        </w:tc>
        <w:tc>
          <w:tcPr>
            <w:tcW w:type="dxa" w:w="144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0.126</w:t>
            </w:r>
          </w:p>
        </w:tc>
        <w:tc>
          <w:tcPr>
            <w:tcW w:type="dxa" w:w="3658"/>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57.920</w:t>
            </w:r>
          </w:p>
        </w:tc>
      </w:tr>
      <w:tr>
        <w:trPr>
          <w:cantSplit/>
        </w:trPr>
        <w:tc>
          <w:tcPr>
            <w:tcW w:type="dxa" w:w="86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RB</w:t>
            </w:r>
          </w:p>
        </w:tc>
        <w:tc>
          <w:tcPr>
            <w:tcW w:type="dxa" w:w="237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68.910</w:t>
            </w:r>
          </w:p>
        </w:tc>
        <w:tc>
          <w:tcPr>
            <w:tcW w:type="dxa" w:w="158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0.899</w:t>
            </w:r>
          </w:p>
        </w:tc>
        <w:tc>
          <w:tcPr>
            <w:tcW w:type="dxa" w:w="144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0.336</w:t>
            </w:r>
          </w:p>
        </w:tc>
        <w:tc>
          <w:tcPr>
            <w:tcW w:type="dxa" w:w="3658"/>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50.600</w:t>
            </w:r>
          </w:p>
        </w:tc>
      </w:tr>
      <w:tr>
        <w:trPr>
          <w:cantSplit/>
        </w:trPr>
        <w:tc>
          <w:tcPr>
            <w:tcW w:type="dxa" w:w="86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LB</w:t>
            </w:r>
          </w:p>
        </w:tc>
        <w:tc>
          <w:tcPr>
            <w:tcW w:type="dxa" w:w="237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82.350</w:t>
            </w:r>
          </w:p>
        </w:tc>
        <w:tc>
          <w:tcPr>
            <w:tcW w:type="dxa" w:w="158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0.903</w:t>
            </w:r>
          </w:p>
        </w:tc>
        <w:tc>
          <w:tcPr>
            <w:tcW w:type="dxa" w:w="144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0.177</w:t>
            </w:r>
          </w:p>
        </w:tc>
        <w:tc>
          <w:tcPr>
            <w:tcW w:type="dxa" w:w="3658"/>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67.630</w:t>
            </w:r>
          </w:p>
        </w:tc>
      </w:tr>
      <w:tr>
        <w:trPr>
          <w:cantSplit/>
        </w:trPr>
        <w:tc>
          <w:tcPr>
            <w:tcW w:type="dxa" w:w="86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전체</w:t>
            </w:r>
          </w:p>
        </w:tc>
        <w:tc>
          <w:tcPr>
            <w:tcW w:type="dxa" w:w="237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79.830</w:t>
            </w:r>
          </w:p>
        </w:tc>
        <w:tc>
          <w:tcPr>
            <w:tcW w:type="dxa" w:w="158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0.905</w:t>
            </w:r>
          </w:p>
        </w:tc>
        <w:tc>
          <w:tcPr>
            <w:tcW w:type="dxa" w:w="144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0.212</w:t>
            </w:r>
          </w:p>
        </w:tc>
        <w:tc>
          <w:tcPr>
            <w:tcW w:type="dxa" w:w="3658"/>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63.420</w:t>
            </w:r>
          </w:p>
        </w:tc>
      </w:tr>
    </w:tbl>
    <w:p/>
    <w:p>
      <w:r>
        <w:t>가중 κ는 등급 분포의 영향을 받으므로 ACC 및 MAE와 함께 제시하였다.[4] 이 표는 Phase1의 기존 재현성 자료로, Phase2A 전체 반복판독 기준과 대상이 다르다. AUC의 네 ROI 비교 기준은 5%/4이며 반올림 전 p값을 사용하였다.</w:t>
      </w:r>
    </w:p>
    <w:p>
      <w:r>
        <w:br w:type="page"/>
      </w:r>
    </w:p>
    <w:p>
      <w:pPr>
        <w:pStyle w:val="Heading1"/>
      </w:pPr>
      <w:r>
        <w:t>보충표 S2 Phase1 보정과 직접 대비</w:t>
      </w:r>
    </w:p>
    <w:tbl>
      <w:tblPr>
        <w:tblW w:type="auto" w:w="0"/>
        <w:jc w:val="center"/>
        <w:tblLayout w:type="fixed"/>
        <w:tblLook w:firstColumn="1" w:firstRow="1" w:lastColumn="0" w:lastRow="0" w:noHBand="0" w:noVBand="1" w:val="04A0"/>
      </w:tblPr>
      <w:tblGrid>
        <w:gridCol w:w="864"/>
        <w:gridCol w:w="4536"/>
        <w:gridCol w:w="4522"/>
      </w:tblGrid>
      <w:tr>
        <w:trPr>
          <w:cantSplit/>
          <w:tblHeader/>
        </w:trPr>
        <w:tc>
          <w:tcPr>
            <w:tcW w:type="dxa" w:w="864"/>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sz w:val="18"/>
              </w:rPr>
              <w:t>ROI</w:t>
            </w:r>
          </w:p>
        </w:tc>
        <w:tc>
          <w:tcPr>
            <w:tcW w:type="dxa" w:w="4536"/>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sz w:val="18"/>
              </w:rPr>
              <w:t>δobs [95% CI]</w:t>
            </w:r>
          </w:p>
        </w:tc>
        <w:tc>
          <w:tcPr>
            <w:tcW w:type="dxa" w:w="4522"/>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sz w:val="18"/>
              </w:rPr>
              <w:t>δcorr [95% CI]</w:t>
            </w:r>
          </w:p>
        </w:tc>
      </w:tr>
      <w:tr>
        <w:trPr>
          <w:cantSplit/>
        </w:trPr>
        <w:tc>
          <w:tcPr>
            <w:tcW w:type="dxa" w:w="86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RT</w:t>
            </w:r>
          </w:p>
        </w:tc>
        <w:tc>
          <w:tcPr>
            <w:tcW w:type="dxa" w:w="453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+0.124 [0.048, 0.199]</w:t>
            </w:r>
          </w:p>
        </w:tc>
        <w:tc>
          <w:tcPr>
            <w:tcW w:type="dxa" w:w="452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+0.113 [−0.020, 0.239]</w:t>
            </w:r>
          </w:p>
        </w:tc>
      </w:tr>
      <w:tr>
        <w:trPr>
          <w:cantSplit/>
        </w:trPr>
        <w:tc>
          <w:tcPr>
            <w:tcW w:type="dxa" w:w="86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LT</w:t>
            </w:r>
          </w:p>
        </w:tc>
        <w:tc>
          <w:tcPr>
            <w:tcW w:type="dxa" w:w="453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+0.216 [0.130, 0.301]</w:t>
            </w:r>
          </w:p>
        </w:tc>
        <w:tc>
          <w:tcPr>
            <w:tcW w:type="dxa" w:w="452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+0.194 [0.069, 0.316]</w:t>
            </w:r>
          </w:p>
        </w:tc>
      </w:tr>
      <w:tr>
        <w:trPr>
          <w:cantSplit/>
        </w:trPr>
        <w:tc>
          <w:tcPr>
            <w:tcW w:type="dxa" w:w="86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RB</w:t>
            </w:r>
          </w:p>
        </w:tc>
        <w:tc>
          <w:tcPr>
            <w:tcW w:type="dxa" w:w="453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+0.240 [0.159, 0.317]</w:t>
            </w:r>
          </w:p>
        </w:tc>
        <w:tc>
          <w:tcPr>
            <w:tcW w:type="dxa" w:w="452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+0.198 [0.066, 0.324]</w:t>
            </w:r>
          </w:p>
        </w:tc>
      </w:tr>
      <w:tr>
        <w:trPr>
          <w:cantSplit/>
        </w:trPr>
        <w:tc>
          <w:tcPr>
            <w:tcW w:type="dxa" w:w="86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LB</w:t>
            </w:r>
          </w:p>
        </w:tc>
        <w:tc>
          <w:tcPr>
            <w:tcW w:type="dxa" w:w="453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+0.108 [0.028, 0.187]</w:t>
            </w:r>
          </w:p>
        </w:tc>
        <w:tc>
          <w:tcPr>
            <w:tcW w:type="dxa" w:w="452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+0.109 [−0.022, 0.235]</w:t>
            </w:r>
          </w:p>
        </w:tc>
      </w:tr>
      <w:tr>
        <w:trPr>
          <w:cantSplit/>
        </w:trPr>
        <w:tc>
          <w:tcPr>
            <w:tcW w:type="dxa" w:w="86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전체</w:t>
            </w:r>
          </w:p>
        </w:tc>
        <w:tc>
          <w:tcPr>
            <w:tcW w:type="dxa" w:w="453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+0.172 [0.108, 0.235]</w:t>
            </w:r>
          </w:p>
        </w:tc>
        <w:tc>
          <w:tcPr>
            <w:tcW w:type="dxa" w:w="452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+0.154 [0.052, 0.252]</w:t>
            </w:r>
          </w:p>
        </w:tc>
      </w:tr>
    </w:tbl>
    <w:p/>
    <w:tbl>
      <w:tblPr>
        <w:tblW w:type="auto" w:w="0"/>
        <w:jc w:val="center"/>
        <w:tblLayout w:type="fixed"/>
        <w:tblLook w:firstColumn="1" w:firstRow="1" w:lastColumn="0" w:lastRow="0" w:noHBand="0" w:noVBand="1" w:val="04A0"/>
      </w:tblPr>
      <w:tblGrid>
        <w:gridCol w:w="864"/>
        <w:gridCol w:w="4536"/>
        <w:gridCol w:w="4522"/>
      </w:tblGrid>
      <w:tr>
        <w:trPr>
          <w:cantSplit/>
          <w:tblHeader/>
        </w:trPr>
        <w:tc>
          <w:tcPr>
            <w:tcW w:type="dxa" w:w="864"/>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sz w:val="18"/>
              </w:rPr>
              <w:t>ROI</w:t>
            </w:r>
          </w:p>
        </w:tc>
        <w:tc>
          <w:tcPr>
            <w:tcW w:type="dxa" w:w="4536"/>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sz w:val="18"/>
              </w:rPr>
              <w:t>정합 Δγ [95% CI]</w:t>
            </w:r>
          </w:p>
        </w:tc>
        <w:tc>
          <w:tcPr>
            <w:tcW w:type="dxa" w:w="4522"/>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sz w:val="18"/>
              </w:rPr>
              <w:t>정합 전 δcorr [95% CI]</w:t>
            </w:r>
          </w:p>
        </w:tc>
      </w:tr>
      <w:tr>
        <w:trPr>
          <w:cantSplit/>
        </w:trPr>
        <w:tc>
          <w:tcPr>
            <w:tcW w:type="dxa" w:w="86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RT</w:t>
            </w:r>
          </w:p>
        </w:tc>
        <w:tc>
          <w:tcPr>
            <w:tcW w:type="dxa" w:w="453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−0.022 [−0.231, 0.175]</w:t>
            </w:r>
          </w:p>
        </w:tc>
        <w:tc>
          <w:tcPr>
            <w:tcW w:type="dxa" w:w="452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+0.071 [−0.045, 0.182]</w:t>
            </w:r>
          </w:p>
        </w:tc>
      </w:tr>
      <w:tr>
        <w:trPr>
          <w:cantSplit/>
        </w:trPr>
        <w:tc>
          <w:tcPr>
            <w:tcW w:type="dxa" w:w="86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LT</w:t>
            </w:r>
          </w:p>
        </w:tc>
        <w:tc>
          <w:tcPr>
            <w:tcW w:type="dxa" w:w="453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−0.044 [−0.221, 0.133]</w:t>
            </w:r>
          </w:p>
        </w:tc>
        <w:tc>
          <w:tcPr>
            <w:tcW w:type="dxa" w:w="452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+0.147 [0.029, 0.258]</w:t>
            </w:r>
          </w:p>
        </w:tc>
      </w:tr>
      <w:tr>
        <w:trPr>
          <w:cantSplit/>
        </w:trPr>
        <w:tc>
          <w:tcPr>
            <w:tcW w:type="dxa" w:w="86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RB</w:t>
            </w:r>
          </w:p>
        </w:tc>
        <w:tc>
          <w:tcPr>
            <w:tcW w:type="dxa" w:w="453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−0.084 [−0.289, 0.112]</w:t>
            </w:r>
          </w:p>
        </w:tc>
        <w:tc>
          <w:tcPr>
            <w:tcW w:type="dxa" w:w="452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+0.180 [0.064, 0.289]</w:t>
            </w:r>
          </w:p>
        </w:tc>
      </w:tr>
      <w:tr>
        <w:trPr>
          <w:cantSplit/>
        </w:trPr>
        <w:tc>
          <w:tcPr>
            <w:tcW w:type="dxa" w:w="86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LB</w:t>
            </w:r>
          </w:p>
        </w:tc>
        <w:tc>
          <w:tcPr>
            <w:tcW w:type="dxa" w:w="453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+0.001 [−0.194, 0.198]</w:t>
            </w:r>
          </w:p>
        </w:tc>
        <w:tc>
          <w:tcPr>
            <w:tcW w:type="dxa" w:w="452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+0.087 [−0.031, 0.201]</w:t>
            </w:r>
          </w:p>
        </w:tc>
      </w:tr>
      <w:tr>
        <w:trPr>
          <w:cantSplit/>
        </w:trPr>
        <w:tc>
          <w:tcPr>
            <w:tcW w:type="dxa" w:w="864"/>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전체</w:t>
            </w:r>
          </w:p>
        </w:tc>
        <w:tc>
          <w:tcPr>
            <w:tcW w:type="dxa" w:w="4536"/>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−0.037 [−0.192, 0.113]</w:t>
            </w:r>
          </w:p>
        </w:tc>
        <w:tc>
          <w:tcPr>
            <w:tcW w:type="dxa" w:w="452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+0.121 [0.030, 0.210]</w:t>
            </w:r>
          </w:p>
        </w:tc>
      </w:tr>
    </w:tbl>
    <w:p/>
    <w:tbl>
      <w:tblPr>
        <w:tblW w:type="auto" w:w="0"/>
        <w:jc w:val="center"/>
        <w:tblLayout w:type="fixed"/>
        <w:tblLook w:firstColumn="1" w:firstRow="1" w:lastColumn="0" w:lastRow="0" w:noHBand="0" w:noVBand="1" w:val="04A0"/>
      </w:tblPr>
      <w:tblGrid>
        <w:gridCol w:w="3240"/>
        <w:gridCol w:w="1152"/>
        <w:gridCol w:w="3600"/>
        <w:gridCol w:w="1930"/>
      </w:tblGrid>
      <w:tr>
        <w:trPr>
          <w:cantSplit/>
          <w:tblHeader/>
        </w:trPr>
        <w:tc>
          <w:tcPr>
            <w:tcW w:type="dxa" w:w="3240"/>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sz w:val="18"/>
              </w:rPr>
              <w:t>대비</w:t>
            </w:r>
          </w:p>
        </w:tc>
        <w:tc>
          <w:tcPr>
            <w:tcW w:type="dxa" w:w="1152"/>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sz w:val="18"/>
              </w:rPr>
              <w:t>추정값</w:t>
            </w:r>
          </w:p>
        </w:tc>
        <w:tc>
          <w:tcPr>
            <w:tcW w:type="dxa" w:w="3600"/>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sz w:val="18"/>
              </w:rPr>
              <w:t>양측 95% CI</w:t>
            </w:r>
          </w:p>
        </w:tc>
        <w:tc>
          <w:tcPr>
            <w:tcW w:type="dxa" w:w="1930"/>
            <w:vAlign w:val="center"/>
            <w:shd w:fill="E7EDF3"/>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sz w:val="18"/>
              </w:rPr>
              <w:t>단측 tail 비율</w:t>
            </w:r>
          </w:p>
        </w:tc>
      </w:tr>
      <w:tr>
        <w:trPr>
          <w:cantSplit/>
        </w:trPr>
        <w:tc>
          <w:tcPr>
            <w:tcW w:type="dxa" w:w="324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RB − LT</w:t>
            </w:r>
          </w:p>
        </w:tc>
        <w:tc>
          <w:tcPr>
            <w:tcW w:type="dxa" w:w="115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+0.004</w:t>
            </w:r>
          </w:p>
        </w:tc>
        <w:tc>
          <w:tcPr>
            <w:tcW w:type="dxa" w:w="360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[−0.145, 0.151]</w:t>
            </w:r>
          </w:p>
        </w:tc>
        <w:tc>
          <w:tcPr>
            <w:tcW w:type="dxa" w:w="193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0.476</w:t>
            </w:r>
          </w:p>
        </w:tc>
      </w:tr>
      <w:tr>
        <w:trPr>
          <w:cantSplit/>
        </w:trPr>
        <w:tc>
          <w:tcPr>
            <w:tcW w:type="dxa" w:w="324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RB − 평균 RT LT LB</w:t>
            </w:r>
          </w:p>
        </w:tc>
        <w:tc>
          <w:tcPr>
            <w:tcW w:type="dxa" w:w="115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+0.060</w:t>
            </w:r>
          </w:p>
        </w:tc>
        <w:tc>
          <w:tcPr>
            <w:tcW w:type="dxa" w:w="360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[−0.045, 0.163]</w:t>
            </w:r>
          </w:p>
        </w:tc>
        <w:tc>
          <w:tcPr>
            <w:tcW w:type="dxa" w:w="193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0.133</w:t>
            </w:r>
          </w:p>
        </w:tc>
      </w:tr>
      <w:tr>
        <w:trPr>
          <w:cantSplit/>
        </w:trPr>
        <w:tc>
          <w:tcPr>
            <w:tcW w:type="dxa" w:w="324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RB − 평균 RT LB</w:t>
            </w:r>
          </w:p>
        </w:tc>
        <w:tc>
          <w:tcPr>
            <w:tcW w:type="dxa" w:w="1152"/>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+0.087</w:t>
            </w:r>
          </w:p>
        </w:tc>
        <w:tc>
          <w:tcPr>
            <w:tcW w:type="dxa" w:w="360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[−0.009, 0.185]</w:t>
            </w:r>
          </w:p>
        </w:tc>
        <w:tc>
          <w:tcPr>
            <w:tcW w:type="dxa" w:w="1930"/>
            <w:vAlign w:val="center"/>
            <w:shd w:fill="FFFFFF"/>
            <w:tcBorders>
              <w:top w:val="single" w:sz="4" w:color="D9D9D9"/>
              <w:bottom w:val="single" w:sz="4" w:color="D9D9D9"/>
              <w:left w:val="single" w:sz="4" w:color="D9D9D9"/>
              <w:right w:val="single" w:sz="4" w:color="D9D9D9"/>
            </w:tcBorders>
            <w:tcMar>
              <w:top w:w="80" w:type="dxa"/>
              <w:bottom w:w="80" w:type="dxa"/>
              <w:left w:w="80" w:type="dxa"/>
              <w:right w:w="80" w:type="dxa"/>
            </w:tcMar>
          </w:tcPr>
          <w:p>
            <w:pPr>
              <w:spacing w:after="40" w:before="40" w:line="240" w:lineRule="exact"/>
            </w:pPr>
            <w:r>
              <w:rPr>
                <w:b w:val="0"/>
                <w:sz w:val="18"/>
              </w:rPr>
              <w:t>0.039</w:t>
            </w:r>
          </w:p>
        </w:tc>
      </w:tr>
    </w:tbl>
    <w:p/>
    <w:p>
      <w:r>
        <w:t>모든 효과크기의 단위는 등급이다. ROI 직접 대비는 다중성을 보정하지 않은 탐색적 분석이며, 단측 bootstrap tail 비율과 양측 CI를 구분하였다. RB와 LT의 직접 차이 CI는 0을 포함하였다.</w:t>
      </w:r>
    </w:p>
    <w:p>
      <w:r>
        <w:t>양성대조 복원 기울기는 0.941였다. 음성대조의 학습량 비율 1, 1/2, 1/4에 대응하는 방향반전 값은 각각 +0.015, +0.035, −0.009등급이었다.</w:t>
      </w:r>
    </w:p>
    <w:sectPr w:rsidR="00FC693F" w:rsidRPr="0006063C" w:rsidSect="00034616">
      <w:pgSz w:w="11909" w:h="16834"/>
      <w:pgMar w:top="922" w:right="936" w:bottom="922" w:left="936"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napToGrid w:val="0"/>
      <w:spacing w:line="300" w:lineRule="exact" w:after="140"/>
    </w:pPr>
    <w:rPr>
      <w:rFonts w:ascii="맑은 고딕" w:hAnsi="맑은 고딕" w:eastAsia="맑은 고딕"/>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440" w:lineRule="exact"/>
      <w:outlineLvl w:val="0"/>
      <w:snapToGrid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40" w:line="340" w:lineRule="exact"/>
      <w:outlineLvl w:val="1"/>
      <w:snapToGrid w:val="0"/>
    </w:pPr>
    <w:rPr>
      <w:rFonts w:asciiTheme="majorHAnsi" w:eastAsiaTheme="majorEastAsia" w:hAnsiTheme="majorHAnsi" w:cstheme="majorBidi" w:ascii="맑은 고딕" w:hAnsi="맑은 고딕" w:eastAsia="맑은 고딕"/>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snapToGrid w:val="0"/>
    </w:pPr>
    <w:rPr>
      <w:rFonts w:asciiTheme="majorHAnsi" w:eastAsiaTheme="majorEastAsia" w:hAnsiTheme="majorHAnsi" w:cstheme="majorBidi" w:ascii="맑은 고딕" w:hAnsi="맑은 고딕" w:eastAsia="맑은 고딕"/>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snapToGrid w:val="0"/>
    </w:pPr>
    <w:rPr>
      <w:rFonts w:asciiTheme="majorHAnsi" w:eastAsiaTheme="majorEastAsia" w:hAnsiTheme="majorHAnsi" w:cstheme="majorBidi" w:ascii="맑은 고딕" w:hAnsi="맑은 고딕" w:eastAsia="맑은 고딕"/>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napToGrid w:val="0"/>
    </w:pPr>
    <w:rPr>
      <w:rFonts w:asciiTheme="majorHAnsi" w:eastAsiaTheme="majorEastAsia" w:hAnsiTheme="majorHAnsi" w:cstheme="majorBidi" w:ascii="맑은 고딕" w:hAnsi="맑은 고딕" w:eastAsia="맑은 고딕"/>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방향 반전 분석과 정보 비노출 재판독을 통한 AI 보조 판독의 등급 기준 평가</dc:title>
  <dc:subject>논문 원고</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