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t xml:space="preserve"/>
      </w:r>
    </w:p>
    <w:p>
      <w:pPr>
        <w:spacing w:after="120"/>
        <w:jc w:val="center"/>
      </w:pPr>
      <w:r>
        <w:rPr>
          <w:rFonts w:ascii="Arial" w:cs="Arial" w:eastAsia="Arial" w:hAnsi="Arial"/>
          <w:b/>
          <w:bCs/>
          <w:color w:val="1F3864"/>
          <w:sz w:val="52"/>
          <w:szCs w:val="52"/>
        </w:rPr>
        <w:t xml:space="preserve">FESTO SMART FACTORY LAB</w:t>
      </w:r>
    </w:p>
    <w:p>
      <w:pPr>
        <w:spacing w:after="80"/>
        <w:jc w:val="center"/>
      </w:pPr>
      <w:r>
        <w:rPr>
          <w:rFonts w:ascii="Arial" w:cs="Arial" w:eastAsia="Arial" w:hAnsi="Arial"/>
          <w:b/>
          <w:bCs/>
          <w:color w:val="2E5F8A"/>
          <w:sz w:val="40"/>
          <w:szCs w:val="40"/>
        </w:rPr>
        <w:t xml:space="preserve">OT/ICS Network Security Assessment</w:t>
      </w:r>
    </w:p>
    <w:p>
      <w:pPr>
        <w:spacing w:after="80"/>
        <w:jc w:val="center"/>
      </w:pPr>
      <w:r>
        <w:rPr>
          <w:rFonts w:ascii="Arial" w:cs="Arial" w:eastAsia="Arial" w:hAnsi="Arial"/>
          <w:color w:val="555555"/>
          <w:sz w:val="24"/>
          <w:szCs w:val="24"/>
        </w:rPr>
        <w:t xml:space="preserve">Based on Passive Network Capture &amp; Active DCP/Nmap Inventory</w:t>
      </w:r>
    </w:p>
    <w:p>
      <w:pPr>
        <w:spacing w:after="240"/>
      </w:pPr>
      <w:r>
        <w:t xml:space="preserve"/>
      </w:r>
    </w:p>
    <w:p>
      <w:pPr>
        <w:pBdr>
          <w:top w:val="single" w:color="2E5F8A" w:sz="8" w:space="4"/>
          <w:bottom w:val="single" w:color="2E5F8A" w:sz="8" w:space="4"/>
        </w:pBdr>
        <w:spacing w:after="80" w:before="80"/>
        <w:jc w:val="center"/>
      </w:pPr>
      <w:r>
        <w:rPr>
          <w:rFonts w:ascii="Arial" w:cs="Arial" w:eastAsia="Arial" w:hAnsi="Arial"/>
          <w:b/>
          <w:bCs/>
          <w:color w:val="2E5F8A"/>
          <w:sz w:val="20"/>
          <w:szCs w:val="20"/>
        </w:rPr>
        <w:t xml:space="preserve">  IEC 62443  ·  ISO/IEC 27001  ·  NIS2 Directive  ·  Defense-in-Depth  ·  Least Privilege  ·  Zero Trust  </w:t>
      </w:r>
    </w:p>
    <w:p>
      <w:pPr>
        <w:spacing w:after="960"/>
      </w:pPr>
      <w:r>
        <w:t xml:space="preserve"/>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1. Executive Summary</w:t>
      </w:r>
    </w:p>
    <w:p>
      <w:pPr>
        <w:spacing w:after="120"/>
      </w:pPr>
      <w:r>
        <w:rPr>
          <w:rFonts w:ascii="Arial" w:cs="Arial" w:eastAsia="Arial" w:hAnsi="Arial"/>
          <w:b w:val="false"/>
          <w:bCs w:val="false"/>
          <w:color w:val="000000"/>
          <w:sz w:val="20"/>
          <w:szCs w:val="20"/>
        </w:rPr>
        <w:t xml:space="preserve">This assessment evaluates the security posture of the Festo Smart Factory Lab OT/ICS network. The lab comprises six manufacturing stations (conveyor, sorting, camera inspection, magazine, press, oven) plus a robot arm cell, interconnected through Siemens S7-1500 PLCs, Festo CPX controllers, MTP700 HMIs, and a centralised MES PC.</w:t>
      </w:r>
    </w:p>
    <w:p>
      <w:pPr>
        <w:spacing w:after="120"/>
      </w:pPr>
      <w:r>
        <w:rPr>
          <w:rFonts w:ascii="Arial" w:cs="Arial" w:eastAsia="Arial" w:hAnsi="Arial"/>
          <w:b w:val="false"/>
          <w:bCs w:val="false"/>
          <w:color w:val="000000"/>
          <w:sz w:val="20"/>
          <w:szCs w:val="20"/>
        </w:rPr>
        <w:t xml:space="preserve">The assessment is based on passive packet capture analysis (5 captures, ~55,000 frames), active DCP Identify-All output (14 devices), and nmap host discovery (21 live hosts across 172.21.0.0/18).</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Assessment Scope</w:t>
            </w:r>
          </w:p>
        </w:tc>
        <w:tc>
          <w:tcPr>
            <w:tcW w:type="dxa" w:w="5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segmentation</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NONE — fully flat /18 subnet</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PLC access control</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NONE — all PLCs reachable from any host</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MES / OT separation</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NONE — MES PC shares subnet with PLCs</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access control</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NONE — uncontrolled, incl. unregistered devices</w:t>
            </w:r>
          </w:p>
        </w:tc>
      </w:tr>
      <w:tr>
        <w:tc>
          <w:tcPr>
            <w:tcW w:type="dxa" w:w="4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Unaccounted assets</w:t>
            </w:r>
          </w:p>
        </w:tc>
        <w:tc>
          <w:tcPr>
            <w:tcW w:type="dxa" w:w="5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35400"/>
                <w:sz w:val="18"/>
                <w:szCs w:val="18"/>
              </w:rPr>
              <w:t xml:space="preserve">6+ devices not in original inventory</w:t>
            </w:r>
          </w:p>
        </w:tc>
      </w:tr>
      <w:tr>
        <w:tc>
          <w:tcPr>
            <w:tcW w:type="dxa" w:w="4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Wireless / external exposure</w:t>
            </w:r>
          </w:p>
        </w:tc>
        <w:tc>
          <w:tcPr>
            <w:tcW w:type="dxa" w:w="5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D35400"/>
                <w:sz w:val="18"/>
                <w:szCs w:val="18"/>
              </w:rPr>
              <w:t xml:space="preserve">TP-Link AP present on OT subnet</w:t>
            </w:r>
          </w:p>
        </w:tc>
      </w:tr>
    </w:tbl>
    <w:p>
      <w:pPr>
        <w:spacing w:after="120"/>
      </w:pPr>
      <w:r>
        <w:t xml:space="preserve"/>
      </w:r>
    </w:p>
    <w:p>
      <w:pPr>
        <w:spacing w:after="120"/>
      </w:pPr>
      <w:r>
        <w:rPr>
          <w:rFonts w:ascii="Arial" w:cs="Arial" w:eastAsia="Arial" w:hAnsi="Arial"/>
          <w:b w:val="false"/>
          <w:bCs w:val="false"/>
          <w:color w:val="000000"/>
          <w:sz w:val="20"/>
          <w:szCs w:val="20"/>
        </w:rPr>
        <w:t xml:space="preserve">The overall security posture is assessed as CRITICAL. The network presents no meaningful barrier between IT systems, engineering workstations, visitor devices, and live industrial control equipment. A single compromised host on the subnet has unrestricted access to all PLCs and HMIs.</w:t>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2. Regulatory &amp; Standards Alignment</w:t>
      </w:r>
    </w:p>
    <w:p>
      <w:pPr>
        <w:spacing w:after="120"/>
      </w:pPr>
      <w:r>
        <w:rPr>
          <w:rFonts w:ascii="Arial" w:cs="Arial" w:eastAsia="Arial" w:hAnsi="Arial"/>
          <w:b w:val="false"/>
          <w:bCs w:val="false"/>
          <w:color w:val="000000"/>
          <w:sz w:val="20"/>
          <w:szCs w:val="20"/>
        </w:rPr>
        <w:t xml:space="preserve">This assessment references the following frameworks. Full compliance is not claimed or required; the intent is to identify alignment gaps and motivate remediation priorities.</w:t>
      </w:r>
    </w:p>
    <w:p>
      <w:pPr>
        <w:spacing w:after="120"/>
      </w:pPr>
      <w:r>
        <w:t xml:space="preserve"/>
      </w:r>
    </w:p>
    <w:p>
      <w:pPr>
        <w:pStyle w:val="Heading2"/>
        <w:spacing w:after="80" w:before="280"/>
      </w:pPr>
      <w:r>
        <w:rPr>
          <w:rFonts w:ascii="Arial" w:cs="Arial" w:eastAsia="Arial" w:hAnsi="Arial"/>
          <w:b/>
          <w:bCs/>
          <w:color w:val="2E5F8A"/>
          <w:sz w:val="28"/>
          <w:szCs w:val="28"/>
        </w:rPr>
        <w:t xml:space="preserve">2.1 IEC 62443</w:t>
      </w:r>
    </w:p>
    <w:p>
      <w:pPr>
        <w:spacing w:after="120"/>
      </w:pPr>
      <w:r>
        <w:rPr>
          <w:rFonts w:ascii="Arial" w:cs="Arial" w:eastAsia="Arial" w:hAnsi="Arial"/>
          <w:b w:val="false"/>
          <w:bCs w:val="false"/>
          <w:color w:val="000000"/>
          <w:sz w:val="20"/>
          <w:szCs w:val="20"/>
        </w:rPr>
        <w:t xml:space="preserve">IEC 62443 is the primary international standard for Industrial Automation and Control System (IACS) security. Three sub-standards are relevant here:</w:t>
      </w:r>
    </w:p>
    <w:p>
      <w:pPr>
        <w:pStyle w:val="ListParagraph"/>
        <w:numPr>
          <w:ilvl w:val="0"/>
          <w:numId w:val="2"/>
        </w:numPr>
        <w:spacing w:after="60"/>
      </w:pPr>
      <w:r>
        <w:rPr>
          <w:rFonts w:ascii="Arial" w:cs="Arial" w:eastAsia="Arial" w:hAnsi="Arial"/>
          <w:b w:val="false"/>
          <w:bCs w:val="false"/>
          <w:color w:val="000000"/>
          <w:sz w:val="20"/>
          <w:szCs w:val="20"/>
        </w:rPr>
        <w:t xml:space="preserve">IEC 62443-1-1 (Terminology &amp; Concepts): Defines the zone-and-conduit model. A Zone is a logical grouping of assets with common security requirements; a Conduit is a controlled communication path between zones. This lab has no zones or conduits — the entire network is one implicit zone with no conduit controls.</w:t>
      </w:r>
    </w:p>
    <w:p>
      <w:pPr>
        <w:pStyle w:val="ListParagraph"/>
        <w:numPr>
          <w:ilvl w:val="0"/>
          <w:numId w:val="2"/>
        </w:numPr>
        <w:spacing w:after="60"/>
      </w:pPr>
      <w:r>
        <w:rPr>
          <w:rFonts w:ascii="Arial" w:cs="Arial" w:eastAsia="Arial" w:hAnsi="Arial"/>
          <w:b w:val="false"/>
          <w:bCs w:val="false"/>
          <w:color w:val="000000"/>
          <w:sz w:val="20"/>
          <w:szCs w:val="20"/>
        </w:rPr>
        <w:t xml:space="preserve">IEC 62443-2-1 (Security Management): Requires that operators establish, implement, and maintain an IACS security management system (CSMS). Concretely: asset inventory, risk assessment, incident response, and change management procedures. The incomplete inventory (6+ undocumented devices during active operation) indicates the CSMS either does not exist or is not enforced.</w:t>
      </w:r>
    </w:p>
    <w:p>
      <w:pPr>
        <w:pStyle w:val="ListParagraph"/>
        <w:numPr>
          <w:ilvl w:val="0"/>
          <w:numId w:val="2"/>
        </w:numPr>
        <w:spacing w:after="60"/>
      </w:pPr>
      <w:r>
        <w:rPr>
          <w:rFonts w:ascii="Arial" w:cs="Arial" w:eastAsia="Arial" w:hAnsi="Arial"/>
          <w:b w:val="false"/>
          <w:bCs w:val="false"/>
          <w:color w:val="000000"/>
          <w:sz w:val="20"/>
          <w:szCs w:val="20"/>
        </w:rPr>
        <w:t xml:space="preserve">IEC 62443-3-3 (System Security Requirements, SL1–SL4): Defines System Requirements (SR) grouped into Foundational Requirements (FR). The following SRs are directly violated: SR 5.1 (Network Segmentation), SR 5.2 (Zone Boundary Protection), SR 1.1 (Human User Identification &amp; Authentication — no evidence of authentication on PLC web servers or PROFINET), and SR 2.6 (Remote Session Termination — no controlled access path for remote engineering).</w:t>
      </w:r>
    </w:p>
    <w:p>
      <w:pPr>
        <w:spacing w:after="120"/>
      </w:pPr>
      <w:r>
        <w:t xml:space="preserve"/>
      </w:r>
    </w:p>
    <w:p>
      <w:pPr>
        <w:pStyle w:val="Heading2"/>
        <w:spacing w:after="80" w:before="280"/>
      </w:pPr>
      <w:r>
        <w:rPr>
          <w:rFonts w:ascii="Arial" w:cs="Arial" w:eastAsia="Arial" w:hAnsi="Arial"/>
          <w:b/>
          <w:bCs/>
          <w:color w:val="2E5F8A"/>
          <w:sz w:val="28"/>
          <w:szCs w:val="28"/>
        </w:rPr>
        <w:t xml:space="preserve">2.2 ISO/IEC 27001</w:t>
      </w:r>
    </w:p>
    <w:p>
      <w:pPr>
        <w:spacing w:after="120"/>
      </w:pPr>
      <w:r>
        <w:rPr>
          <w:rFonts w:ascii="Arial" w:cs="Arial" w:eastAsia="Arial" w:hAnsi="Arial"/>
          <w:b w:val="false"/>
          <w:bCs w:val="false"/>
          <w:color w:val="000000"/>
          <w:sz w:val="20"/>
          <w:szCs w:val="20"/>
        </w:rPr>
        <w:t xml:space="preserve">ISO/IEC 27001 provides a framework for information security management applicable across IT and increasingly OT environments. Key control areas relevant here:</w:t>
      </w:r>
    </w:p>
    <w:p>
      <w:pPr>
        <w:pStyle w:val="ListParagraph"/>
        <w:numPr>
          <w:ilvl w:val="0"/>
          <w:numId w:val="2"/>
        </w:numPr>
        <w:spacing w:after="60"/>
      </w:pPr>
      <w:r>
        <w:rPr>
          <w:rFonts w:ascii="Arial" w:cs="Arial" w:eastAsia="Arial" w:hAnsi="Arial"/>
          <w:b w:val="false"/>
          <w:bCs w:val="false"/>
          <w:color w:val="000000"/>
          <w:sz w:val="20"/>
          <w:szCs w:val="20"/>
        </w:rPr>
        <w:t xml:space="preserve">Clause 8.1 / Annex A.8 (Asset Management): Requires a complete, maintained asset register. Six devices discovered during passive capture were absent from the inventory, including one device actively programming PLCs via S7comm (172.21.0.156). Unmanaged assets are unmonitored assets.</w:t>
      </w:r>
    </w:p>
    <w:p>
      <w:pPr>
        <w:pStyle w:val="ListParagraph"/>
        <w:numPr>
          <w:ilvl w:val="0"/>
          <w:numId w:val="2"/>
        </w:numPr>
        <w:spacing w:after="60"/>
      </w:pPr>
      <w:r>
        <w:rPr>
          <w:rFonts w:ascii="Arial" w:cs="Arial" w:eastAsia="Arial" w:hAnsi="Arial"/>
          <w:b w:val="false"/>
          <w:bCs w:val="false"/>
          <w:color w:val="000000"/>
          <w:sz w:val="20"/>
          <w:szCs w:val="20"/>
        </w:rPr>
        <w:t xml:space="preserve">Annex A.8.22 (Network Segmentation): Requires that groups of services, users, and systems be separated. The flat /18 provides no such separation.</w:t>
      </w:r>
    </w:p>
    <w:p>
      <w:pPr>
        <w:pStyle w:val="ListParagraph"/>
        <w:numPr>
          <w:ilvl w:val="0"/>
          <w:numId w:val="2"/>
        </w:numPr>
        <w:spacing w:after="60"/>
      </w:pPr>
      <w:r>
        <w:rPr>
          <w:rFonts w:ascii="Arial" w:cs="Arial" w:eastAsia="Arial" w:hAnsi="Arial"/>
          <w:b w:val="false"/>
          <w:bCs w:val="false"/>
          <w:color w:val="000000"/>
          <w:sz w:val="20"/>
          <w:szCs w:val="20"/>
        </w:rPr>
        <w:t xml:space="preserve">Annex A.8.20 (Networks Security): Network controls should be applied to protect information in systems and applications. No firewall, ACL, or VLAN is present between MES-level and field-level devices.</w:t>
      </w:r>
    </w:p>
    <w:p>
      <w:pPr>
        <w:spacing w:after="120"/>
      </w:pPr>
      <w:r>
        <w:t xml:space="preserve"/>
      </w:r>
    </w:p>
    <w:p>
      <w:pPr>
        <w:pStyle w:val="Heading2"/>
        <w:spacing w:after="80" w:before="280"/>
      </w:pPr>
      <w:r>
        <w:rPr>
          <w:rFonts w:ascii="Arial" w:cs="Arial" w:eastAsia="Arial" w:hAnsi="Arial"/>
          <w:b/>
          <w:bCs/>
          <w:color w:val="2E5F8A"/>
          <w:sz w:val="28"/>
          <w:szCs w:val="28"/>
        </w:rPr>
        <w:t xml:space="preserve">2.3 NIS2 Directive (EU)</w:t>
      </w:r>
    </w:p>
    <w:p>
      <w:pPr>
        <w:spacing w:after="120"/>
      </w:pPr>
      <w:r>
        <w:rPr>
          <w:rFonts w:ascii="Arial" w:cs="Arial" w:eastAsia="Arial" w:hAnsi="Arial"/>
          <w:b w:val="false"/>
          <w:bCs w:val="false"/>
          <w:color w:val="000000"/>
          <w:sz w:val="20"/>
          <w:szCs w:val="20"/>
        </w:rPr>
        <w:t xml:space="preserve">The NIS2 Directive (2022/2555/EU) applies to operators of essential services and important entities, including manufacturing. Relevant obligations:</w:t>
      </w:r>
    </w:p>
    <w:p>
      <w:pPr>
        <w:pStyle w:val="ListParagraph"/>
        <w:numPr>
          <w:ilvl w:val="0"/>
          <w:numId w:val="2"/>
        </w:numPr>
        <w:spacing w:after="60"/>
      </w:pPr>
      <w:r>
        <w:rPr>
          <w:rFonts w:ascii="Arial" w:cs="Arial" w:eastAsia="Arial" w:hAnsi="Arial"/>
          <w:b w:val="false"/>
          <w:bCs w:val="false"/>
          <w:color w:val="000000"/>
          <w:sz w:val="20"/>
          <w:szCs w:val="20"/>
        </w:rPr>
        <w:t xml:space="preserve">Article 21 — Cybersecurity Risk Management: Entities must implement measures including network segmentation, access control, and asset management. All three are absent or incomplete in this lab network.</w:t>
      </w:r>
    </w:p>
    <w:p>
      <w:pPr>
        <w:pStyle w:val="ListParagraph"/>
        <w:numPr>
          <w:ilvl w:val="0"/>
          <w:numId w:val="2"/>
        </w:numPr>
        <w:spacing w:after="60"/>
      </w:pPr>
      <w:r>
        <w:rPr>
          <w:rFonts w:ascii="Arial" w:cs="Arial" w:eastAsia="Arial" w:hAnsi="Arial"/>
          <w:b w:val="false"/>
          <w:bCs w:val="false"/>
          <w:color w:val="000000"/>
          <w:sz w:val="20"/>
          <w:szCs w:val="20"/>
        </w:rPr>
        <w:t xml:space="preserve">Article 21(2)(e) — Supply Chain Security: Devices from multiple vendors (Siemens, Festo, Turck, SensoPart, TP-Link) are present with unknown or unverified firmware. Vendor software supply chain risk is unaddressed.</w:t>
      </w:r>
    </w:p>
    <w:p>
      <w:pPr>
        <w:pStyle w:val="ListParagraph"/>
        <w:numPr>
          <w:ilvl w:val="0"/>
          <w:numId w:val="2"/>
        </w:numPr>
        <w:spacing w:after="60"/>
      </w:pPr>
      <w:r>
        <w:rPr>
          <w:rFonts w:ascii="Arial" w:cs="Arial" w:eastAsia="Arial" w:hAnsi="Arial"/>
          <w:b w:val="false"/>
          <w:bCs w:val="false"/>
          <w:color w:val="000000"/>
          <w:sz w:val="20"/>
          <w:szCs w:val="20"/>
        </w:rPr>
        <w:t xml:space="preserve">Article 21(2)(h) — Basic Cyber Hygiene &amp; Training: The presence of a visitor/external laptop (Kyan_laptop, a0:ce:c8:f7:ab:c9) on the live OT subnet suggests no network admission controls or onboarding hygiene procedures are enforced.</w:t>
      </w:r>
    </w:p>
    <w:p>
      <w:pPr>
        <w:spacing w:after="120"/>
      </w:pPr>
      <w:r>
        <w:t xml:space="preserve"/>
      </w:r>
    </w:p>
    <w:p>
      <w:pPr>
        <w:pStyle w:val="Heading2"/>
        <w:spacing w:after="80" w:before="280"/>
      </w:pPr>
      <w:r>
        <w:rPr>
          <w:rFonts w:ascii="Arial" w:cs="Arial" w:eastAsia="Arial" w:hAnsi="Arial"/>
          <w:b/>
          <w:bCs/>
          <w:color w:val="2E5F8A"/>
          <w:sz w:val="28"/>
          <w:szCs w:val="28"/>
        </w:rPr>
        <w:t xml:space="preserve">2.4 Defense-in-Depth</w:t>
      </w:r>
    </w:p>
    <w:p>
      <w:pPr>
        <w:spacing w:after="120"/>
      </w:pPr>
      <w:r>
        <w:rPr>
          <w:rFonts w:ascii="Arial" w:cs="Arial" w:eastAsia="Arial" w:hAnsi="Arial"/>
          <w:b w:val="false"/>
          <w:bCs w:val="false"/>
          <w:color w:val="000000"/>
          <w:sz w:val="20"/>
          <w:szCs w:val="20"/>
        </w:rPr>
        <w:t xml:space="preserve">Defense-in-Depth requires that multiple independent security controls exist, so that failure of one does not expose the system. The current architecture has effectively one perimeter: the edge of the 172.21.0.0/18 subnet. There is no:</w:t>
      </w:r>
    </w:p>
    <w:p>
      <w:pPr>
        <w:pStyle w:val="ListParagraph"/>
        <w:numPr>
          <w:ilvl w:val="0"/>
          <w:numId w:val="2"/>
        </w:numPr>
        <w:spacing w:after="60"/>
      </w:pPr>
      <w:r>
        <w:rPr>
          <w:rFonts w:ascii="Arial" w:cs="Arial" w:eastAsia="Arial" w:hAnsi="Arial"/>
          <w:b w:val="false"/>
          <w:bCs w:val="false"/>
          <w:color w:val="000000"/>
          <w:sz w:val="20"/>
          <w:szCs w:val="20"/>
        </w:rPr>
        <w:t xml:space="preserve">Segmentation between IT (MES, engineering) and OT (PLCs, HMIs, sensors)</w:t>
      </w:r>
    </w:p>
    <w:p>
      <w:pPr>
        <w:pStyle w:val="ListParagraph"/>
        <w:numPr>
          <w:ilvl w:val="0"/>
          <w:numId w:val="2"/>
        </w:numPr>
        <w:spacing w:after="60"/>
      </w:pPr>
      <w:r>
        <w:rPr>
          <w:rFonts w:ascii="Arial" w:cs="Arial" w:eastAsia="Arial" w:hAnsi="Arial"/>
          <w:b w:val="false"/>
          <w:bCs w:val="false"/>
          <w:color w:val="000000"/>
          <w:sz w:val="20"/>
          <w:szCs w:val="20"/>
        </w:rPr>
        <w:t xml:space="preserve">DMZ or IDMZ between the two layers</w:t>
      </w:r>
    </w:p>
    <w:p>
      <w:pPr>
        <w:pStyle w:val="ListParagraph"/>
        <w:numPr>
          <w:ilvl w:val="0"/>
          <w:numId w:val="2"/>
        </w:numPr>
        <w:spacing w:after="60"/>
      </w:pPr>
      <w:r>
        <w:rPr>
          <w:rFonts w:ascii="Arial" w:cs="Arial" w:eastAsia="Arial" w:hAnsi="Arial"/>
          <w:b w:val="false"/>
          <w:bCs w:val="false"/>
          <w:color w:val="000000"/>
          <w:sz w:val="20"/>
          <w:szCs w:val="20"/>
        </w:rPr>
        <w:t xml:space="preserve">Per-PLC firewall or ACL</w:t>
      </w:r>
    </w:p>
    <w:p>
      <w:pPr>
        <w:pStyle w:val="ListParagraph"/>
        <w:numPr>
          <w:ilvl w:val="0"/>
          <w:numId w:val="2"/>
        </w:numPr>
        <w:spacing w:after="60"/>
      </w:pPr>
      <w:r>
        <w:rPr>
          <w:rFonts w:ascii="Arial" w:cs="Arial" w:eastAsia="Arial" w:hAnsi="Arial"/>
          <w:b w:val="false"/>
          <w:bCs w:val="false"/>
          <w:color w:val="000000"/>
          <w:sz w:val="20"/>
          <w:szCs w:val="20"/>
        </w:rPr>
        <w:t xml:space="preserve">Authentication layer on PROFINET, S7comm, or the PLC web servers</w:t>
      </w:r>
    </w:p>
    <w:p>
      <w:pPr>
        <w:spacing w:after="120"/>
      </w:pPr>
      <w:r>
        <w:rPr>
          <w:rFonts w:ascii="Arial" w:cs="Arial" w:eastAsia="Arial" w:hAnsi="Arial"/>
          <w:b w:val="false"/>
          <w:bCs w:val="false"/>
          <w:color w:val="000000"/>
          <w:sz w:val="20"/>
          <w:szCs w:val="20"/>
        </w:rPr>
        <w:t xml:space="preserve">If the single perimeter is breached — or if a threat already resides inside it (e.g. via a compromised laptop, a rogue device, or the VMware host) — there is nothing left to stop lateral movement to any PLC.</w:t>
      </w:r>
    </w:p>
    <w:p>
      <w:pPr>
        <w:spacing w:after="120"/>
      </w:pPr>
      <w:r>
        <w:t xml:space="preserve"/>
      </w:r>
    </w:p>
    <w:p>
      <w:pPr>
        <w:pStyle w:val="Heading2"/>
        <w:spacing w:after="80" w:before="280"/>
      </w:pPr>
      <w:r>
        <w:rPr>
          <w:rFonts w:ascii="Arial" w:cs="Arial" w:eastAsia="Arial" w:hAnsi="Arial"/>
          <w:b/>
          <w:bCs/>
          <w:color w:val="2E5F8A"/>
          <w:sz w:val="28"/>
          <w:szCs w:val="28"/>
        </w:rPr>
        <w:t xml:space="preserve">2.5 Least Privilege &amp; Zero Trust (Industrial Interpretation)</w:t>
      </w:r>
    </w:p>
    <w:p>
      <w:pPr>
        <w:spacing w:after="120"/>
      </w:pPr>
      <w:r>
        <w:rPr>
          <w:rFonts w:ascii="Arial" w:cs="Arial" w:eastAsia="Arial" w:hAnsi="Arial"/>
          <w:b w:val="false"/>
          <w:bCs w:val="false"/>
          <w:color w:val="000000"/>
          <w:sz w:val="20"/>
          <w:szCs w:val="20"/>
        </w:rPr>
        <w:t xml:space="preserve">Least Privilege requires that each component have only the access it needs for its defined function. Zero Trust assumes no implicit trust based on network location. Applied to an OT context:</w:t>
      </w:r>
    </w:p>
    <w:p>
      <w:pPr>
        <w:pStyle w:val="ListParagraph"/>
        <w:numPr>
          <w:ilvl w:val="0"/>
          <w:numId w:val="2"/>
        </w:numPr>
        <w:spacing w:after="60"/>
      </w:pPr>
      <w:r>
        <w:rPr>
          <w:rFonts w:ascii="Arial" w:cs="Arial" w:eastAsia="Arial" w:hAnsi="Arial"/>
          <w:b w:val="false"/>
          <w:bCs w:val="false"/>
          <w:color w:val="000000"/>
          <w:sz w:val="20"/>
          <w:szCs w:val="20"/>
        </w:rPr>
        <w:t xml:space="preserve">The MES PC (172.21.0.90) needs to read alarm tables from PLC S2 via HTTP. It should not simultaneously be reachable from PLCs via NTP, poll HMIs, and have unrestricted access to every other PLC on the network.</w:t>
      </w:r>
    </w:p>
    <w:p>
      <w:pPr>
        <w:pStyle w:val="ListParagraph"/>
        <w:numPr>
          <w:ilvl w:val="0"/>
          <w:numId w:val="2"/>
        </w:numPr>
        <w:spacing w:after="60"/>
      </w:pPr>
      <w:r>
        <w:rPr>
          <w:rFonts w:ascii="Arial" w:cs="Arial" w:eastAsia="Arial" w:hAnsi="Arial"/>
          <w:b w:val="false"/>
          <w:bCs w:val="false"/>
          <w:color w:val="000000"/>
          <w:sz w:val="20"/>
          <w:szCs w:val="20"/>
        </w:rPr>
        <w:t xml:space="preserve">Engineering PCs need S7comm access to PLCs during programming windows only, not continuously from persistent network positions.</w:t>
      </w:r>
    </w:p>
    <w:p>
      <w:pPr>
        <w:pStyle w:val="ListParagraph"/>
        <w:numPr>
          <w:ilvl w:val="0"/>
          <w:numId w:val="2"/>
        </w:numPr>
        <w:spacing w:after="60"/>
      </w:pPr>
      <w:r>
        <w:rPr>
          <w:rFonts w:ascii="Arial" w:cs="Arial" w:eastAsia="Arial" w:hAnsi="Arial"/>
          <w:b w:val="false"/>
          <w:bCs w:val="false"/>
          <w:color w:val="000000"/>
          <w:sz w:val="20"/>
          <w:szCs w:val="20"/>
        </w:rPr>
        <w:t xml:space="preserve">PC Cobot-ML (172.21.1.90) requires OPC-UA access to PLC S2. It should not have reachability to PLCs S1, S3–S6 by default.</w:t>
      </w:r>
    </w:p>
    <w:p>
      <w:pPr>
        <w:pStyle w:val="ListParagraph"/>
        <w:numPr>
          <w:ilvl w:val="0"/>
          <w:numId w:val="2"/>
        </w:numPr>
        <w:spacing w:after="60"/>
      </w:pPr>
      <w:r>
        <w:rPr>
          <w:rFonts w:ascii="Arial" w:cs="Arial" w:eastAsia="Arial" w:hAnsi="Arial"/>
          <w:b w:val="false"/>
          <w:bCs w:val="false"/>
          <w:color w:val="000000"/>
          <w:sz w:val="20"/>
          <w:szCs w:val="20"/>
        </w:rPr>
        <w:t xml:space="preserve">Currently, every device on the /18 implicitly trusts every other device. Trust is granted by subnet membership, not by verified identity or role.</w:t>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3. Network Identification</w:t>
      </w:r>
    </w:p>
    <w:p>
      <w:pPr>
        <w:pStyle w:val="Heading2"/>
        <w:spacing w:after="80" w:before="280"/>
      </w:pPr>
      <w:r>
        <w:rPr>
          <w:rFonts w:ascii="Arial" w:cs="Arial" w:eastAsia="Arial" w:hAnsi="Arial"/>
          <w:b/>
          <w:bCs/>
          <w:color w:val="2E5F8A"/>
          <w:sz w:val="28"/>
          <w:szCs w:val="28"/>
        </w:rPr>
        <w:t xml:space="preserve">3.1 Observed Topology</w:t>
      </w:r>
    </w:p>
    <w:p>
      <w:pPr>
        <w:spacing w:after="120"/>
      </w:pPr>
      <w:r>
        <w:rPr>
          <w:rFonts w:ascii="Arial" w:cs="Arial" w:eastAsia="Arial" w:hAnsi="Arial"/>
          <w:b w:val="false"/>
          <w:bCs w:val="false"/>
          <w:color w:val="000000"/>
          <w:sz w:val="20"/>
          <w:szCs w:val="20"/>
        </w:rPr>
        <w:t xml:space="preserve">The entire lab operates on a single flat subnet: 172.21.0.0/18 (broadcast 172.21.63.255, gateway 172.21.0.230). No VLANs, no firewall zones, and no routing boundaries were observed between any device classes. All hosts — from the MES PC to individual PLCs and HMIs — share the same Layer 2 broadcast domain.</w:t>
      </w:r>
    </w:p>
    <w:p>
      <w:pPr>
        <w:spacing w:after="120"/>
      </w:pPr>
      <w:r>
        <w:t xml:space="preserve"/>
      </w:r>
    </w:p>
    <w:p>
      <w:pPr>
        <w:pStyle w:val="Heading2"/>
        <w:spacing w:after="80" w:before="280"/>
      </w:pPr>
      <w:r>
        <w:rPr>
          <w:rFonts w:ascii="Arial" w:cs="Arial" w:eastAsia="Arial" w:hAnsi="Arial"/>
          <w:b/>
          <w:bCs/>
          <w:color w:val="2E5F8A"/>
          <w:sz w:val="28"/>
          <w:szCs w:val="28"/>
        </w:rPr>
        <w:t xml:space="preserve">3.2 OT Network</w:t>
      </w:r>
    </w:p>
    <w:p>
      <w:pPr>
        <w:spacing w:after="120"/>
      </w:pPr>
      <w:r>
        <w:rPr>
          <w:rFonts w:ascii="Arial" w:cs="Arial" w:eastAsia="Arial" w:hAnsi="Arial"/>
          <w:b w:val="false"/>
          <w:bCs w:val="false"/>
          <w:color w:val="000000"/>
          <w:sz w:val="20"/>
          <w:szCs w:val="20"/>
        </w:rPr>
        <w:t xml:space="preserve">The OT layer consists of field-level and control-level devices across six stations and the robot arm cell. All reside on 172.21.0.0/18 alongside IT and administrative devices.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c>
          <w:tcPr>
            <w:tcW w:type="dxa" w:w="2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Device</w:t>
            </w:r>
          </w:p>
        </w:tc>
        <w:tc>
          <w:tcPr>
            <w:tcW w:type="dxa" w:w="16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IP</w:t>
            </w:r>
          </w:p>
        </w:tc>
        <w:tc>
          <w:tcPr>
            <w:tcW w:type="dxa" w:w="2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7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PLC S1–S6</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172.21.x.1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Siemens S7-1500 PLCs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Process controllers, each exposing HTTP/80, OPC-UA/4840, S7comm/102, PROFINET</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HMI S1–S6</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172.21.x.10</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Siemens MTP700</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Operator panels, PROFINET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Robot Arm</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172.21.1.40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Universal Robots UR3e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Cobot, firmware unconfirmed</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rfidboxcobot</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172.21.1.20</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Turck TBEN-S2-2RFID</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RFID reader, PROFINET</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Sensor S3</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172.21.3.50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SensoPart</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Vision sensor, HTTP</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ET200SP IO S2</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172.21.2.100</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Siemens IM155-6PN/2 HF</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PROFINET IO device, FW V4.2.4</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CPX Controller S2</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172.21.2.60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 CPX</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Protocol unconfirmed</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CPX Controller S6</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172.21.6.60</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 CPX</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PROFINET RT cyclic confirmed (UDP 1740–1743)</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Monitor S2</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172.21.2.61</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Siemens (10:DF:FC OUI)</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Protocol unconfirmed</w:t>
            </w:r>
          </w:p>
        </w:tc>
      </w:tr>
      <w:tr>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Power Monitor S6</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172.21.6.61</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Siemens (10:DF:FC OUI)</w:t>
            </w:r>
          </w:p>
        </w:tc>
        <w:tc>
          <w:tcPr>
            <w:tcW w:type="dxa" w:w="37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Protocol unconfirmed</w:t>
            </w:r>
          </w:p>
        </w:tc>
      </w:tr>
    </w:tbl>
    <w:p>
      <w:pPr>
        <w:spacing w:after="120"/>
      </w:pPr>
      <w:r>
        <w:t xml:space="preserve"/>
      </w:r>
    </w:p>
    <w:p>
      <w:pPr>
        <w:pStyle w:val="Heading2"/>
        <w:spacing w:after="80" w:before="280"/>
      </w:pPr>
      <w:r>
        <w:rPr>
          <w:rFonts w:ascii="Arial" w:cs="Arial" w:eastAsia="Arial" w:hAnsi="Arial"/>
          <w:b/>
          <w:bCs/>
          <w:color w:val="2E5F8A"/>
          <w:sz w:val="28"/>
          <w:szCs w:val="28"/>
        </w:rPr>
        <w:t xml:space="preserve">3.3 IT / MES Network</w:t>
      </w:r>
    </w:p>
    <w:p>
      <w:pPr>
        <w:spacing w:after="120"/>
      </w:pPr>
      <w:r>
        <w:rPr>
          <w:rFonts w:ascii="Arial" w:cs="Arial" w:eastAsia="Arial" w:hAnsi="Arial"/>
          <w:b w:val="false"/>
          <w:bCs w:val="false"/>
          <w:color w:val="000000"/>
          <w:sz w:val="20"/>
          <w:szCs w:val="20"/>
        </w:rPr>
        <w:t xml:space="preserve">IT-layer and management devices share the same /18 as the OT layer with no separation: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Device</w:t>
            </w:r>
          </w:p>
        </w:tc>
        <w:tc>
          <w:tcPr>
            <w:tcW w:type="dxa" w:w="16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IP</w:t>
            </w:r>
          </w:p>
        </w:tc>
        <w:tc>
          <w:tcPr>
            <w:tcW w:type="dxa" w:w="22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festo-mes-pc</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172.21.0.90</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MES / NTP Server</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Polls PLC S2 alarm table every ~3 s; NTP master; OPC-UA client to PLC S2</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desktop-6jd9ili</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172.21.0.168 / .192</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Engineering PC (dual-NIC)</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SIMATIC-PC family; TIA Portal host presumed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gebruik-tt8ke80</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172.21.0.165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VMware Host</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MACs: physical NIC (60:cf:84) + VMware vNIC (00:0c:29); VM roles unknown</w:t>
            </w:r>
          </w:p>
        </w:tc>
      </w:tr>
      <w:tr>
        <w:tc>
          <w:tcPr>
            <w:tcW w:type="dxa" w:w="24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PC Cobot-ML</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172.21.1.90</w:t>
            </w:r>
          </w:p>
        </w:tc>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ML Inference PC</w:t>
            </w:r>
          </w:p>
        </w:tc>
        <w:tc>
          <w:tcPr>
            <w:tcW w:type="dxa" w:w="3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OPC-UA client to PLC S2</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CPX-IOT</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172.21.0.210</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Unknown / MQTT?</w:t>
            </w:r>
          </w:p>
        </w:tc>
        <w:tc>
          <w:tcPr>
            <w:tcW w:type="dxa" w:w="3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 device; silent during all captures — cloud link unconfirmed</w:t>
            </w:r>
          </w:p>
        </w:tc>
      </w:tr>
    </w:tbl>
    <w:p>
      <w:pPr>
        <w:spacing w:after="120"/>
      </w:pPr>
      <w:r>
        <w:t xml:space="preserve"/>
      </w:r>
    </w:p>
    <w:p>
      <w:pPr>
        <w:pStyle w:val="Heading2"/>
        <w:spacing w:after="80" w:before="280"/>
      </w:pPr>
      <w:r>
        <w:rPr>
          <w:rFonts w:ascii="Arial" w:cs="Arial" w:eastAsia="Arial" w:hAnsi="Arial"/>
          <w:b/>
          <w:bCs/>
          <w:color w:val="2E5F8A"/>
          <w:sz w:val="28"/>
          <w:szCs w:val="28"/>
        </w:rPr>
        <w:t xml:space="preserve">3.4 Engineering Access</w:t>
      </w:r>
    </w:p>
    <w:p>
      <w:pPr>
        <w:spacing w:after="120"/>
      </w:pPr>
      <w:r>
        <w:rPr>
          <w:rFonts w:ascii="Arial" w:cs="Arial" w:eastAsia="Arial" w:hAnsi="Arial"/>
          <w:b w:val="false"/>
          <w:bCs w:val="false"/>
          <w:color w:val="000000"/>
          <w:sz w:val="20"/>
          <w:szCs w:val="20"/>
        </w:rPr>
        <w:t xml:space="preserve">At least three distinct engineering/programming channels were observed or inferred, none of which pass through any controlled access path:</w:t>
      </w:r>
    </w:p>
    <w:p>
      <w:pPr>
        <w:pStyle w:val="ListParagraph"/>
        <w:numPr>
          <w:ilvl w:val="0"/>
          <w:numId w:val="2"/>
        </w:numPr>
        <w:spacing w:after="60"/>
      </w:pPr>
      <w:r>
        <w:rPr>
          <w:rFonts w:ascii="Arial" w:cs="Arial" w:eastAsia="Arial" w:hAnsi="Arial"/>
          <w:b w:val="false"/>
          <w:bCs w:val="false"/>
          <w:color w:val="000000"/>
          <w:sz w:val="20"/>
          <w:szCs w:val="20"/>
        </w:rPr>
        <w:t xml:space="preserve">desktop-6jd9ili (172.21.0.168 / 172.21.0.192): Registered engineering PC with dual NICs. Presumed TIA Portal host.</w:t>
      </w:r>
    </w:p>
    <w:p>
      <w:pPr>
        <w:pStyle w:val="ListParagraph"/>
        <w:numPr>
          <w:ilvl w:val="0"/>
          <w:numId w:val="2"/>
        </w:numPr>
        <w:spacing w:after="60"/>
      </w:pPr>
      <w:r>
        <w:rPr>
          <w:rFonts w:ascii="Arial" w:cs="Arial" w:eastAsia="Arial" w:hAnsi="Arial"/>
          <w:b w:val="false"/>
          <w:bCs w:val="false"/>
          <w:color w:val="000000"/>
          <w:sz w:val="20"/>
          <w:szCs w:val="20"/>
        </w:rPr>
        <w:t xml:space="preserve">172.21.0.156 (MAC c4:c6:e6:d4:c3:81): Unregistered device. Maintained a persistent S7comm/102 session to PLC S2 across all five captures. Consistent with TIA Portal or Step 7 in online monitoring mode. This device is not in any inventory version.</w:t>
      </w:r>
    </w:p>
    <w:p>
      <w:pPr>
        <w:pStyle w:val="ListParagraph"/>
        <w:numPr>
          <w:ilvl w:val="0"/>
          <w:numId w:val="2"/>
        </w:numPr>
        <w:spacing w:after="60"/>
      </w:pPr>
      <w:r>
        <w:rPr>
          <w:rFonts w:ascii="Arial" w:cs="Arial" w:eastAsia="Arial" w:hAnsi="Arial"/>
          <w:b w:val="false"/>
          <w:bCs w:val="false"/>
          <w:color w:val="000000"/>
          <w:sz w:val="20"/>
          <w:szCs w:val="20"/>
        </w:rPr>
        <w:t xml:space="preserve">Kyan_laptop (172.21.0.179, MAC a0:ce:c8:f7:ab:c9): Identified by DCP as SIMATIC-PC family. Likely a student or visitor machine admitted to the OT subnet without restriction.</w:t>
      </w:r>
    </w:p>
    <w:p>
      <w:pPr>
        <w:spacing w:after="120"/>
      </w:pPr>
      <w:r>
        <w:t xml:space="preserve"/>
      </w:r>
    </w:p>
    <w:p>
      <w:pPr>
        <w:pStyle w:val="Heading2"/>
        <w:spacing w:after="80" w:before="280"/>
      </w:pPr>
      <w:r>
        <w:rPr>
          <w:rFonts w:ascii="Arial" w:cs="Arial" w:eastAsia="Arial" w:hAnsi="Arial"/>
          <w:b/>
          <w:bCs/>
          <w:color w:val="2E5F8A"/>
          <w:sz w:val="28"/>
          <w:szCs w:val="28"/>
        </w:rPr>
        <w:t xml:space="preserve">3.5 External &amp; Cloud Connections</w:t>
      </w:r>
    </w:p>
    <w:p>
      <w:pPr>
        <w:spacing w:after="120"/>
      </w:pPr>
      <w:r>
        <w:rPr>
          <w:rFonts w:ascii="Arial" w:cs="Arial" w:eastAsia="Arial" w:hAnsi="Arial"/>
          <w:b w:val="false"/>
          <w:bCs w:val="false"/>
          <w:color w:val="000000"/>
          <w:sz w:val="20"/>
          <w:szCs w:val="20"/>
        </w:rPr>
        <w:t xml:space="preserve">Two devices raise concerns about external connectivity:</w:t>
      </w:r>
    </w:p>
    <w:p>
      <w:pPr>
        <w:pStyle w:val="ListParagraph"/>
        <w:numPr>
          <w:ilvl w:val="0"/>
          <w:numId w:val="2"/>
        </w:numPr>
        <w:spacing w:after="60"/>
      </w:pPr>
      <w:r>
        <w:rPr>
          <w:rFonts w:ascii="Arial" w:cs="Arial" w:eastAsia="Arial" w:hAnsi="Arial"/>
          <w:b w:val="false"/>
          <w:bCs w:val="false"/>
          <w:color w:val="000000"/>
          <w:sz w:val="20"/>
          <w:szCs w:val="20"/>
        </w:rPr>
        <w:t xml:space="preserve">TP-Link device (172.21.0.200): Identified via UPnP SSDP as a TP-Link access point or router (MiniUPnPd/1.8). Broadcasts on TP-Link proprietary discovery port UDP/20002. If this device has a WAN port or wireless interface bridged to the OT subnet, it represents a direct internet-facing exposure.</w:t>
      </w:r>
    </w:p>
    <w:p>
      <w:pPr>
        <w:pStyle w:val="ListParagraph"/>
        <w:numPr>
          <w:ilvl w:val="0"/>
          <w:numId w:val="2"/>
        </w:numPr>
        <w:spacing w:after="60"/>
      </w:pPr>
      <w:r>
        <w:rPr>
          <w:rFonts w:ascii="Arial" w:cs="Arial" w:eastAsia="Arial" w:hAnsi="Arial"/>
          <w:b w:val="false"/>
          <w:bCs w:val="false"/>
          <w:color w:val="000000"/>
          <w:sz w:val="20"/>
          <w:szCs w:val="20"/>
        </w:rPr>
        <w:t xml:space="preserve">CPX-IOT (172.21.0.210): Festo device, OUI 00:0E:F0. Produced zero traffic in all five captures. The name 'IOT' and the CPX product line's known cloud connectivity features suggest it may be a cloud gateway (MQTT over internet). Its silence during captures could indicate an idle state or encrypted tunnelled traffic not visible at Layer 2.</w:t>
      </w:r>
    </w:p>
    <w:p>
      <w:pPr>
        <w:spacing w:after="120"/>
      </w:pPr>
      <w:r>
        <w:t xml:space="preserve"/>
      </w:r>
    </w:p>
    <w:p>
      <w:pPr>
        <w:pStyle w:val="Heading2"/>
        <w:spacing w:after="80" w:before="280"/>
      </w:pPr>
      <w:r>
        <w:rPr>
          <w:rFonts w:ascii="Arial" w:cs="Arial" w:eastAsia="Arial" w:hAnsi="Arial"/>
          <w:b/>
          <w:bCs/>
          <w:color w:val="2E5F8A"/>
          <w:sz w:val="28"/>
          <w:szCs w:val="28"/>
        </w:rPr>
        <w:t xml:space="preserve">3.6 Flat vs. Segmented Assessment</w:t>
      </w:r>
    </w:p>
    <w:p>
      <w:pPr>
        <w:spacing w:after="120"/>
      </w:pPr>
      <w:r>
        <w:rPr>
          <w:rFonts w:ascii="Arial" w:cs="Arial" w:eastAsia="Arial" w:hAnsi="Arial"/>
          <w:b w:val="false"/>
          <w:bCs w:val="false"/>
          <w:color w:val="000000"/>
          <w:sz w:val="20"/>
          <w:szCs w:val="20"/>
        </w:rPr>
        <w:t xml:space="preserve">The network is entirely flat. There is no evidence of any segmentation mechanism:</w:t>
      </w:r>
    </w:p>
    <w:p>
      <w:pPr>
        <w:pStyle w:val="ListParagraph"/>
        <w:numPr>
          <w:ilvl w:val="0"/>
          <w:numId w:val="2"/>
        </w:numPr>
        <w:spacing w:after="60"/>
      </w:pPr>
      <w:r>
        <w:rPr>
          <w:rFonts w:ascii="Arial" w:cs="Arial" w:eastAsia="Arial" w:hAnsi="Arial"/>
          <w:b w:val="false"/>
          <w:bCs w:val="false"/>
          <w:color w:val="000000"/>
          <w:sz w:val="20"/>
          <w:szCs w:val="20"/>
        </w:rPr>
        <w:t xml:space="preserve">No VLANs (capture1 shows VLAN tag value 0 = untagged/priority-tagged only on the PROFINET cyclic traffic, not a segmentation VLAN)</w:t>
      </w:r>
    </w:p>
    <w:p>
      <w:pPr>
        <w:pStyle w:val="ListParagraph"/>
        <w:numPr>
          <w:ilvl w:val="0"/>
          <w:numId w:val="2"/>
        </w:numPr>
        <w:spacing w:after="60"/>
      </w:pPr>
      <w:r>
        <w:rPr>
          <w:rFonts w:ascii="Arial" w:cs="Arial" w:eastAsia="Arial" w:hAnsi="Arial"/>
          <w:b w:val="false"/>
          <w:bCs w:val="false"/>
          <w:color w:val="000000"/>
          <w:sz w:val="20"/>
          <w:szCs w:val="20"/>
        </w:rPr>
        <w:t xml:space="preserve">No routed boundaries between device classes</w:t>
      </w:r>
    </w:p>
    <w:p>
      <w:pPr>
        <w:pStyle w:val="ListParagraph"/>
        <w:numPr>
          <w:ilvl w:val="0"/>
          <w:numId w:val="2"/>
        </w:numPr>
        <w:spacing w:after="60"/>
      </w:pPr>
      <w:r>
        <w:rPr>
          <w:rFonts w:ascii="Arial" w:cs="Arial" w:eastAsia="Arial" w:hAnsi="Arial"/>
          <w:b w:val="false"/>
          <w:bCs w:val="false"/>
          <w:color w:val="000000"/>
          <w:sz w:val="20"/>
          <w:szCs w:val="20"/>
        </w:rPr>
        <w:t xml:space="preserve">No firewall between MES and PLCs</w:t>
      </w:r>
    </w:p>
    <w:p>
      <w:pPr>
        <w:pStyle w:val="ListParagraph"/>
        <w:numPr>
          <w:ilvl w:val="0"/>
          <w:numId w:val="2"/>
        </w:numPr>
        <w:spacing w:after="60"/>
      </w:pPr>
      <w:r>
        <w:rPr>
          <w:rFonts w:ascii="Arial" w:cs="Arial" w:eastAsia="Arial" w:hAnsi="Arial"/>
          <w:b w:val="false"/>
          <w:bCs w:val="false"/>
          <w:color w:val="000000"/>
          <w:sz w:val="20"/>
          <w:szCs w:val="20"/>
        </w:rPr>
        <w:t xml:space="preserve">No DMZ or IDMZ between IT and OT layers</w:t>
      </w:r>
    </w:p>
    <w:p>
      <w:pPr>
        <w:pStyle w:val="ListParagraph"/>
        <w:numPr>
          <w:ilvl w:val="0"/>
          <w:numId w:val="2"/>
        </w:numPr>
        <w:spacing w:after="60"/>
      </w:pPr>
      <w:r>
        <w:rPr>
          <w:rFonts w:ascii="Arial" w:cs="Arial" w:eastAsia="Arial" w:hAnsi="Arial"/>
          <w:b w:val="false"/>
          <w:bCs w:val="false"/>
          <w:color w:val="000000"/>
          <w:sz w:val="20"/>
          <w:szCs w:val="20"/>
        </w:rPr>
        <w:t xml:space="preserve">No 802.1X or MAC-based port security on any observed switch</w:t>
      </w:r>
    </w:p>
    <w:p>
      <w:pPr>
        <w:spacing w:after="120"/>
      </w:pPr>
      <w:r>
        <w:rPr>
          <w:rFonts w:ascii="Arial" w:cs="Arial" w:eastAsia="Arial" w:hAnsi="Arial"/>
          <w:b w:val="false"/>
          <w:bCs w:val="false"/>
          <w:color w:val="000000"/>
          <w:sz w:val="20"/>
          <w:szCs w:val="20"/>
        </w:rPr>
        <w:t xml:space="preserve">From a Purdue Model / IEC 62443 zone perspective: the network presents as a single undifferentiated zone spanning Levels 0 through 3, with potential Level 4 exposure via the TP-Link device and CPX-IOT.</w:t>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4. Security Weaknesses</w:t>
      </w:r>
    </w:p>
    <w:p>
      <w:pPr>
        <w:spacing w:after="120"/>
      </w:pPr>
      <w:r>
        <w:rPr>
          <w:rFonts w:ascii="Arial" w:cs="Arial" w:eastAsia="Arial" w:hAnsi="Arial"/>
          <w:b w:val="false"/>
          <w:bCs w:val="false"/>
          <w:color w:val="000000"/>
          <w:sz w:val="20"/>
          <w:szCs w:val="20"/>
        </w:rPr>
        <w:t xml:space="preserve">Findings are rated CRITICAL / HIGH / MEDIUM / LOW based on exploitability and potential impact on process availability, safety, and data integrity.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7260"/>
      </w:tblGrid>
      <w:tr>
        <w:tc>
          <w:tcPr>
            <w:tcW w:type="dxa" w:w="9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72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F-01</w:t>
            </w:r>
          </w:p>
        </w:tc>
        <w:tc>
          <w:tcPr>
            <w:tcW w:type="dxa" w:w="12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CRITICAL</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Fully flat /18 network — no zone or conduit separation</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F-02</w:t>
            </w:r>
          </w:p>
        </w:tc>
        <w:tc>
          <w:tcPr>
            <w:tcW w:type="dxa" w:w="12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CRITICAL</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PLCs directly reachable from all hosts — no access control</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F-03</w:t>
            </w:r>
          </w:p>
        </w:tc>
        <w:tc>
          <w:tcPr>
            <w:tcW w:type="dxa" w:w="12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CRITICAL</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MES PC has unrestricted protocol access to all OT devices</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F-04</w:t>
            </w:r>
          </w:p>
        </w:tc>
        <w:tc>
          <w:tcPr>
            <w:tcW w:type="dxa" w:w="1200"/>
            <w:tcBorders>
              <w:top w:val="none" w:color="FFFFFF" w:sz="0"/>
              <w:left w:val="none" w:color="FFFFFF" w:sz="0"/>
              <w:bottom w:val="none" w:color="FFFFFF" w:sz="0"/>
              <w:right w:val="none" w:color="FFFFFF" w:sz="0"/>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CRITICAL</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Unregistered device actively programming PLCs via S7comm</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F-05</w:t>
            </w:r>
          </w:p>
        </w:tc>
        <w:tc>
          <w:tcPr>
            <w:tcW w:type="dxa" w:w="1200"/>
            <w:tcBorders>
              <w:top w:val="none" w:color="FFFFFF" w:sz="0"/>
              <w:left w:val="none" w:color="FFFFFF" w:sz="0"/>
              <w:bottom w:val="none" w:color="FFFFFF" w:sz="0"/>
              <w:right w:val="none" w:color="FFFFFF" w:sz="0"/>
            </w:tcBorders>
            <w:shd w:fill="D354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HIGH</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PLC web servers expose HTTP (plaintext) on the OT subnet</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F-06</w:t>
            </w:r>
          </w:p>
        </w:tc>
        <w:tc>
          <w:tcPr>
            <w:tcW w:type="dxa" w:w="1200"/>
            <w:tcBorders>
              <w:top w:val="none" w:color="FFFFFF" w:sz="0"/>
              <w:left w:val="none" w:color="FFFFFF" w:sz="0"/>
              <w:bottom w:val="none" w:color="FFFFFF" w:sz="0"/>
              <w:right w:val="none" w:color="FFFFFF" w:sz="0"/>
            </w:tcBorders>
            <w:shd w:fill="D354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HIGH</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OPC-UA servers on PLCs accessible network-wide with no observed auth</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F-07</w:t>
            </w:r>
          </w:p>
        </w:tc>
        <w:tc>
          <w:tcPr>
            <w:tcW w:type="dxa" w:w="1200"/>
            <w:tcBorders>
              <w:top w:val="none" w:color="FFFFFF" w:sz="0"/>
              <w:left w:val="none" w:color="FFFFFF" w:sz="0"/>
              <w:bottom w:val="none" w:color="FFFFFF" w:sz="0"/>
              <w:right w:val="none" w:color="FFFFFF" w:sz="0"/>
            </w:tcBorders>
            <w:shd w:fill="D354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HIGH</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TP-Link AP present on OT subnet — potential wireless attack surface</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F-08</w:t>
            </w:r>
          </w:p>
        </w:tc>
        <w:tc>
          <w:tcPr>
            <w:tcW w:type="dxa" w:w="1200"/>
            <w:tcBorders>
              <w:top w:val="none" w:color="FFFFFF" w:sz="0"/>
              <w:left w:val="none" w:color="FFFFFF" w:sz="0"/>
              <w:bottom w:val="none" w:color="FFFFFF" w:sz="0"/>
              <w:right w:val="none" w:color="FFFFFF" w:sz="0"/>
            </w:tcBorders>
            <w:shd w:fill="D354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HIGH</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Visitor/unvetted laptop (Kyan_laptop) on live OT network</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F-09</w:t>
            </w:r>
          </w:p>
        </w:tc>
        <w:tc>
          <w:tcPr>
            <w:tcW w:type="dxa" w:w="1200"/>
            <w:tcBorders>
              <w:top w:val="none" w:color="FFFFFF" w:sz="0"/>
              <w:left w:val="none" w:color="FFFFFF" w:sz="0"/>
              <w:bottom w:val="none" w:color="FFFFFF" w:sz="0"/>
              <w:right w:val="none" w:color="FFFFFF" w:sz="0"/>
            </w:tcBorders>
            <w:shd w:fill="D35400"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HIGH</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gebruik-tt8ke80 runs VMware with unknown VM roles on OT subnet</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F-10</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CPX-IOT cloud gateway: function and traffic unconfirmed</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F-11</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PROFINET carries no authentication — DCP allows rename/reconfigure</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F-12</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Power monitor and CPX controller protocols unconfirmed</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F-13</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Robot arm firmware version unverified</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F-14</w:t>
            </w:r>
          </w:p>
        </w:tc>
        <w:tc>
          <w:tcPr>
            <w:tcW w:type="dxa" w:w="1200"/>
            <w:tcBorders>
              <w:top w:val="none" w:color="FFFFFF" w:sz="0"/>
              <w:left w:val="none" w:color="FFFFFF" w:sz="0"/>
              <w:bottom w:val="none" w:color="FFFFFF" w:sz="0"/>
              <w:right w:val="none" w:color="FFFFFF" w:sz="0"/>
            </w:tcBorders>
            <w:shd w:fill="1E844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LOW</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NTP synchronisation provided by MES PC — single point of failure</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F-15</w:t>
            </w:r>
          </w:p>
        </w:tc>
        <w:tc>
          <w:tcPr>
            <w:tcW w:type="dxa" w:w="1200"/>
            <w:tcBorders>
              <w:top w:val="none" w:color="FFFFFF" w:sz="0"/>
              <w:left w:val="none" w:color="FFFFFF" w:sz="0"/>
              <w:bottom w:val="none" w:color="FFFFFF" w:sz="0"/>
              <w:right w:val="none" w:color="FFFFFF" w:sz="0"/>
            </w:tcBorders>
            <w:shd w:fill="1E844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LOW</w:t>
            </w:r>
          </w:p>
        </w:tc>
        <w:tc>
          <w:tcPr>
            <w:tcW w:type="dxa" w:w="7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ARP-only devices (.163, .170, .171, .175) not in inventory</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F-01 — CRITICAL: Fully Flat /18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62443-1-1 (Zone &amp; Conduit model) · IEC 62443-3-3 SR 5.1, SR 5.2 · ISO/IEC 27001 A.8.22 · NIS2 Art. 21</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21+ live hosts share 172.21.0.0/18 with no VLAN, no routed boundary, and no firewall between device classes. PLCs (Level 1/2), HMIs (Level 2), MES (Level 3), engineering PCs, visitor laptops, and infrastructure devices are on one broadcast domain.</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compromised or malicious host has Layer 3 reachability to every PLC, HMI, and sensor. Lateral movement from an infected engineering laptop to all six PLCs requires no exploitation of additional controls — there are none.</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a Purdue Model segmentation: Level 0/1 (field), Level 2 (control/HMI), Level 3 (MES), separated by firewalls or managed switch ACLs with an IDMZ between Levels 2 and 3. Each station subnet (172.21.x.0/24) should be a discrete security zone.</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F-02 — CRITICAL: Unrestricted PLC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1.1, SR 1.2, SR 5.1 · Defense-in-Depth · Least Privilege</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S7-1500 PLCs expose HTTP/80 (web server), OPC-UA/4840, and S7comm/102 simultaneously to the entire subnet. Confirmed by TCP conversation analysis across all captures. No authentication was observed at the network layer for any of these services.</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 attacker on any host in the /18 can connect to any PLC's S7comm port, issue read/write requests to process data, download or upload program blocks, or force a CPU STOP — without needing any credentials. All six production stations are simultaneously vulnerable from a single entry point.</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Apply PLC-level access controls: (1) Disable unused services (HTTP web server if not required for operations). (2) Enable TIA Portal's 'Know-How Protection' and CPU access protection. (3) Restrict S7comm/102 and OPC-UA/4840 to specific source IPs via firewall ACL. Engineering S7comm access should only be permitted from the engineering VLAN during active maintenance windows.</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F-03 — CRITICAL: No MES / OT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 (CSMS) · IEC 62443-3-3 SR 5.2 · ISO/IEC 27001 A.8.22 · Purdue Model Level 3 / Level 2 boundary</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festo-mes-pc (172.21.0.90) communicates directly with PLC S2 via HTTP (alarm polling), OPC-UA (process data), and NTP — all unmediated, with no DMZ or proxy. The MES and HMI S2 also exchange NTP directly.</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MES PC is a Windows-based SIMATIC-PC system and the most likely target for phishing, software supply-chain, or remote-access attacks. Compromise of the MES PC gives an attacker an already-trusted, persistent connection to PLC S2's control interface. Conversely, a malformed PLC response could exploit vulnerabilities in the MES software.</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Introduce an IDMZ (Industrial DMZ) between the MES and the OT layer. Only specific, validated protocols should traverse the IDMZ in defined directions: historian replication should be unidirectional (OT→IT only, via a data diode or enforced one-way gateway). Alarm polling from MES to PLC should be proxied through an application-layer gateway rather than a direct TCP session.</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F-04 — CRITICAL: Unregistered Device Programming PLCs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 (Asset Management / Change Control) · ISO/IEC 27001 A.8.1, A.8.19 · Zero Trust</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IP 172.21.0.156 (MAC c4:c6:e6:d4:c3:81, OUI unresolved) maintained a persistent, high-volume S7comm session to PLC S2 across all five capture files. This device appears in no version of the asset inventory. Its behaviour is consistent with TIA Portal in online monitoring or active programming mode.</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 unidentified device with S7comm write access to a live PLC represents a rogue programmer scenario. If this device is compromised or malicious, it can alter PLC logic, inject faults, or cause unsafe states on Station 2 without any audit trail. Its absence from the inventory means no baseline behaviour exists against which to detect anomalies.</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Immediately identify this device physically. Cross-reference the MAC with switch port tables. If it is a legitimate engineering station, add it to the inventory and bring it under change control. If it cannot be accounted for, treat as an incident. Engineering access to PLCs should require 802.1X authentication and be logged; S7comm should be blocked at the network layer outside authorised programming windows.</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F-05 — HIGH: PLC HTTP Web Servers (Plaintext)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1.3 (Authenticator Management) · Defense-in-Depth</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PLC S2 serves HTTP on port 80. The MES PC issues unauthenticated GET requests to /ClientArea/AlarmTable.mwsl approximately every 3 seconds. No TLS/HTTPS was observed. The same HTTP web server capability is present on all S7-1500 PLCs.</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Alarm and diagnostic data is transmitted in plaintext and can be intercepted or spoofed by any host on the subnet. The web server also provides a browser-accessible interface to PLC diagnostics that any subnet host can reach without authentication.</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the PLC web server is used operationally: (1) Enable HTTPS in TIA Portal PLC properties. (2) Enable access control / user authentication on the web server. (3) Restrict HTTP/HTTPS access to the MES PC IP only via firewall ACL. If the web server is not required, disable it entirely in TIA Portal.</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F-06 — HIGH: OPC-UA Accessible Network-Wide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1.1 · Least Privilege · Zero Trust</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OPC-UA port 4840 on PLC S2 receives connections from both 172.21.0.90 (MES PC) and 172.21.1.90 (PC Cobot-ML). No certificate-based authentication or SecurityPolicy enforcement was verifiable from packet analysis. OPC-UA is likely running in 'None' security mode, which is the S7-1500 default without explicit TIA Portal configuration.</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Any host on the /18 subnet can connect to the OPC-UA server and read/write process variables, depending on the server's address space configuration. OPC-UA with no security mode provides no protection against eavesdropping, tampering, or replay attacks.</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Configure OPC-UA to use SecurityMode=SignAndEncrypt with Basic256Sha256 or better. Deploy client certificates and enforce server-side certificate validation. Firewall OPC-UA/4840 to authorised client IPs only.</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F-07 — HIGH: TP-Link Access Point on OT Subnet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 21 · IEC 62443-2-1 · Defense-in-Depth</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172.21.0.200 (MAC 20:23:51:41:a2:88) was identified via UPnP SSDP as a TP-Link device running MiniUPnPd. It broadcasts on UDP/20002 (TP-Link proprietary management). If this device has a wireless interface bridged or NATted to the OT subnet, the physical perimeter of the lab network is effectively removed.</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wireless interface on the OT subnet enables attacks from outside the lab without physical access. Even if the wireless is WPA2-protected, consumer-grade TP-Link firmware has a poor security patching record and a history of CVEs. Critically, MiniUPnPd is an internet-facing port-forwarding daemon — it may be exposing OT services externally.</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the TP-Link device from the OT subnet immediately or isolate it on a separate management VLAN with no OT reachability. Audit the device's WAN/port-forwarding configuration. If internet access is required in the lab for administrative purposes, it must traverse a firewall on a separate IT network segment.</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F-08 — HIGH: Visitor/Unvetted Laptop on OT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 21(2)(h) · IEC 62443-2-1 (Access Management) · Zero Trust</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Kyan_laptop (172.21.0.179, MAC a0:ce:c8:f7:ab:c9) was identified by DCP scan as a SIMATIC-PC family device — indicating it has PROFINET network drivers installed, consistent with a student or lab visitor who has configured their laptop for PROFINET work. It was admitted to the live OT subnet without apparent restriction.</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personal or student laptop is far more likely to carry malware, have unpatched software, or be used outside the lab on untrusted networks than a managed workstation. Once on the OT subnet, it has the same access to PLCs as any other device.</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network admission control (802.1X or MAC allowlisting on the lab switches). Visitor/student devices should only access a dedicated quarantine VLAN with no OT reachability. If PROFINET access is needed for lab exercises, use a dedicated lab PC, not personal devices.</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F-09 — HIGH: VMware Host with Unknown VM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Standard Ref</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ISO/IEC 27001 A.8.1 (Asset Management) · IEC 62443-2-1 · Defense-in-Depth</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Observation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gebruik-tt8ke80 (172.21.0.165) presents two MACs at the same IP: 60:cf:84:d1:d0:d5 (physical NIC) and 00:0c:29:63:ba:59 (VMware virtual NIC, OUI confirmed). The roles and OS of hosted VMs are unknown. VMs with bridged networking inherit OT subnet membership.</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Impact</w:t>
            </w:r>
          </w:p>
        </w:tc>
        <w:tc>
          <w:tcPr>
            <w:tcW w:type="dxa" w:w="7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any VM is internet-connected or runs unpatched software, it provides a path from an untrusted environment to the OT subnet. Hypervisor vulnerabilities can also enable VM escape to the host, which has physical-layer OT access. Unknown VMs cannot be patched or monitored.</w:t>
            </w:r>
          </w:p>
        </w:tc>
      </w:tr>
      <w:tr>
        <w:tc>
          <w:tcPr>
            <w:tcW w:type="dxa" w:w="2000"/>
            <w:tcBorders>
              <w:top w:val="single" w:color="D0D0D0" w:sz="1"/>
              <w:left w:val="single" w:color="D0D0D0" w:sz="1"/>
              <w:bottom w:val="single" w:color="D0D0D0" w:sz="1"/>
              <w:right w:val="single" w:color="D0D0D0"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Recommendation</w:t>
            </w:r>
          </w:p>
        </w:tc>
        <w:tc>
          <w:tcPr>
            <w:tcW w:type="dxa" w:w="73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all VMs on this host. Determine whether any VM has internet connectivity and isolate it from OT. Consider whether VMware is appropriate on the OT subnet; if virtualisation is needed, use a hypervisor specifically evaluated for OT contexts.</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F-10 through F-15 — Medium / Low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000"/>
        <w:gridCol w:w="5460"/>
      </w:tblGrid>
      <w:tr>
        <w:tc>
          <w:tcPr>
            <w:tcW w:type="dxa" w:w="9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12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w:t>
            </w:r>
          </w:p>
        </w:tc>
        <w:tc>
          <w:tcPr>
            <w:tcW w:type="dxa" w:w="3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42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Recommendation Summary</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F-10</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CPX-IOT (172.21.0.210) produced zero traffic in all captures. Cloud/MQTT function unconfirmed.</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Determine if CPX-IOT has internet connectivity. If so, place behind a dedicated firewall with strict egress rules. Audit any cloud credentials stored on the device.</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2E5F8A"/>
                <w:sz w:val="18"/>
                <w:szCs w:val="18"/>
              </w:rPr>
              <w:t xml:space="preserve">F-11</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PROFINET has no authentication. Any host can send DCP Set Name/Address frames to rename or reconfigure a PROFINET device.</w:t>
            </w:r>
          </w:p>
        </w:tc>
        <w:tc>
          <w:tcPr>
            <w:tcW w:type="dxa" w:w="42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Restrict PROFINET (Layer 2, EtherType 0x8892) to known switch ports via VLAN and port security. Disable DCP Set capability on production devices in TIA Portal if supported.</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F-12</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 CPX controllers and Siemens power monitors have unconfirmed protocols. Their accessible services are unknown.</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 targeted protocol analysis (Modbus/502, IO-Link, REST) to characterise attack surface. Until confirmed, treat as unexposed and restrict to their station subnets.</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2E5F8A"/>
                <w:sz w:val="18"/>
                <w:szCs w:val="18"/>
              </w:rPr>
              <w:t xml:space="preserve">F-13</w:t>
            </w:r>
          </w:p>
        </w:tc>
        <w:tc>
          <w:tcPr>
            <w:tcW w:type="dxa" w:w="1200"/>
            <w:tcBorders>
              <w:top w:val="none" w:color="FFFFFF" w:sz="0"/>
              <w:left w:val="none" w:color="FFFFFF" w:sz="0"/>
              <w:bottom w:val="none" w:color="FFFFFF" w:sz="0"/>
              <w:right w:val="none" w:color="FFFFFF" w:sz="0"/>
            </w:tcBorders>
            <w:shd w:fill="D4A017"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MEDIUM</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Robot Arm UR3e firmware version not confirmed. UR robots have a known history of unauthenticated remote access CVEs.</w:t>
            </w:r>
          </w:p>
        </w:tc>
        <w:tc>
          <w:tcPr>
            <w:tcW w:type="dxa" w:w="42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Access the UR Polyscope web interface to confirm firmware version. Apply latest UR firmware updates. Restrict UR Robot port 29999 (dashboard) and 30001–30004 (streaming) to authorised hosts only.</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2E5F8A"/>
                <w:sz w:val="18"/>
                <w:szCs w:val="18"/>
              </w:rPr>
              <w:t xml:space="preserve">F-14</w:t>
            </w:r>
          </w:p>
        </w:tc>
        <w:tc>
          <w:tcPr>
            <w:tcW w:type="dxa" w:w="1200"/>
            <w:tcBorders>
              <w:top w:val="none" w:color="FFFFFF" w:sz="0"/>
              <w:left w:val="none" w:color="FFFFFF" w:sz="0"/>
              <w:bottom w:val="none" w:color="FFFFFF" w:sz="0"/>
              <w:right w:val="none" w:color="FFFFFF" w:sz="0"/>
            </w:tcBorders>
            <w:shd w:fill="1E844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LOW</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festo-mes-pc is the sole NTP server for the OT layer. Its compromise or failure desynchronises PLCs, which can disrupt PROFINET timing and historian timestamps.</w:t>
            </w:r>
          </w:p>
        </w:tc>
        <w:tc>
          <w:tcPr>
            <w:tcW w:type="dxa" w:w="4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a secondary NTP source (hardware GPS clock or secondary server). Authenticate NTP with NTS or MD5 keys between the MES PC and PLCs.</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2E5F8A"/>
                <w:sz w:val="18"/>
                <w:szCs w:val="18"/>
              </w:rPr>
              <w:t xml:space="preserve">F-15</w:t>
            </w:r>
          </w:p>
        </w:tc>
        <w:tc>
          <w:tcPr>
            <w:tcW w:type="dxa" w:w="1200"/>
            <w:tcBorders>
              <w:top w:val="none" w:color="FFFFFF" w:sz="0"/>
              <w:left w:val="none" w:color="FFFFFF" w:sz="0"/>
              <w:bottom w:val="none" w:color="FFFFFF" w:sz="0"/>
              <w:right w:val="none" w:color="FFFFFF" w:sz="0"/>
            </w:tcBorders>
            <w:shd w:fill="1E8449"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LOW</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Four hosts (.163, .170, .171, .175) are present in ARP only — no DCP or nmap response. Their identity and function are unknown.</w:t>
            </w:r>
          </w:p>
        </w:tc>
        <w:tc>
          <w:tcPr>
            <w:tcW w:type="dxa" w:w="42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Cross-reference MAC addresses with switch ARP tables and physically trace cables. Devices that cannot be identified should be removed from the network until documented.</w:t>
            </w:r>
          </w:p>
        </w:tc>
      </w:tr>
    </w:tbl>
    <w:p>
      <w:pPr>
        <w:spacing w:after="240"/>
      </w:pPr>
      <w:r>
        <w:t xml:space="preserve"/>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5. Prioritised Remediation Roadmap</w:t>
      </w:r>
    </w:p>
    <w:p>
      <w:pPr>
        <w:spacing w:after="120"/>
      </w:pPr>
      <w:r>
        <w:rPr>
          <w:rFonts w:ascii="Arial" w:cs="Arial" w:eastAsia="Arial" w:hAnsi="Arial"/>
          <w:b w:val="false"/>
          <w:bCs w:val="false"/>
          <w:color w:val="000000"/>
          <w:sz w:val="20"/>
          <w:szCs w:val="20"/>
        </w:rPr>
        <w:t xml:space="preserve">Actions are grouped into three phases based on effort and impact. Phase 1 items eliminate the most critical exposures with minimal infrastructure change.</w:t>
      </w:r>
    </w:p>
    <w:p>
      <w:pPr>
        <w:spacing w:after="120"/>
      </w:pPr>
      <w:r>
        <w:t xml:space="preserve"/>
      </w:r>
    </w:p>
    <w:p>
      <w:pPr>
        <w:pStyle w:val="Heading2"/>
        <w:spacing w:after="80" w:before="280"/>
      </w:pPr>
      <w:r>
        <w:rPr>
          <w:rFonts w:ascii="Arial" w:cs="Arial" w:eastAsia="Arial" w:hAnsi="Arial"/>
          <w:b/>
          <w:bCs/>
          <w:color w:val="2E5F8A"/>
          <w:sz w:val="28"/>
          <w:szCs w:val="28"/>
        </w:rPr>
        <w:t xml:space="preserve">Phase 1 — Immediate (0–4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2000"/>
        <w:gridCol w:w="2300"/>
      </w:tblGrid>
      <w:tr>
        <w:tc>
          <w:tcPr>
            <w:tcW w:type="dxa" w:w="9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Addresses</w:t>
            </w:r>
          </w:p>
        </w:tc>
        <w:tc>
          <w:tcPr>
            <w:tcW w:type="dxa" w:w="23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IEC 62443 / Standard Ref</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1.1</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Identify and quarantine/document 172.21.0.156 (unregistered S7comm device)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F-04</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 ISO A.8.1</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Remove TP-Link AP from OT subnet or place on isolated management VLAN</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F-07</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Art.21, IEC 62443-3-3 SR 5.2</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visitor/unregistered devices — implement MAC allowlist or 802.1X on lab switches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F-08, F-15</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 Zero Trust</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1.4</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Disable or restrict PLC HTTP web servers (port 80) for non-MES hosts</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F-05</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1.3</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Document gebruik-tt8ke80 VM roles; isolate any internet-connected VMs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F-09</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 A.8.1, IEC 62443-2-1</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1.6</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Audit and document CPX-IOT (172.21.0.210) — confirm/deny internet connectivity</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F-10</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Art.21(2)(e)</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Phase 2 — Short-Term (1–3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2000"/>
        <w:gridCol w:w="2300"/>
      </w:tblGrid>
      <w:tr>
        <w:tc>
          <w:tcPr>
            <w:tcW w:type="dxa" w:w="9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Addresses</w:t>
            </w:r>
          </w:p>
        </w:tc>
        <w:tc>
          <w:tcPr>
            <w:tcW w:type="dxa" w:w="23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Ref</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2.1</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 VLAN segmentation: OT (per-station), Engineering, MES, Infrastructure VLANs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F-01, F-02, F-03</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62443-1-1, SR 5.1</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2.2</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Install inter-VLAN firewall with default-deny; permit only documented flows</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F-01, F-02, F-03</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5.2, ISO A.8.22</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2.3</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Create IDMZ between MES and OT VLANs; proxy alarm polling through application gateway</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F-03</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5.2, Purdue L2/L3 boundary</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2.4</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Enable OPC-UA Sign+Encrypt (Basic256Sha256) on all PLCs; deploy client certificates</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F-06</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1.1</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 UR3e firmware version and apply updates; restrict UR ports to known hosts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F-13</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Art.21(2)(e)</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2.6</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Characterise Festo CPX and power monitor protocols; add to firewall ruleset</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F-12</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w:t>
            </w:r>
          </w:p>
        </w:tc>
      </w:tr>
    </w:tbl>
    <w:p>
      <w:pPr>
        <w:spacing w:after="240"/>
      </w:pPr>
      <w:r>
        <w:t xml:space="preserve"/>
      </w:r>
    </w:p>
    <w:p>
      <w:pPr>
        <w:pStyle w:val="Heading2"/>
        <w:spacing w:after="80" w:before="280"/>
      </w:pPr>
      <w:r>
        <w:rPr>
          <w:rFonts w:ascii="Arial" w:cs="Arial" w:eastAsia="Arial" w:hAnsi="Arial"/>
          <w:b/>
          <w:bCs/>
          <w:color w:val="2E5F8A"/>
          <w:sz w:val="28"/>
          <w:szCs w:val="28"/>
        </w:rPr>
        <w:t xml:space="preserve">Phase 3 — Medium-Term (3–12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2000"/>
        <w:gridCol w:w="2300"/>
      </w:tblGrid>
      <w:tr>
        <w:tc>
          <w:tcPr>
            <w:tcW w:type="dxa" w:w="9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1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2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Addresses</w:t>
            </w:r>
          </w:p>
        </w:tc>
        <w:tc>
          <w:tcPr>
            <w:tcW w:type="dxa" w:w="23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Ref</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Implement PLC access protection and know-how protection in TIA Portal for all stations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F-02</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1.1, SR 1.2</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3.2</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Deploy OT-aware IDS/IPS (e.g. Claroty, Nozomi, or Zeek + custom PROFINET rules) on SPAN port</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F-01–F-04</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Art.21, IEC 62443-2-1</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Restrict engineering S7comm access to defined maintenance windows; log all sessions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F-04</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2.8, Zero Trust</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3.4</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Evaluate unidirectional gateway (data diode) for historian replication path MES→IT</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F-03</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Defense-in-Depth, IEC 62443-3-3 SR 5.2</w:t>
            </w:r>
          </w:p>
        </w:tc>
      </w:tr>
      <w:tr>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w:t>
            </w:r>
          </w:p>
        </w:tc>
        <w:tc>
          <w:tcPr>
            <w:tcW w:type="dxa" w:w="4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secondary NTP source and enable NTP authentication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F-14</w:t>
            </w:r>
          </w:p>
        </w:tc>
        <w:tc>
          <w:tcPr>
            <w:tcW w:type="dxa" w:w="23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3.1</w:t>
            </w:r>
          </w:p>
        </w:tc>
      </w:tr>
      <w:tr>
        <w:tc>
          <w:tcPr>
            <w:tcW w:type="dxa" w:w="9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3.6</w:t>
            </w:r>
          </w:p>
        </w:tc>
        <w:tc>
          <w:tcPr>
            <w:tcW w:type="dxa" w:w="41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Establish and test OT incident response procedure covering PLC compromise and rogue device scenarios</w:t>
            </w:r>
          </w:p>
        </w:tc>
        <w:tc>
          <w:tcPr>
            <w:tcW w:type="dxa" w:w="2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W w:type="dxa" w:w="23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Art.21(2)(b), IEC 62443-2-1</w:t>
            </w:r>
          </w:p>
        </w:tc>
      </w:tr>
    </w:tbl>
    <w:p>
      <w:pPr>
        <w:spacing w:after="240"/>
      </w:pPr>
      <w:r>
        <w:t xml:space="preserve"/>
      </w:r>
    </w:p>
    <w:p>
      <w:r>
        <w:br w:type="page"/>
      </w:r>
    </w:p>
    <w:p>
      <w:pPr>
        <w:pStyle w:val="Heading1"/>
        <w:pBdr>
          <w:bottom w:val="single" w:color="2E5F8A" w:sz="6" w:space="4"/>
        </w:pBdr>
        <w:spacing w:after="120" w:before="360"/>
      </w:pPr>
      <w:r>
        <w:rPr>
          <w:rFonts w:ascii="Arial" w:cs="Arial" w:eastAsia="Arial" w:hAnsi="Arial"/>
          <w:b/>
          <w:bCs/>
          <w:color w:val="1F3864"/>
          <w:sz w:val="36"/>
          <w:szCs w:val="36"/>
        </w:rPr>
        <w:t xml:space="preserve">6. Standards Alignment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560"/>
        <w:gridCol w:w="1600"/>
      </w:tblGrid>
      <w:tr>
        <w:tc>
          <w:tcPr>
            <w:tcW w:type="dxa" w:w="22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 Requirement</w:t>
            </w:r>
          </w:p>
        </w:tc>
        <w:tc>
          <w:tcPr>
            <w:tcW w:type="dxa" w:w="30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 Summary</w:t>
            </w:r>
          </w:p>
        </w:tc>
        <w:tc>
          <w:tcPr>
            <w:tcW w:type="dxa" w:w="256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Current Status</w:t>
            </w:r>
          </w:p>
        </w:tc>
        <w:tc>
          <w:tcPr>
            <w:tcW w:type="dxa" w:w="1600"/>
            <w:tcBorders>
              <w:top w:val="single" w:color="D0D0D0" w:sz="1"/>
              <w:left w:val="single" w:color="D0D0D0" w:sz="1"/>
              <w:bottom w:val="single" w:color="D0D0D0" w:sz="1"/>
              <w:right w:val="single" w:color="D0D0D0"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Findings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62443-1-1
Zone &amp; Conduit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Define security zones; control conduits between zones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NOT MET — single flat zone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F-01, F-02, F-03</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62443-2-1
CSMS</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Asset inventory, risk assessment, access management, change control</w:t>
            </w:r>
          </w:p>
        </w:tc>
        <w:tc>
          <w:tcPr>
            <w:tcW w:type="dxa" w:w="2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D35400"/>
                <w:sz w:val="18"/>
                <w:szCs w:val="18"/>
              </w:rPr>
              <w:t xml:space="preserve">PARTIAL — incomplete inventory, no documented procedures evident</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F-04, F-09, F-15</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5.1 / 5.2</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Network segmentation; zone boundary protection</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NOT MET</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F-01, F-02, F-03</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IEC 62443-3-3
SR 1.1 / 1.2</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Human user identification; device authentication</w:t>
            </w:r>
          </w:p>
        </w:tc>
        <w:tc>
          <w:tcPr>
            <w:tcW w:type="dxa" w:w="2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NOT MET — no auth on S7comm, HTTP, or PROFINET</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F-02, F-05, F-06, F-11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ISO/IEC 27001
A.8.1 Asset Mgmt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Complete, maintained asset register</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35400"/>
                <w:sz w:val="18"/>
                <w:szCs w:val="18"/>
              </w:rPr>
              <w:t xml:space="preserve">PARTIAL — 6+ devices absent from inventory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F-04, F-09, F-15</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ISO/IEC 27001
A.8.22 Segmentation</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Separate groups of services and users</w:t>
            </w:r>
          </w:p>
        </w:tc>
        <w:tc>
          <w:tcPr>
            <w:tcW w:type="dxa" w:w="2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NOT MET</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F-01</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 21
Risk Management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Segmentation, access control, asset management</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NOT MET in all three areas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F-01–F-09</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NIS2 Art. 21(2)(e)
Supply Chain</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Manage vendor/software supply chain risk</w:t>
            </w:r>
          </w:p>
        </w:tc>
        <w:tc>
          <w:tcPr>
            <w:tcW w:type="dxa" w:w="2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NOT MET — unverified firmware across multiple vendors</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F-10, F-13</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Defense-in-Depth</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independent security layers</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NOT MET — single perimeter only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F-01–F-04</w:t>
            </w:r>
          </w:p>
        </w:tc>
      </w:tr>
      <w:tr>
        <w:tc>
          <w:tcPr>
            <w:tcW w:type="dxa" w:w="22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Least Privilege</w:t>
            </w:r>
          </w:p>
        </w:tc>
        <w:tc>
          <w:tcPr>
            <w:tcW w:type="dxa" w:w="30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Minimum necessary access per component</w:t>
            </w:r>
          </w:p>
        </w:tc>
        <w:tc>
          <w:tcPr>
            <w:tcW w:type="dxa" w:w="256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bCs/>
                <w:color w:val="C0392B"/>
                <w:sz w:val="18"/>
                <w:szCs w:val="18"/>
              </w:rPr>
              <w:t xml:space="preserve">NOT MET — all devices have unrestricted subnet access</w:t>
            </w:r>
          </w:p>
        </w:tc>
        <w:tc>
          <w:tcPr>
            <w:tcW w:type="dxa" w:w="1600"/>
            <w:tcBorders>
              <w:top w:val="single" w:color="D0D0D0" w:sz="1"/>
              <w:left w:val="single" w:color="D0D0D0" w:sz="1"/>
              <w:bottom w:val="single" w:color="D0D0D0" w:sz="1"/>
              <w:right w:val="single" w:color="D0D0D0"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F-02, F-03, F-06</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Zero Trust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implicit trust from network location</w:t>
            </w:r>
          </w:p>
        </w:tc>
        <w:tc>
          <w:tcPr>
            <w:tcW w:type="dxa" w:w="25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18"/>
                <w:szCs w:val="18"/>
              </w:rPr>
              <w:t xml:space="preserve">NOT MET — trust granted by /18 membership</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F-02, F-04, F-08</w:t>
            </w:r>
          </w:p>
        </w:tc>
      </w:tr>
    </w:tbl>
    <w:p>
      <w:pPr>
        <w:spacing w:after="240"/>
      </w:pPr>
      <w:r>
        <w:t xml:space="preserve"/>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F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2026-06-08T09:17:10.836Z</dcterms:created>
  <dcterms:modified xsi:type="dcterms:W3CDTF">2026-06-08T09:17:10.837Z</dcterms:modified>
</cp:coreProperties>
</file>

<file path=docProps/custom.xml><?xml version="1.0" encoding="utf-8"?>
<Properties xmlns="http://schemas.openxmlformats.org/officeDocument/2006/custom-properties" xmlns:vt="http://schemas.openxmlformats.org/officeDocument/2006/docPropsVTypes"/>
</file>