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Data Mining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do List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Mudar a variável flight para o plural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000000"/>
        </w:rPr>
      </w:pPr>
      <w:bookmarkStart w:colFirst="0" w:colLast="0" w:name="_xapcksnp0nk0" w:id="0"/>
      <w:bookmarkEnd w:id="0"/>
      <w:r w:rsidDel="00000000" w:rsidR="00000000" w:rsidRPr="00000000">
        <w:rPr>
          <w:b w:val="1"/>
          <w:color w:val="000000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Client: Amazing International Airlines Inc. (AIAI)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Objective: Customer segmentation for personalized marketing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Amazing International Airlines Inc. (AIAI)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Challenge: Design personalized services and marketing strategies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Context: Highly competitive airline industry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Opportunity: Leverage data‐driven customer segmentation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0"/>
          <w:szCs w:val="20"/>
          <w:rtl w:val="0"/>
        </w:rPr>
        <w:t xml:space="preserve">Dataset: 3‐year loyalty program and flight activity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000000"/>
        </w:rPr>
      </w:pPr>
      <w:bookmarkStart w:colFirst="0" w:colLast="0" w:name="_ycwde5o7jfye" w:id="1"/>
      <w:bookmarkEnd w:id="1"/>
      <w:r w:rsidDel="00000000" w:rsidR="00000000" w:rsidRPr="00000000">
        <w:rPr>
          <w:b w:val="1"/>
          <w:color w:val="000000"/>
          <w:rtl w:val="0"/>
        </w:rPr>
        <w:t xml:space="preserve">Project Overview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We act as consultants for AIAI and our task is to analyze customer loyalty data and corresponding flight activity collected over a three-year period [3, 2].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Based on this information, we have to develop a data-driven segmentation strategy. 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The segmentation should be approached from multiple perspectives, such as: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Value-based segmentation, grouping customers according to their economic contribution.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Behavioral segmentation, analyzing purchasing habits and travel behaviors.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 segmentation, categorizing customers by age, occupation, or other attributes to reveal </w:t>
      </w:r>
      <w:r w:rsidDel="00000000" w:rsidR="00000000" w:rsidRPr="00000000">
        <w:rPr>
          <w:rtl w:val="0"/>
        </w:rPr>
        <w:t xml:space="preserve">different interaction patterns.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b w:val="1"/>
          <w:rtl w:val="0"/>
        </w:rPr>
        <w:t xml:space="preserve">ltimate objective:</w:t>
      </w:r>
      <w:r w:rsidDel="00000000" w:rsidR="00000000" w:rsidRPr="00000000">
        <w:rPr>
          <w:rtl w:val="0"/>
        </w:rPr>
        <w:t xml:space="preserve"> integrate these perspectives into a final segmentation framework that supports AIAI in crafting a comprehensive marketing strategy.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cyan"/>
          <w:rtl w:val="0"/>
        </w:rPr>
        <w:t xml:space="preserve">Teacher recommendation: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To structure the project, we recommend applying the </w:t>
      </w:r>
      <w:r w:rsidDel="00000000" w:rsidR="00000000" w:rsidRPr="00000000">
        <w:rPr>
          <w:b w:val="1"/>
          <w:rtl w:val="0"/>
        </w:rPr>
        <w:t xml:space="preserve">CRISP-DM </w:t>
      </w:r>
      <w:r w:rsidDel="00000000" w:rsidR="00000000" w:rsidRPr="00000000">
        <w:rPr>
          <w:rtl w:val="0"/>
        </w:rPr>
        <w:t xml:space="preserve">methodology [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], progressing systematically from business understanding and data preparation through modeling and evaluation.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fa8dc"/>
          <w:rtl w:val="0"/>
        </w:rPr>
        <w:t xml:space="preserve">Nota: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CRISP-DM - (Cross-Industry Standard Process for Data Mining), que é um padrão de processo amplamente utilizado para projetos de mineração de dados e ciência de dados. Esta metodologia é dividida em 6 fases (chat)</w:t>
      </w:r>
    </w:p>
    <w:p w:rsidR="00000000" w:rsidDel="00000000" w:rsidP="00000000" w:rsidRDefault="00000000" w:rsidRPr="00000000" w14:paraId="0000001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 CRISP-DM é cíclico, ou seja, pode-se retornar a fases anteriores conforme surgem novos insights ou problemas.</w:t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>
          <w:b w:val="1"/>
          <w:color w:val="000000"/>
          <w:sz w:val="26"/>
          <w:szCs w:val="26"/>
        </w:rPr>
      </w:pPr>
      <w:bookmarkStart w:colFirst="0" w:colLast="0" w:name="_saxcmccewx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 Summary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402476</wp:posOffset>
            </wp:positionV>
            <wp:extent cx="4252913" cy="192158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921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 1: Exploratory Data Analysis (30 points)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uncovering meaningful patterns, identifying limitations, and generating initial hypotheses about customer groups.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key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Conduct descriptive statistics and visualizations to highlight distributions, trends, and anomalies, while noting which variables appear most relevant for segmentation.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Assess data quality issues and evaluate how these may affect clustering reliability.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Identify preliminary behavioral signals that suggest distinct types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and justify engineered features. Show how these derived variables capture richer aspects of customer behavior and explain their potential contribution to clustering models.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presenting results, consider addressing the following: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findings were most unexpected or insightful, and what do they reveal about likely customer clusters?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limitations pose the greatest risks for clustering, and how might they be mitigated?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patterns in customer activity, including those revealed by engineered features, suggest natural </w:t>
      </w:r>
      <w:r w:rsidDel="00000000" w:rsidR="00000000" w:rsidRPr="00000000">
        <w:rPr>
          <w:rtl w:val="0"/>
        </w:rPr>
        <w:t xml:space="preserve">groupings, and what cluster characteristics do you anticipate?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communicate these insights to non-technical stakeholders? Include a clear explanation </w:t>
      </w:r>
      <w:r w:rsidDel="00000000" w:rsidR="00000000" w:rsidRPr="00000000">
        <w:rPr>
          <w:rtl w:val="0"/>
        </w:rPr>
        <w:t xml:space="preserve">of the expected number of clusters, the most important differentiating features, and any anticipated </w:t>
      </w:r>
      <w:r w:rsidDel="00000000" w:rsidR="00000000" w:rsidRPr="00000000">
        <w:rPr>
          <w:rtl w:val="0"/>
        </w:rPr>
        <w:t xml:space="preserve">challenges.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 1: Jupyter Notebook (5 points)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Jupyter notebook following file naming format GroupXX_EDA_Code.ipynb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All code cells executed with visible outputs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Systematic data exploration workflow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Organized code, using Markdown headings to separate sections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Clean, well-documented code with consistent variable naming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Error-free execution in fresh environment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 2: Report (15 points)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component evaluates analytical thinking and business insight as you transform technical exploration </w:t>
      </w:r>
      <w:r w:rsidDel="00000000" w:rsidR="00000000" w:rsidRPr="00000000">
        <w:rPr>
          <w:rtl w:val="0"/>
        </w:rPr>
        <w:t xml:space="preserve">into strategic insights, following CRISP-DM methodology to prepare for segmentation analysis.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Report following file naming format GroupXX_EDA_Report.pdf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Maximum of 5 pages of content using provided framework and template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Insights and interpretations (not just data descriptions)</w:t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 3: Infographic Poster (10 points)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This component assesses your ability to communicate key insights to business stakeholders, translating technical findings into understandable visual summaries. This deliverable should be targeted at AIAI management team seeking data-driven insights for customer strategy.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Single page poster following file naming format GroupXX_EDA_Poster.pdf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A3 size poster in PDF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- 3-4 key findings with supporting visualizations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Non-technical language accessible to executives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Professional design with clear information hierarchy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Focus on insights that inform segmentation strategy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b w:val="1"/>
          <w:color w:val="000000"/>
        </w:rPr>
      </w:pPr>
      <w:bookmarkStart w:colFirst="0" w:colLast="0" w:name="_b0rowxf80ys0" w:id="3"/>
      <w:bookmarkEnd w:id="3"/>
      <w:r w:rsidDel="00000000" w:rsidR="00000000" w:rsidRPr="00000000">
        <w:rPr>
          <w:b w:val="1"/>
          <w:color w:val="000000"/>
          <w:rtl w:val="0"/>
        </w:rPr>
        <w:t xml:space="preserve">General Polices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Generative AI tools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The use of generative AI tools is permitted but must be fully disclosed. It is essential that the students’ </w:t>
      </w:r>
      <w:r w:rsidDel="00000000" w:rsidR="00000000" w:rsidRPr="00000000">
        <w:rPr>
          <w:rtl w:val="0"/>
        </w:rPr>
        <w:t xml:space="preserve">own contributions to the report exceed that of any AI tools used.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Students must include a section in the annex of the report documenting the use of AI tools (Annex AI Usage Statement).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Students must document specific AI tool usage (ChatGPT, Claude, Gemini, etc.)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Students must specify how AI tool was used (ideation, code assistance, refining, proofreading).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If the group did not use AI tools, this statement must explicitly state this.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Students are fully responsible for the contents of the report they submit, including any material generated or assisted by AI tools.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Do not just copy and paste the results if AI tools are used.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Students may be asked to explain the meaning of any AI-generated content submitted to ensure their </w:t>
      </w:r>
      <w:r w:rsidDel="00000000" w:rsidR="00000000" w:rsidRPr="00000000">
        <w:rPr>
          <w:rtl w:val="0"/>
        </w:rPr>
        <w:t xml:space="preserve">comprehension.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Components Overview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Component 1: Jupyter Notebook (5 points)</w:t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File: GroupXX_EDA_Code.ipynb</w:t>
      </w:r>
    </w:p>
    <w:p w:rsidR="00000000" w:rsidDel="00000000" w:rsidP="00000000" w:rsidRDefault="00000000" w:rsidRPr="00000000" w14:paraId="000000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Clean, documented code with systematic workflow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Component 2: Report (15 points)</w:t>
      </w:r>
    </w:p>
    <w:p w:rsidR="00000000" w:rsidDel="00000000" w:rsidP="00000000" w:rsidRDefault="00000000" w:rsidRPr="00000000" w14:paraId="000000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File: GroupXX_EDA_Report.pdf</w:t>
      </w:r>
    </w:p>
    <w:p w:rsidR="00000000" w:rsidDel="00000000" w:rsidP="00000000" w:rsidRDefault="00000000" w:rsidRPr="00000000" w14:paraId="000000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Maximum 5 pages using CRISP‐DM framework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Component 3: Infographic Poster (10 points)</w:t>
      </w:r>
    </w:p>
    <w:p w:rsidR="00000000" w:rsidDel="00000000" w:rsidP="00000000" w:rsidRDefault="00000000" w:rsidRPr="00000000" w14:paraId="000000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File: GroupXX_EDA_Poster.pdf</w:t>
      </w:r>
    </w:p>
    <w:p w:rsidR="00000000" w:rsidDel="00000000" w:rsidP="00000000" w:rsidRDefault="00000000" w:rsidRPr="00000000" w14:paraId="000000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A3 size, executive‐focused communication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7.9133858267733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