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i w:val="false"/>
          <w:iCs w:val="false"/>
          <w:sz w:val="32"/>
          <w:szCs w:val="32"/>
        </w:rPr>
        <w:t xml:space="preserve">NON-DISCLOSURE AGREEMENT</w:t>
      </w:r>
    </w:p>
    <w:p>
      <w:pPr>
        <w:spacing w:after="60"/>
        <w:jc w:val="center"/>
      </w:pPr>
      <w:r>
        <w:rPr>
          <w:rFonts w:ascii="Times New Roman" w:cs="Times New Roman" w:eastAsia="Times New Roman" w:hAnsi="Times New Roman"/>
          <w:b/>
          <w:bCs/>
          <w:i w:val="false"/>
          <w:iCs w:val="false"/>
          <w:sz w:val="24"/>
          <w:szCs w:val="24"/>
        </w:rPr>
        <w:t xml:space="preserve">Flagrr Golf Loyalty Platform</w:t>
      </w:r>
    </w:p>
    <w:p>
      <w:pPr>
        <w:spacing w:after="100"/>
        <w:jc w:val="center"/>
      </w:pPr>
      <w:r>
        <w:rPr>
          <w:rFonts w:ascii="Times New Roman" w:cs="Times New Roman" w:eastAsia="Times New Roman" w:hAnsi="Times New Roman"/>
          <w:b w:val="false"/>
          <w:bCs w:val="false"/>
          <w:i/>
          <w:iCs/>
          <w:sz w:val="22"/>
          <w:szCs w:val="22"/>
        </w:rPr>
        <w:t xml:space="preserve">Prospective Investors</w:t>
      </w:r>
    </w:p>
    <w:p>
      <w:pPr>
        <w:pBdr>
          <w:bottom w:val="single" w:color="999999" w:sz="6" w:space="1"/>
        </w:pBdr>
        <w:spacing w:after="260" w:before="200"/>
      </w:pPr>
    </w:p>
    <w:p>
      <w:pPr>
        <w:spacing w:after="160" w:line="276"/>
        <w:jc w:val="both"/>
      </w:pPr>
      <w:r>
        <w:rPr>
          <w:rFonts w:ascii="Times New Roman" w:cs="Times New Roman" w:eastAsia="Times New Roman" w:hAnsi="Times New Roman"/>
          <w:b w:val="false"/>
          <w:bCs w:val="false"/>
          <w:i w:val="false"/>
          <w:iCs w:val="false"/>
          <w:sz w:val="22"/>
          <w:szCs w:val="22"/>
        </w:rPr>
        <w:t xml:space="preserve">This Non-Disclosure Agreement (the </w:t>
      </w:r>
      <w:r>
        <w:rPr>
          <w:rFonts w:ascii="Times New Roman" w:cs="Times New Roman" w:eastAsia="Times New Roman" w:hAnsi="Times New Roman"/>
          <w:b/>
          <w:bCs/>
          <w:i w:val="false"/>
          <w:iCs w:val="false"/>
          <w:sz w:val="22"/>
          <w:szCs w:val="22"/>
        </w:rPr>
        <w:t xml:space="preserve">“Agreement”</w:t>
      </w:r>
      <w:r>
        <w:rPr>
          <w:rFonts w:ascii="Times New Roman" w:cs="Times New Roman" w:eastAsia="Times New Roman" w:hAnsi="Times New Roman"/>
          <w:b w:val="false"/>
          <w:bCs w:val="false"/>
          <w:i w:val="false"/>
          <w:iCs w:val="false"/>
          <w:sz w:val="22"/>
          <w:szCs w:val="22"/>
        </w:rPr>
        <w:t xml:space="preserve">) is entered into on ____________________________ (the </w:t>
      </w:r>
      <w:r>
        <w:rPr>
          <w:rFonts w:ascii="Times New Roman" w:cs="Times New Roman" w:eastAsia="Times New Roman" w:hAnsi="Times New Roman"/>
          <w:b/>
          <w:bCs/>
          <w:i w:val="false"/>
          <w:iCs w:val="false"/>
          <w:sz w:val="22"/>
          <w:szCs w:val="22"/>
        </w:rPr>
        <w:t xml:space="preserve">“Effective Date”</w:t>
      </w:r>
      <w:r>
        <w:rPr>
          <w:rFonts w:ascii="Times New Roman" w:cs="Times New Roman" w:eastAsia="Times New Roman" w:hAnsi="Times New Roman"/>
          <w:b w:val="false"/>
          <w:bCs w:val="false"/>
          <w:i w:val="false"/>
          <w:iCs w:val="false"/>
          <w:sz w:val="22"/>
          <w:szCs w:val="22"/>
        </w:rPr>
        <w:t xml:space="preserve">) between:</w:t>
      </w:r>
    </w:p>
    <w:p>
      <w:pPr>
        <w:spacing w:after="160" w:line="276"/>
        <w:jc w:val="both"/>
      </w:pPr>
      <w:r>
        <w:rPr>
          <w:rFonts w:ascii="Times New Roman" w:cs="Times New Roman" w:eastAsia="Times New Roman" w:hAnsi="Times New Roman"/>
          <w:b/>
          <w:bCs/>
          <w:i w:val="false"/>
          <w:iCs w:val="false"/>
          <w:sz w:val="22"/>
          <w:szCs w:val="22"/>
        </w:rPr>
        <w:t xml:space="preserve">(1) EWO Solutions (Pty) Ltd</w:t>
      </w:r>
      <w:r>
        <w:rPr>
          <w:rFonts w:ascii="Times New Roman" w:cs="Times New Roman" w:eastAsia="Times New Roman" w:hAnsi="Times New Roman"/>
          <w:b w:val="false"/>
          <w:bCs w:val="false"/>
          <w:i w:val="false"/>
          <w:iCs w:val="false"/>
          <w:sz w:val="22"/>
          <w:szCs w:val="22"/>
        </w:rPr>
        <w:t xml:space="preserve">, a private company incorporated under the laws of the Republic of South Africa with registration number </w:t>
      </w:r>
      <w:r>
        <w:rPr>
          <w:rFonts w:ascii="Times New Roman" w:cs="Times New Roman" w:eastAsia="Times New Roman" w:hAnsi="Times New Roman"/>
          <w:b/>
          <w:bCs/>
          <w:i w:val="false"/>
          <w:iCs w:val="false"/>
          <w:sz w:val="22"/>
          <w:szCs w:val="22"/>
        </w:rPr>
        <w:t xml:space="preserve">2022/212834/07</w:t>
      </w:r>
      <w:r>
        <w:rPr>
          <w:rFonts w:ascii="Times New Roman" w:cs="Times New Roman" w:eastAsia="Times New Roman" w:hAnsi="Times New Roman"/>
          <w:b w:val="false"/>
          <w:bCs w:val="false"/>
          <w:i w:val="false"/>
          <w:iCs w:val="false"/>
          <w:sz w:val="22"/>
          <w:szCs w:val="22"/>
        </w:rPr>
        <w:t xml:space="preserve">, of </w:t>
      </w:r>
      <w:r>
        <w:rPr>
          <w:rFonts w:ascii="Times New Roman" w:cs="Times New Roman" w:eastAsia="Times New Roman" w:hAnsi="Times New Roman"/>
          <w:b/>
          <w:bCs/>
          <w:i w:val="false"/>
          <w:iCs w:val="false"/>
          <w:sz w:val="22"/>
          <w:szCs w:val="22"/>
        </w:rPr>
        <w:t xml:space="preserve">11 Gardner Williams Avenue, Paardevlei, Cape Town, 7130</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 and</w:t>
      </w:r>
    </w:p>
    <w:p>
      <w:pPr>
        <w:spacing w:after="160" w:line="276"/>
        <w:jc w:val="both"/>
      </w:pPr>
      <w:r>
        <w:rPr>
          <w:rFonts w:ascii="Times New Roman" w:cs="Times New Roman" w:eastAsia="Times New Roman" w:hAnsi="Times New Roman"/>
          <w:b/>
          <w:bCs/>
          <w:i w:val="false"/>
          <w:iCs w:val="false"/>
          <w:sz w:val="22"/>
          <w:szCs w:val="22"/>
        </w:rPr>
        <w:t xml:space="preserve">(2)</w:t>
      </w:r>
      <w:r>
        <w:rPr>
          <w:rFonts w:ascii="Times New Roman" w:cs="Times New Roman" w:eastAsia="Times New Roman" w:hAnsi="Times New Roman"/>
          <w:b w:val="false"/>
          <w:bCs w:val="false"/>
          <w:i w:val="false"/>
          <w:iCs w:val="false"/>
          <w:sz w:val="22"/>
          <w:szCs w:val="22"/>
        </w:rPr>
        <w:t xml:space="preserve"> _______________________________________________________________, with registration number or identity number ______________________________, of _______________________________________________________________ (the </w:t>
      </w:r>
      <w:r>
        <w:rPr>
          <w:rFonts w:ascii="Times New Roman" w:cs="Times New Roman" w:eastAsia="Times New Roman" w:hAnsi="Times New Roman"/>
          <w:b/>
          <w:bCs/>
          <w:i w:val="false"/>
          <w:iCs w:val="false"/>
          <w:sz w:val="22"/>
          <w:szCs w:val="22"/>
        </w:rPr>
        <w:t xml:space="preserve">“Recipient”</w:t>
      </w:r>
      <w:r>
        <w:rPr>
          <w:rFonts w:ascii="Times New Roman" w:cs="Times New Roman" w:eastAsia="Times New Roman" w:hAnsi="Times New Roman"/>
          <w:b w:val="false"/>
          <w:bCs w:val="false"/>
          <w:i w:val="false"/>
          <w:iCs w:val="false"/>
          <w:sz w:val="22"/>
          <w:szCs w:val="22"/>
        </w:rPr>
        <w:t xml:space="preserve">),</w:t>
      </w:r>
    </w:p>
    <w:p>
      <w:pPr>
        <w:spacing w:after="160" w:line="276"/>
        <w:jc w:val="both"/>
      </w:pPr>
      <w:r>
        <w:rPr>
          <w:rFonts w:ascii="Times New Roman" w:cs="Times New Roman" w:eastAsia="Times New Roman" w:hAnsi="Times New Roman"/>
          <w:b w:val="false"/>
          <w:bCs w:val="false"/>
          <w:i w:val="false"/>
          <w:iCs w:val="false"/>
          <w:sz w:val="22"/>
          <w:szCs w:val="22"/>
        </w:rPr>
        <w:t xml:space="preserve">each a </w:t>
      </w:r>
      <w:r>
        <w:rPr>
          <w:rFonts w:ascii="Times New Roman" w:cs="Times New Roman" w:eastAsia="Times New Roman" w:hAnsi="Times New Roman"/>
          <w:b/>
          <w:bCs/>
          <w:i w:val="false"/>
          <w:iCs w:val="false"/>
          <w:sz w:val="22"/>
          <w:szCs w:val="22"/>
        </w:rPr>
        <w:t xml:space="preserve">“Party”</w:t>
      </w:r>
      <w:r>
        <w:rPr>
          <w:rFonts w:ascii="Times New Roman" w:cs="Times New Roman" w:eastAsia="Times New Roman" w:hAnsi="Times New Roman"/>
          <w:b w:val="false"/>
          <w:bCs w:val="false"/>
          <w:i w:val="false"/>
          <w:iCs w:val="false"/>
          <w:sz w:val="22"/>
          <w:szCs w:val="22"/>
        </w:rPr>
        <w:t xml:space="preserve"> and together the </w:t>
      </w:r>
      <w:r>
        <w:rPr>
          <w:rFonts w:ascii="Times New Roman" w:cs="Times New Roman" w:eastAsia="Times New Roman" w:hAnsi="Times New Roman"/>
          <w:b/>
          <w:bCs/>
          <w:i w:val="false"/>
          <w:iCs w:val="false"/>
          <w:sz w:val="22"/>
          <w:szCs w:val="22"/>
        </w:rPr>
        <w:t xml:space="preserve">“Parties”</w:t>
      </w:r>
      <w:r>
        <w:rPr>
          <w:rFonts w:ascii="Times New Roman" w:cs="Times New Roman" w:eastAsia="Times New Roman" w:hAnsi="Times New Roman"/>
          <w:b w:val="false"/>
          <w:bCs w:val="false"/>
          <w:i w:val="false"/>
          <w:iCs w:val="false"/>
          <w:sz w:val="22"/>
          <w:szCs w:val="22"/>
        </w:rPr>
        <w:t xml:space="preserve">.</w:t>
      </w:r>
    </w:p>
    <w:p>
      <w:pPr>
        <w:pBdr>
          <w:bottom w:val="single" w:color="999999" w:sz="6" w:space="1"/>
        </w:pBdr>
        <w:spacing w:after="260" w:before="200"/>
      </w:pPr>
    </w:p>
    <w:p>
      <w:pPr>
        <w:pStyle w:val="Heading1"/>
        <w:spacing w:after="180" w:before="320"/>
      </w:pPr>
      <w:r>
        <w:rPr>
          <w:rFonts w:ascii="Times New Roman" w:cs="Times New Roman" w:eastAsia="Times New Roman" w:hAnsi="Times New Roman"/>
          <w:b/>
          <w:bCs/>
          <w:i w:val="false"/>
          <w:iCs w:val="false"/>
          <w:sz w:val="24"/>
          <w:szCs w:val="24"/>
        </w:rPr>
        <w:t xml:space="preserve">1. Background and Purpose</w:t>
      </w:r>
    </w:p>
    <w:p>
      <w:pPr>
        <w:tabs>
          <w:tab w:val="left" w:pos="720"/>
        </w:tabs>
        <w:spacing w:after="160" w:line="276"/>
        <w:ind w:left="720" w:hanging="720"/>
        <w:jc w:val="both"/>
      </w:pPr>
      <w:r>
        <w:rPr>
          <w:rFonts w:ascii="Times New Roman" w:cs="Times New Roman" w:eastAsia="Times New Roman" w:hAnsi="Times New Roman"/>
          <w:sz w:val="22"/>
          <w:szCs w:val="22"/>
        </w:rPr>
        <w:t xml:space="preserve">1.1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Company owns and operates </w:t>
      </w:r>
      <w:r>
        <w:rPr>
          <w:rFonts w:ascii="Times New Roman" w:cs="Times New Roman" w:eastAsia="Times New Roman" w:hAnsi="Times New Roman"/>
          <w:b/>
          <w:bCs/>
          <w:i w:val="false"/>
          <w:iCs w:val="false"/>
          <w:sz w:val="22"/>
          <w:szCs w:val="22"/>
        </w:rPr>
        <w:t xml:space="preserve">Flagrr</w:t>
      </w:r>
      <w:r>
        <w:rPr>
          <w:rFonts w:ascii="Times New Roman" w:cs="Times New Roman" w:eastAsia="Times New Roman" w:hAnsi="Times New Roman"/>
          <w:b w:val="false"/>
          <w:bCs w:val="false"/>
          <w:i w:val="false"/>
          <w:iCs w:val="false"/>
          <w:sz w:val="22"/>
          <w:szCs w:val="22"/>
        </w:rPr>
        <w:t xml:space="preserve"> (also written “Flaggr”), a golf loyalty platform under which members of participating golf clubs earn a loyalty currency (“Flagrr Cash”) by scanning till receipts and recording rounds played, and redeem that currency for rewards, together with its mobile and web applications, backend services, databases and related materials (the </w:t>
      </w:r>
      <w:r>
        <w:rPr>
          <w:rFonts w:ascii="Times New Roman" w:cs="Times New Roman" w:eastAsia="Times New Roman" w:hAnsi="Times New Roman"/>
          <w:b/>
          <w:bCs/>
          <w:i w:val="false"/>
          <w:iCs w:val="false"/>
          <w:sz w:val="22"/>
          <w:szCs w:val="22"/>
        </w:rPr>
        <w:t xml:space="preserve">“Business”</w:t>
      </w:r>
      <w:r>
        <w:rPr>
          <w:rFonts w:ascii="Times New Roman" w:cs="Times New Roman" w:eastAsia="Times New Roman" w:hAnsi="Times New Roman"/>
          <w:b w:val="false"/>
          <w:bCs w:val="false"/>
          <w:i w:val="false"/>
          <w:iCs w:val="false"/>
          <w:sz w:val="22"/>
          <w:szCs w:val="22"/>
        </w:rPr>
        <w:t xml:space="preserve">).</w:t>
      </w:r>
    </w:p>
    <w:p>
      <w:pPr>
        <w:tabs>
          <w:tab w:val="left" w:pos="720"/>
        </w:tabs>
        <w:spacing w:after="160" w:line="276"/>
        <w:ind w:left="720" w:hanging="720"/>
        <w:jc w:val="both"/>
      </w:pPr>
      <w:r>
        <w:rPr>
          <w:rFonts w:ascii="Times New Roman" w:cs="Times New Roman" w:eastAsia="Times New Roman" w:hAnsi="Times New Roman"/>
          <w:sz w:val="22"/>
          <w:szCs w:val="22"/>
        </w:rPr>
        <w:t xml:space="preserve">1.2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Company is willing to disclose Confidential Information to the Recipient </w:t>
      </w:r>
      <w:r>
        <w:rPr>
          <w:rFonts w:ascii="Times New Roman" w:cs="Times New Roman" w:eastAsia="Times New Roman" w:hAnsi="Times New Roman"/>
          <w:b/>
          <w:bCs/>
          <w:i w:val="false"/>
          <w:iCs w:val="false"/>
          <w:sz w:val="22"/>
          <w:szCs w:val="22"/>
        </w:rPr>
        <w:t xml:space="preserve">solely so that the Recipient may evaluate a possible investment in, or financing of, the Company</w:t>
      </w:r>
      <w:r>
        <w:rPr>
          <w:rFonts w:ascii="Times New Roman" w:cs="Times New Roman" w:eastAsia="Times New Roman" w:hAnsi="Times New Roman"/>
          <w:b w:val="false"/>
          <w:bCs w:val="false"/>
          <w:i w:val="false"/>
          <w:iCs w:val="false"/>
          <w:sz w:val="22"/>
          <w:szCs w:val="22"/>
        </w:rPr>
        <w:t xml:space="preserve"> (the </w:t>
      </w:r>
      <w:r>
        <w:rPr>
          <w:rFonts w:ascii="Times New Roman" w:cs="Times New Roman" w:eastAsia="Times New Roman" w:hAnsi="Times New Roman"/>
          <w:b/>
          <w:bCs/>
          <w:i w:val="false"/>
          <w:iCs w:val="false"/>
          <w:sz w:val="22"/>
          <w:szCs w:val="22"/>
        </w:rPr>
        <w:t xml:space="preserve">“Permitted Purpose”</w:t>
      </w:r>
      <w:r>
        <w:rPr>
          <w:rFonts w:ascii="Times New Roman" w:cs="Times New Roman" w:eastAsia="Times New Roman" w:hAnsi="Times New Roman"/>
          <w:b w:val="false"/>
          <w:bCs w:val="false"/>
          <w:i w:val="false"/>
          <w:iCs w:val="false"/>
          <w:sz w:val="22"/>
          <w:szCs w:val="22"/>
        </w:rPr>
        <w:t xml:space="preserve">), including conducting due diligence and considering, negotiating and documenting the terms of such an investment.</w:t>
      </w:r>
    </w:p>
    <w:p>
      <w:pPr>
        <w:tabs>
          <w:tab w:val="left" w:pos="720"/>
        </w:tabs>
        <w:spacing w:after="160" w:line="276"/>
        <w:ind w:left="720" w:hanging="720"/>
        <w:jc w:val="both"/>
      </w:pPr>
      <w:r>
        <w:rPr>
          <w:rFonts w:ascii="Times New Roman" w:cs="Times New Roman" w:eastAsia="Times New Roman" w:hAnsi="Times New Roman"/>
          <w:sz w:val="22"/>
          <w:szCs w:val="22"/>
        </w:rPr>
        <w:t xml:space="preserve">1.3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governs how that information may be used and protected. Its purpose is to enable a candid diligence process, not to restrict the Recipient’s ordinary investment activities, which clause 6 expressly preserves.</w:t>
      </w:r>
    </w:p>
    <w:p>
      <w:pPr>
        <w:pStyle w:val="Heading1"/>
        <w:spacing w:after="180" w:before="320"/>
      </w:pPr>
      <w:r>
        <w:rPr>
          <w:rFonts w:ascii="Times New Roman" w:cs="Times New Roman" w:eastAsia="Times New Roman" w:hAnsi="Times New Roman"/>
          <w:b/>
          <w:bCs/>
          <w:i w:val="false"/>
          <w:iCs w:val="false"/>
          <w:sz w:val="24"/>
          <w:szCs w:val="24"/>
        </w:rPr>
        <w:t xml:space="preserve">2. Confidential Information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2.1</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“Confidential Information”</w:t>
      </w:r>
      <w:r>
        <w:rPr>
          <w:rFonts w:ascii="Times New Roman" w:cs="Times New Roman" w:eastAsia="Times New Roman" w:hAnsi="Times New Roman"/>
          <w:b w:val="false"/>
          <w:bCs w:val="false"/>
          <w:i w:val="false"/>
          <w:iCs w:val="false"/>
          <w:sz w:val="22"/>
          <w:szCs w:val="22"/>
        </w:rPr>
        <w:t xml:space="preserve"> means all information relating to the Business or the Company, in any form and whether or not marked “confidential”, that is disclosed by or on behalf of the Company to the Recipient before or after the Effective Date, or that the Recipient observes, accesses, derives or generates in connection with the Permitted Purpose, including information made available through any data room, demonstration, management presentation or site visit.</w:t>
      </w:r>
    </w:p>
    <w:p>
      <w:pPr>
        <w:tabs>
          <w:tab w:val="left" w:pos="720"/>
        </w:tabs>
        <w:spacing w:after="160" w:line="276"/>
        <w:ind w:left="720" w:hanging="720"/>
        <w:jc w:val="both"/>
      </w:pPr>
      <w:r>
        <w:rPr>
          <w:rFonts w:ascii="Times New Roman" w:cs="Times New Roman" w:eastAsia="Times New Roman" w:hAnsi="Times New Roman"/>
          <w:sz w:val="22"/>
          <w:szCs w:val="22"/>
        </w:rPr>
        <w:t xml:space="preserve">2.2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Without limiting clause 2.1, Confidential Information expressly includes:</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Fundraising information</w:t>
      </w:r>
      <w:r>
        <w:rPr>
          <w:rFonts w:ascii="Times New Roman" w:cs="Times New Roman" w:eastAsia="Times New Roman" w:hAnsi="Times New Roman"/>
          <w:b w:val="false"/>
          <w:bCs w:val="false"/>
          <w:i w:val="false"/>
          <w:iCs w:val="false"/>
          <w:sz w:val="22"/>
          <w:szCs w:val="22"/>
        </w:rPr>
        <w:t xml:space="preserve"> — the fact that the Company is seeking or considering investment, the status and progress of that process, proposed and agreed terms, valuation, the capitalisation table, shareholder and option arrangements, term sheets, and the identity of and terms discussed with any other actual or prospective investor;</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Financial information</w:t>
      </w:r>
      <w:r>
        <w:rPr>
          <w:rFonts w:ascii="Times New Roman" w:cs="Times New Roman" w:eastAsia="Times New Roman" w:hAnsi="Times New Roman"/>
          <w:b w:val="false"/>
          <w:bCs w:val="false"/>
          <w:i w:val="false"/>
          <w:iCs w:val="false"/>
          <w:sz w:val="22"/>
          <w:szCs w:val="22"/>
        </w:rPr>
        <w:t xml:space="preserve"> — management accounts, financial statements, the financial model, budgets, forecasts, projections, cash position and runway, revenue and cost breakdowns, and unit economics;</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Commercial information</w:t>
      </w:r>
      <w:r>
        <w:rPr>
          <w:rFonts w:ascii="Times New Roman" w:cs="Times New Roman" w:eastAsia="Times New Roman" w:hAnsi="Times New Roman"/>
          <w:b w:val="false"/>
          <w:bCs w:val="false"/>
          <w:i w:val="false"/>
          <w:iCs w:val="false"/>
          <w:sz w:val="22"/>
          <w:szCs w:val="22"/>
        </w:rPr>
        <w:t xml:space="preserve"> — business plans, product roadmap, go-to-market strategy, pricing and subscription terms, member and club acquisition metrics, retention and engagement data, and the identity of and commercial terms agreed with participating or prospective golf clubs, merchants, advertisers, suppliers and service providers;</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Programme economics</w:t>
      </w:r>
      <w:r>
        <w:rPr>
          <w:rFonts w:ascii="Times New Roman" w:cs="Times New Roman" w:eastAsia="Times New Roman" w:hAnsi="Times New Roman"/>
          <w:b w:val="false"/>
          <w:bCs w:val="false"/>
          <w:i w:val="false"/>
          <w:iCs w:val="false"/>
          <w:sz w:val="22"/>
          <w:szCs w:val="22"/>
        </w:rPr>
        <w:t xml:space="preserve"> — Flagrr Cash earning and conversion rates (including any Flagrr-Cash-per-Rand rate), tier thresholds, earning multipliers, bonuses, voucher values, reward catalogues and the cost of funding the rewards programme;</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Technical materials</w:t>
      </w:r>
      <w:r>
        <w:rPr>
          <w:rFonts w:ascii="Times New Roman" w:cs="Times New Roman" w:eastAsia="Times New Roman" w:hAnsi="Times New Roman"/>
          <w:b w:val="false"/>
          <w:bCs w:val="false"/>
          <w:i w:val="false"/>
          <w:iCs w:val="false"/>
          <w:sz w:val="22"/>
          <w:szCs w:val="22"/>
        </w:rPr>
        <w:t xml:space="preserve"> — source code, object code, repositories, architecture, API design, database schemas and migrations, infrastructure design, deployment arrangements and third-party service configurations;</w:t>
      </w:r>
    </w:p>
    <w:p>
      <w:pPr>
        <w:tabs>
          <w:tab w:val="left" w:pos="1440"/>
        </w:tabs>
        <w:spacing w:after="160" w:line="276"/>
        <w:ind w:left="1440" w:hanging="720"/>
        <w:jc w:val="both"/>
      </w:pP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Proprietary logic</w:t>
      </w:r>
      <w:r>
        <w:rPr>
          <w:rFonts w:ascii="Times New Roman" w:cs="Times New Roman" w:eastAsia="Times New Roman" w:hAnsi="Times New Roman"/>
          <w:b w:val="false"/>
          <w:bCs w:val="false"/>
          <w:i w:val="false"/>
          <w:iCs w:val="false"/>
          <w:sz w:val="22"/>
          <w:szCs w:val="22"/>
        </w:rPr>
        <w:t xml:space="preserve"> — the receipt-capture and optical character recognition pipeline, receipt parsing and merchant/product matching logic, duplicate-detection and image-fingerprinting methods, fraud-detection signals and thresholds, the points engine, and the streak, voucher and notification logic;</w:t>
      </w:r>
    </w:p>
    <w:p>
      <w:pPr>
        <w:tabs>
          <w:tab w:val="left" w:pos="1440"/>
        </w:tabs>
        <w:spacing w:after="160" w:line="276"/>
        <w:ind w:left="1440" w:hanging="720"/>
        <w:jc w:val="both"/>
      </w:pPr>
      <w:r>
        <w:rPr>
          <w:rFonts w:ascii="Times New Roman" w:cs="Times New Roman" w:eastAsia="Times New Roman" w:hAnsi="Times New Roman"/>
          <w:sz w:val="22"/>
          <w:szCs w:val="22"/>
        </w:rPr>
        <w:t xml:space="preserve">(g)</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Legal and corporate information</w:t>
      </w:r>
      <w:r>
        <w:rPr>
          <w:rFonts w:ascii="Times New Roman" w:cs="Times New Roman" w:eastAsia="Times New Roman" w:hAnsi="Times New Roman"/>
          <w:b w:val="false"/>
          <w:bCs w:val="false"/>
          <w:i w:val="false"/>
          <w:iCs w:val="false"/>
          <w:sz w:val="22"/>
          <w:szCs w:val="22"/>
        </w:rPr>
        <w:t xml:space="preserve"> — constitutional documents, material contracts, intellectual property filings and ownership, regulatory and compliance position, disputes and contingent liabilities, and employee and contractor arrangements;</w:t>
      </w:r>
    </w:p>
    <w:p>
      <w:pPr>
        <w:tabs>
          <w:tab w:val="left" w:pos="1440"/>
        </w:tabs>
        <w:spacing w:after="160" w:line="276"/>
        <w:ind w:left="1440" w:hanging="720"/>
        <w:jc w:val="both"/>
      </w:pPr>
      <w:r>
        <w:rPr>
          <w:rFonts w:ascii="Times New Roman" w:cs="Times New Roman" w:eastAsia="Times New Roman" w:hAnsi="Times New Roman"/>
          <w:sz w:val="22"/>
          <w:szCs w:val="22"/>
        </w:rPr>
        <w:t xml:space="preserve">(h)</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Personal information</w:t>
      </w:r>
      <w:r>
        <w:rPr>
          <w:rFonts w:ascii="Times New Roman" w:cs="Times New Roman" w:eastAsia="Times New Roman" w:hAnsi="Times New Roman"/>
          <w:b w:val="false"/>
          <w:bCs w:val="false"/>
          <w:i w:val="false"/>
          <w:iCs w:val="false"/>
          <w:sz w:val="22"/>
          <w:szCs w:val="22"/>
        </w:rPr>
        <w:t xml:space="preserve"> — any personal information of members, club staff, employees, contractors or other individuals disclosed to or accessible by the Recipient, including names, contact details, dates of birth, submitted receipts and receipt images, and transaction, spend and redemption history;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(i)</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Derived materials</w:t>
      </w:r>
      <w:r>
        <w:rPr>
          <w:rFonts w:ascii="Times New Roman" w:cs="Times New Roman" w:eastAsia="Times New Roman" w:hAnsi="Times New Roman"/>
          <w:b w:val="false"/>
          <w:bCs w:val="false"/>
          <w:i w:val="false"/>
          <w:iCs w:val="false"/>
          <w:sz w:val="22"/>
          <w:szCs w:val="22"/>
        </w:rPr>
        <w:t xml:space="preserve"> — any notes, analyses, memoranda, investment committee papers, summaries, extracts, models, copies or other materials prepared by the Recipient or its Representatives to the extent they contain, reflect or are derived from any of the above.</w:t>
      </w:r>
    </w:p>
    <w:p>
      <w:pPr>
        <w:tabs>
          <w:tab w:val="left" w:pos="720"/>
        </w:tabs>
        <w:spacing w:after="160" w:line="276"/>
        <w:ind w:left="720" w:hanging="720"/>
        <w:jc w:val="both"/>
      </w:pPr>
      <w:r>
        <w:rPr>
          <w:rFonts w:ascii="Times New Roman" w:cs="Times New Roman" w:eastAsia="Times New Roman" w:hAnsi="Times New Roman"/>
          <w:sz w:val="22"/>
          <w:szCs w:val="22"/>
        </w:rPr>
        <w:t xml:space="preserve">2.3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existence and terms of this Agreement, the fact that discussions between the Parties are taking place, and their status and content, are themselves Confidential Information.</w:t>
      </w:r>
    </w:p>
    <w:p>
      <w:pPr>
        <w:pStyle w:val="Heading1"/>
        <w:spacing w:after="180" w:before="320"/>
      </w:pPr>
      <w:r>
        <w:rPr>
          <w:rFonts w:ascii="Times New Roman" w:cs="Times New Roman" w:eastAsia="Times New Roman" w:hAnsi="Times New Roman"/>
          <w:b/>
          <w:bCs/>
          <w:i w:val="false"/>
          <w:iCs w:val="false"/>
          <w:sz w:val="24"/>
          <w:szCs w:val="24"/>
        </w:rPr>
        <w:t xml:space="preserve">3. Exclusions</w:t>
      </w:r>
    </w:p>
    <w:p>
      <w:pPr>
        <w:tabs>
          <w:tab w:val="left" w:pos="720"/>
        </w:tabs>
        <w:spacing w:after="160" w:line="276"/>
        <w:ind w:left="720" w:hanging="720"/>
        <w:jc w:val="both"/>
      </w:pPr>
      <w:r>
        <w:rPr>
          <w:rFonts w:ascii="Times New Roman" w:cs="Times New Roman" w:eastAsia="Times New Roman" w:hAnsi="Times New Roman"/>
          <w:sz w:val="22"/>
          <w:szCs w:val="22"/>
        </w:rPr>
        <w:t xml:space="preserve">3.1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Confidential Information does not include information that the Recipient can show by contemporaneous written record:</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or becomes publicly available other than through a breach of this Agreement or of any other duty of confidence;</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was lawfully in the Recipient’s possession, without restriction as to its use or disclosure, before it was disclosed by the Company;</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lawfully received by the Recipient from a third party who is free to disclose it and is not under any obligation of confidence in respect of it; or</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is independently developed by the Recipient or its Representatives without any use of or reference to the Confidential Information.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3.2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Information does not fall within clause 3.1 merely because it is embraced by more general information that does, or because it can be assembled from a combination of separate items each of which does.</w:t>
      </w:r>
    </w:p>
    <w:p>
      <w:pPr>
        <w:tabs>
          <w:tab w:val="left" w:pos="720"/>
        </w:tabs>
        <w:spacing w:after="160" w:line="276"/>
        <w:ind w:left="720" w:hanging="720"/>
        <w:jc w:val="both"/>
      </w:pPr>
      <w:r>
        <w:rPr>
          <w:rFonts w:ascii="Times New Roman" w:cs="Times New Roman" w:eastAsia="Times New Roman" w:hAnsi="Times New Roman"/>
          <w:sz w:val="22"/>
          <w:szCs w:val="22"/>
        </w:rPr>
        <w:t xml:space="preserve">3.3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Personal information as described in clause 2.2(h) never falls within clause 3.1 and remains subject to clause 11 in all circumstances.</w:t>
      </w:r>
    </w:p>
    <w:p>
      <w:pPr>
        <w:pStyle w:val="Heading1"/>
        <w:spacing w:after="180" w:before="320"/>
      </w:pPr>
      <w:r>
        <w:rPr>
          <w:rFonts w:ascii="Times New Roman" w:cs="Times New Roman" w:eastAsia="Times New Roman" w:hAnsi="Times New Roman"/>
          <w:b/>
          <w:bCs/>
          <w:i w:val="false"/>
          <w:iCs w:val="false"/>
          <w:sz w:val="24"/>
          <w:szCs w:val="24"/>
        </w:rPr>
        <w:t xml:space="preserve">4. Recipient’s Obligations</w:t>
      </w:r>
    </w:p>
    <w:p>
      <w:pPr>
        <w:tabs>
          <w:tab w:val="left" w:pos="720"/>
        </w:tabs>
        <w:spacing w:after="160" w:line="276"/>
        <w:ind w:left="720" w:hanging="720"/>
        <w:jc w:val="both"/>
      </w:pPr>
      <w:r>
        <w:rPr>
          <w:rFonts w:ascii="Times New Roman" w:cs="Times New Roman" w:eastAsia="Times New Roman" w:hAnsi="Times New Roman"/>
          <w:sz w:val="22"/>
          <w:szCs w:val="22"/>
        </w:rPr>
        <w:t xml:space="preserve">4.1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keep the Confidential Information strictly confidential;</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use the Confidential Information solely for the Permitted Purpose and for no other purpose, and in particular not for its own commercial advantage or that of any third party, and not to compete with the Company;</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protect the Confidential Information using at least the same degree of care it applies to its own confidential information of a similar nature, and in no event less than a reasonable degree of care;</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copy, reproduce, publish, distribute, store or transmit the Confidential Information except to the extent reasonably necessary for the Permitted Purpose;</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reverse engineer, decompile, disassemble or otherwise attempt to derive the source code, structure or algorithms of any software or system forming part of the Business, other than as expressly authorised in writing by the Company;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(f)</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notify the Company in writing without undue delay, and in any event within </w:t>
      </w:r>
      <w:r>
        <w:rPr>
          <w:rFonts w:ascii="Times New Roman" w:cs="Times New Roman" w:eastAsia="Times New Roman" w:hAnsi="Times New Roman"/>
          <w:b/>
          <w:bCs/>
          <w:i w:val="false"/>
          <w:iCs w:val="false"/>
          <w:sz w:val="22"/>
          <w:szCs w:val="22"/>
        </w:rPr>
        <w:t xml:space="preserve">48 hours</w:t>
      </w:r>
      <w:r>
        <w:rPr>
          <w:rFonts w:ascii="Times New Roman" w:cs="Times New Roman" w:eastAsia="Times New Roman" w:hAnsi="Times New Roman"/>
          <w:b w:val="false"/>
          <w:bCs w:val="false"/>
          <w:i w:val="false"/>
          <w:iCs w:val="false"/>
          <w:sz w:val="22"/>
          <w:szCs w:val="22"/>
        </w:rPr>
        <w:t xml:space="preserve">, of becoming aware of any actual or suspected unauthorised use, disclosure, access, loss or compromise of any Confidential Information, and cooperate reasonably with the Company in investigating and mitigating it.</w:t>
      </w:r>
    </w:p>
    <w:p>
      <w:pPr>
        <w:tabs>
          <w:tab w:val="left" w:pos="720"/>
        </w:tabs>
        <w:spacing w:after="160" w:line="276"/>
        <w:ind w:left="720" w:hanging="720"/>
        <w:jc w:val="both"/>
      </w:pPr>
      <w:r>
        <w:rPr>
          <w:rFonts w:ascii="Times New Roman" w:cs="Times New Roman" w:eastAsia="Times New Roman" w:hAnsi="Times New Roman"/>
          <w:sz w:val="22"/>
          <w:szCs w:val="22"/>
        </w:rPr>
        <w:t xml:space="preserve">4.2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 not, without the Company’s prior written consent, disclose to any third party that the Company is seeking or considering investment, the status of that process, or any terms under discussion.</w:t>
      </w:r>
    </w:p>
    <w:p>
      <w:pPr>
        <w:pStyle w:val="Heading1"/>
        <w:spacing w:after="180" w:before="320"/>
      </w:pPr>
      <w:r>
        <w:rPr>
          <w:rFonts w:ascii="Times New Roman" w:cs="Times New Roman" w:eastAsia="Times New Roman" w:hAnsi="Times New Roman"/>
          <w:b/>
          <w:bCs/>
          <w:i w:val="false"/>
          <w:iCs w:val="false"/>
          <w:sz w:val="24"/>
          <w:szCs w:val="24"/>
        </w:rPr>
        <w:t xml:space="preserve">5. Permitted Disclosure to Representatives</w:t>
      </w:r>
    </w:p>
    <w:p>
      <w:pPr>
        <w:tabs>
          <w:tab w:val="left" w:pos="720"/>
        </w:tabs>
        <w:spacing w:after="160" w:line="276"/>
        <w:ind w:left="720" w:hanging="720"/>
        <w:jc w:val="both"/>
      </w:pPr>
      <w:r>
        <w:rPr>
          <w:rFonts w:ascii="Times New Roman" w:cs="Times New Roman" w:eastAsia="Times New Roman" w:hAnsi="Times New Roman"/>
          <w:sz w:val="22"/>
          <w:szCs w:val="22"/>
        </w:rPr>
        <w:t xml:space="preserve">5.1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only to those of its directors, officers, employees, fund managers, general partners, investment committee members, affiliates and professional advisers who strictly need to know it for the Permitted Purpose (each a </w:t>
      </w:r>
      <w:r>
        <w:rPr>
          <w:rFonts w:ascii="Times New Roman" w:cs="Times New Roman" w:eastAsia="Times New Roman" w:hAnsi="Times New Roman"/>
          <w:b/>
          <w:bCs/>
          <w:i w:val="false"/>
          <w:iCs w:val="false"/>
          <w:sz w:val="22"/>
          <w:szCs w:val="22"/>
        </w:rPr>
        <w:t xml:space="preserve">“Representative”</w:t>
      </w:r>
      <w:r>
        <w:rPr>
          <w:rFonts w:ascii="Times New Roman" w:cs="Times New Roman" w:eastAsia="Times New Roman" w:hAnsi="Times New Roman"/>
          <w:b w:val="false"/>
          <w:bCs w:val="false"/>
          <w:i w:val="false"/>
          <w:iCs w:val="false"/>
          <w:sz w:val="22"/>
          <w:szCs w:val="22"/>
        </w:rPr>
        <w:t xml:space="preserve">), and only after informing them of its confidential nature and ensuring they are bound by obligations of confidentiality no less protective than those in this Agreement, whether by this Agreement, by professional duty or by their terms of engagement.</w:t>
      </w:r>
    </w:p>
    <w:p>
      <w:pPr>
        <w:tabs>
          <w:tab w:val="left" w:pos="720"/>
        </w:tabs>
        <w:spacing w:after="160" w:line="276"/>
        <w:ind w:left="720" w:hanging="720"/>
        <w:jc w:val="both"/>
      </w:pPr>
      <w:r>
        <w:rPr>
          <w:rFonts w:ascii="Times New Roman" w:cs="Times New Roman" w:eastAsia="Times New Roman" w:hAnsi="Times New Roman"/>
          <w:sz w:val="22"/>
          <w:szCs w:val="22"/>
        </w:rPr>
        <w:t xml:space="preserve">5.2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to a proposed </w:t>
      </w:r>
      <w:r>
        <w:rPr>
          <w:rFonts w:ascii="Times New Roman" w:cs="Times New Roman" w:eastAsia="Times New Roman" w:hAnsi="Times New Roman"/>
          <w:b/>
          <w:bCs/>
          <w:i w:val="false"/>
          <w:iCs w:val="false"/>
          <w:sz w:val="22"/>
          <w:szCs w:val="22"/>
        </w:rPr>
        <w:t xml:space="preserve">co-investor or syndicate partner</w:t>
      </w:r>
      <w:r>
        <w:rPr>
          <w:rFonts w:ascii="Times New Roman" w:cs="Times New Roman" w:eastAsia="Times New Roman" w:hAnsi="Times New Roman"/>
          <w:b w:val="false"/>
          <w:bCs w:val="false"/>
          <w:i w:val="false"/>
          <w:iCs w:val="false"/>
          <w:sz w:val="22"/>
          <w:szCs w:val="22"/>
        </w:rPr>
        <w:t xml:space="preserve"> only with the Company’s prior written consent, and only where that person has first signed an agreement on substantially these terms in favour of the Company.</w:t>
      </w:r>
    </w:p>
    <w:p>
      <w:pPr>
        <w:tabs>
          <w:tab w:val="left" w:pos="720"/>
        </w:tabs>
        <w:spacing w:after="160" w:line="276"/>
        <w:ind w:left="720" w:hanging="720"/>
        <w:jc w:val="both"/>
      </w:pPr>
      <w:r>
        <w:rPr>
          <w:rFonts w:ascii="Times New Roman" w:cs="Times New Roman" w:eastAsia="Times New Roman" w:hAnsi="Times New Roman"/>
          <w:sz w:val="22"/>
          <w:szCs w:val="22"/>
        </w:rPr>
        <w:t xml:space="preserve">5.3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include Confidential Information in routine, confidential reporting to its own investors or limited partners </w:t>
      </w:r>
      <w:r>
        <w:rPr>
          <w:rFonts w:ascii="Times New Roman" w:cs="Times New Roman" w:eastAsia="Times New Roman" w:hAnsi="Times New Roman"/>
          <w:b/>
          <w:bCs/>
          <w:i w:val="false"/>
          <w:iCs w:val="false"/>
          <w:sz w:val="22"/>
          <w:szCs w:val="22"/>
        </w:rPr>
        <w:t xml:space="preserve">only</w:t>
      </w:r>
      <w:r>
        <w:rPr>
          <w:rFonts w:ascii="Times New Roman" w:cs="Times New Roman" w:eastAsia="Times New Roman" w:hAnsi="Times New Roman"/>
          <w:b w:val="false"/>
          <w:bCs w:val="false"/>
          <w:i w:val="false"/>
          <w:iCs w:val="false"/>
          <w:sz w:val="22"/>
          <w:szCs w:val="22"/>
        </w:rPr>
        <w:t xml:space="preserve"> to the extent of the fact of, and high-level rationale for, an investment actually made, and not in respect of an evaluation that does not proceed.</w:t>
      </w:r>
    </w:p>
    <w:p>
      <w:pPr>
        <w:tabs>
          <w:tab w:val="left" w:pos="720"/>
        </w:tabs>
        <w:spacing w:after="160" w:line="276"/>
        <w:ind w:left="720" w:hanging="720"/>
        <w:jc w:val="both"/>
      </w:pPr>
      <w:r>
        <w:rPr>
          <w:rFonts w:ascii="Times New Roman" w:cs="Times New Roman" w:eastAsia="Times New Roman" w:hAnsi="Times New Roman"/>
          <w:sz w:val="22"/>
          <w:szCs w:val="22"/>
        </w:rPr>
        <w:t xml:space="preserve">5.4</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remains fully liable for any act or omission of its Representatives that would breach this Agreement if done by the Recipient.</w:t>
      </w:r>
    </w:p>
    <w:p>
      <w:pPr>
        <w:pStyle w:val="Heading1"/>
        <w:spacing w:after="180" w:before="320"/>
      </w:pPr>
      <w:r>
        <w:rPr>
          <w:rFonts w:ascii="Times New Roman" w:cs="Times New Roman" w:eastAsia="Times New Roman" w:hAnsi="Times New Roman"/>
          <w:b/>
          <w:bCs/>
          <w:i w:val="false"/>
          <w:iCs w:val="false"/>
          <w:sz w:val="24"/>
          <w:szCs w:val="24"/>
        </w:rPr>
        <w:t xml:space="preserve">6. Competing Investments and Portfolio Companies</w:t>
      </w:r>
    </w:p>
    <w:p>
      <w:pPr>
        <w:tabs>
          <w:tab w:val="left" w:pos="720"/>
        </w:tabs>
        <w:spacing w:after="160" w:line="276"/>
        <w:ind w:left="720" w:hanging="720"/>
        <w:jc w:val="both"/>
      </w:pPr>
      <w:r>
        <w:rPr>
          <w:rFonts w:ascii="Times New Roman" w:cs="Times New Roman" w:eastAsia="Times New Roman" w:hAnsi="Times New Roman"/>
          <w:sz w:val="22"/>
          <w:szCs w:val="22"/>
        </w:rPr>
        <w:t xml:space="preserve">6.1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Nothing in this Agreement restricts the Recipient or any of its affiliates or portfolio companies from evaluating, negotiating, making or holding any investment in, or providing services to, any business, </w:t>
      </w:r>
      <w:r>
        <w:rPr>
          <w:rFonts w:ascii="Times New Roman" w:cs="Times New Roman" w:eastAsia="Times New Roman" w:hAnsi="Times New Roman"/>
          <w:b/>
          <w:bCs/>
          <w:i w:val="false"/>
          <w:iCs w:val="false"/>
          <w:sz w:val="22"/>
          <w:szCs w:val="22"/>
        </w:rPr>
        <w:t xml:space="preserve">including a business that competes with the Business</w:t>
      </w:r>
      <w:r>
        <w:rPr>
          <w:rFonts w:ascii="Times New Roman" w:cs="Times New Roman" w:eastAsia="Times New Roman" w:hAnsi="Times New Roman"/>
          <w:b w:val="false"/>
          <w:bCs w:val="false"/>
          <w:i w:val="false"/>
          <w:iCs w:val="false"/>
          <w:sz w:val="22"/>
          <w:szCs w:val="22"/>
        </w:rPr>
        <w:t xml:space="preserve">, provided that the Recipient does not use or disclose the Confidential Information in doing so.</w:t>
      </w:r>
    </w:p>
    <w:p>
      <w:pPr>
        <w:tabs>
          <w:tab w:val="left" w:pos="720"/>
        </w:tabs>
        <w:spacing w:after="160" w:line="276"/>
        <w:ind w:left="720" w:hanging="720"/>
        <w:jc w:val="both"/>
      </w:pPr>
      <w:r>
        <w:rPr>
          <w:rFonts w:ascii="Times New Roman" w:cs="Times New Roman" w:eastAsia="Times New Roman" w:hAnsi="Times New Roman"/>
          <w:sz w:val="22"/>
          <w:szCs w:val="22"/>
        </w:rPr>
        <w:t xml:space="preserve">6.2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is not obliged to restrict the ordinary activities of any of its personnel who have had access to Confidential Information, provided those persons comply with clause 4.</w:t>
      </w:r>
    </w:p>
    <w:p>
      <w:pPr>
        <w:tabs>
          <w:tab w:val="left" w:pos="720"/>
        </w:tabs>
        <w:spacing w:after="160" w:line="276"/>
        <w:ind w:left="720" w:hanging="720"/>
        <w:jc w:val="both"/>
      </w:pPr>
      <w:r>
        <w:rPr>
          <w:rFonts w:ascii="Times New Roman" w:cs="Times New Roman" w:eastAsia="Times New Roman" w:hAnsi="Times New Roman"/>
          <w:sz w:val="22"/>
          <w:szCs w:val="22"/>
        </w:rPr>
        <w:t xml:space="preserve">6.3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Clause 6.1 does not permit, and is not a defence to, any use or disclosure of Confidential Information in breach of clause 4, including the disclosure of Confidential Information to a competing business or its use in evaluating or supporting one.</w:t>
      </w:r>
    </w:p>
    <w:p>
      <w:pPr>
        <w:pStyle w:val="Heading1"/>
        <w:spacing w:after="180" w:before="320"/>
      </w:pPr>
      <w:r>
        <w:rPr>
          <w:rFonts w:ascii="Times New Roman" w:cs="Times New Roman" w:eastAsia="Times New Roman" w:hAnsi="Times New Roman"/>
          <w:b/>
          <w:bCs/>
          <w:i w:val="false"/>
          <w:iCs w:val="false"/>
          <w:sz w:val="24"/>
          <w:szCs w:val="24"/>
        </w:rPr>
        <w:t xml:space="preserve">7. Non-Circumvention</w:t>
      </w:r>
    </w:p>
    <w:p>
      <w:pPr>
        <w:tabs>
          <w:tab w:val="left" w:pos="720"/>
        </w:tabs>
        <w:spacing w:after="160" w:line="276"/>
        <w:ind w:left="720" w:hanging="720"/>
        <w:jc w:val="both"/>
      </w:pPr>
      <w:r>
        <w:rPr>
          <w:rFonts w:ascii="Times New Roman" w:cs="Times New Roman" w:eastAsia="Times New Roman" w:hAnsi="Times New Roman"/>
          <w:sz w:val="22"/>
          <w:szCs w:val="22"/>
        </w:rPr>
        <w:t xml:space="preserve">7.1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For the duration of this Agreement and for </w:t>
      </w:r>
      <w:r>
        <w:rPr>
          <w:rFonts w:ascii="Times New Roman" w:cs="Times New Roman" w:eastAsia="Times New Roman" w:hAnsi="Times New Roman"/>
          <w:b/>
          <w:bCs/>
          <w:i w:val="false"/>
          <w:iCs w:val="false"/>
          <w:sz w:val="22"/>
          <w:szCs w:val="22"/>
        </w:rPr>
        <w:t xml:space="preserve">twelve (12) months</w:t>
      </w:r>
      <w:r>
        <w:rPr>
          <w:rFonts w:ascii="Times New Roman" w:cs="Times New Roman" w:eastAsia="Times New Roman" w:hAnsi="Times New Roman"/>
          <w:b w:val="false"/>
          <w:bCs w:val="false"/>
          <w:i w:val="false"/>
          <w:iCs w:val="false"/>
          <w:sz w:val="22"/>
          <w:szCs w:val="22"/>
        </w:rPr>
        <w:t xml:space="preserve"> after its termination, the Recipient shall not use the Confidential Information to approach, solicit or transact directly with any participating or prospective golf club, merchant, advertiser or supplier of the Company whose identity was first disclosed to the Recipient under this Agreement, for the purpose of establishing a competing arrangement or of circumventing the Company.</w:t>
      </w:r>
    </w:p>
    <w:p>
      <w:pPr>
        <w:pStyle w:val="Heading1"/>
        <w:spacing w:after="180" w:before="320"/>
      </w:pPr>
      <w:r>
        <w:rPr>
          <w:rFonts w:ascii="Times New Roman" w:cs="Times New Roman" w:eastAsia="Times New Roman" w:hAnsi="Times New Roman"/>
          <w:b/>
          <w:bCs/>
          <w:i w:val="false"/>
          <w:iCs w:val="false"/>
          <w:sz w:val="24"/>
          <w:szCs w:val="24"/>
        </w:rPr>
        <w:t xml:space="preserve">8. Compelled Disclosure</w:t>
      </w:r>
    </w:p>
    <w:p>
      <w:pPr>
        <w:tabs>
          <w:tab w:val="left" w:pos="720"/>
        </w:tabs>
        <w:spacing w:after="160" w:line="276"/>
        <w:ind w:left="720" w:hanging="720"/>
        <w:jc w:val="both"/>
      </w:pPr>
      <w:r>
        <w:rPr>
          <w:rFonts w:ascii="Times New Roman" w:cs="Times New Roman" w:eastAsia="Times New Roman" w:hAnsi="Times New Roman"/>
          <w:sz w:val="22"/>
          <w:szCs w:val="22"/>
        </w:rPr>
        <w:t xml:space="preserve">8.1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disclose Confidential Information to the extent required by law, by a court of competent jurisdiction or by a competent regulatory authority, provided that (to the extent legally permitted) it gives the Company prompt written notice so that the Company may seek protective relief, discloses only the minimum required, and uses reasonable efforts to obtain confidential treatment for what is disclosed.</w:t>
      </w:r>
    </w:p>
    <w:p>
      <w:pPr>
        <w:pStyle w:val="Heading1"/>
        <w:spacing w:after="180" w:before="320"/>
      </w:pPr>
      <w:r>
        <w:rPr>
          <w:rFonts w:ascii="Times New Roman" w:cs="Times New Roman" w:eastAsia="Times New Roman" w:hAnsi="Times New Roman"/>
          <w:b/>
          <w:bCs/>
          <w:i w:val="false"/>
          <w:iCs w:val="false"/>
          <w:sz w:val="24"/>
          <w:szCs w:val="24"/>
        </w:rPr>
        <w:t xml:space="preserve">9. Intellectual Property and No Licence</w:t>
      </w:r>
    </w:p>
    <w:p>
      <w:pPr>
        <w:tabs>
          <w:tab w:val="left" w:pos="720"/>
        </w:tabs>
        <w:spacing w:after="160" w:line="276"/>
        <w:ind w:left="720" w:hanging="720"/>
        <w:jc w:val="both"/>
      </w:pPr>
      <w:r>
        <w:rPr>
          <w:rFonts w:ascii="Times New Roman" w:cs="Times New Roman" w:eastAsia="Times New Roman" w:hAnsi="Times New Roman"/>
          <w:sz w:val="22"/>
          <w:szCs w:val="22"/>
        </w:rPr>
        <w:t xml:space="preserve">9.1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All right, title and interest in and to the Business and the Confidential Information, including all intellectual property rights, vests in and remains with the Company.</w:t>
      </w:r>
    </w:p>
    <w:p>
      <w:pPr>
        <w:tabs>
          <w:tab w:val="left" w:pos="720"/>
        </w:tabs>
        <w:spacing w:after="160" w:line="276"/>
        <w:ind w:left="720" w:hanging="720"/>
        <w:jc w:val="both"/>
      </w:pPr>
      <w:r>
        <w:rPr>
          <w:rFonts w:ascii="Times New Roman" w:cs="Times New Roman" w:eastAsia="Times New Roman" w:hAnsi="Times New Roman"/>
          <w:sz w:val="22"/>
          <w:szCs w:val="22"/>
        </w:rPr>
        <w:t xml:space="preserve">9.2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Nothing in this Agreement transfers, assigns or grants to the Recipient any right, title, interest or licence in or to the Confidential Information or any intellectual property, save the limited right to use it for the Permitted Purpose for the duration of this Agreement.</w:t>
      </w:r>
    </w:p>
    <w:p>
      <w:pPr>
        <w:pStyle w:val="Heading1"/>
        <w:spacing w:after="180" w:before="320"/>
      </w:pPr>
      <w:r>
        <w:rPr>
          <w:rFonts w:ascii="Times New Roman" w:cs="Times New Roman" w:eastAsia="Times New Roman" w:hAnsi="Times New Roman"/>
          <w:b/>
          <w:bCs/>
          <w:i w:val="false"/>
          <w:iCs w:val="false"/>
          <w:sz w:val="24"/>
          <w:szCs w:val="24"/>
        </w:rPr>
        <w:t xml:space="preserve">10. No Offer, No Reliance and No Warranty</w:t>
      </w:r>
    </w:p>
    <w:p>
      <w:pPr>
        <w:tabs>
          <w:tab w:val="left" w:pos="720"/>
        </w:tabs>
        <w:spacing w:after="160" w:line="276"/>
        <w:ind w:left="720" w:hanging="720"/>
        <w:jc w:val="both"/>
      </w:pPr>
      <w:r>
        <w:rPr>
          <w:rFonts w:ascii="Times New Roman" w:cs="Times New Roman" w:eastAsia="Times New Roman" w:hAnsi="Times New Roman"/>
          <w:sz w:val="22"/>
          <w:szCs w:val="22"/>
        </w:rPr>
        <w:t xml:space="preserve">10.1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Confidential Information is provided </w:t>
      </w:r>
      <w:r>
        <w:rPr>
          <w:rFonts w:ascii="Times New Roman" w:cs="Times New Roman" w:eastAsia="Times New Roman" w:hAnsi="Times New Roman"/>
          <w:b/>
          <w:bCs/>
          <w:i w:val="false"/>
          <w:iCs w:val="false"/>
          <w:sz w:val="22"/>
          <w:szCs w:val="22"/>
        </w:rPr>
        <w:t xml:space="preserve">“as is”</w:t>
      </w:r>
      <w:r>
        <w:rPr>
          <w:rFonts w:ascii="Times New Roman" w:cs="Times New Roman" w:eastAsia="Times New Roman" w:hAnsi="Times New Roman"/>
          <w:b w:val="false"/>
          <w:bCs w:val="false"/>
          <w:i w:val="false"/>
          <w:iCs w:val="false"/>
          <w:sz w:val="22"/>
          <w:szCs w:val="22"/>
        </w:rPr>
        <w:t xml:space="preserve"> and for evaluation only. The Company gives no representation or warranty, express or implied, as to its accuracy or completeness, and shall have no liability to the Recipient arising from the Recipient’s reliance on it, save in the case of fraud.</w:t>
      </w:r>
    </w:p>
    <w:p>
      <w:pPr>
        <w:tabs>
          <w:tab w:val="left" w:pos="720"/>
        </w:tabs>
        <w:spacing w:after="160" w:line="276"/>
        <w:ind w:left="720" w:hanging="720"/>
        <w:jc w:val="both"/>
      </w:pPr>
      <w:r>
        <w:rPr>
          <w:rFonts w:ascii="Times New Roman" w:cs="Times New Roman" w:eastAsia="Times New Roman" w:hAnsi="Times New Roman"/>
          <w:sz w:val="22"/>
          <w:szCs w:val="22"/>
        </w:rPr>
        <w:t xml:space="preserve">10.2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Confidential Information does not constitute an offer to sell or issue, or a solicitation of an offer to subscribe for or buy, any shares or other securities in the Company, is not a prospectus or an offer to the public as contemplated in the Companies Act 71 of 2008, and is not investment advice or a recommendation.</w:t>
      </w:r>
    </w:p>
    <w:p>
      <w:pPr>
        <w:tabs>
          <w:tab w:val="left" w:pos="720"/>
        </w:tabs>
        <w:spacing w:after="160" w:line="276"/>
        <w:ind w:left="720" w:hanging="720"/>
        <w:jc w:val="both"/>
      </w:pPr>
      <w:r>
        <w:rPr>
          <w:rFonts w:ascii="Times New Roman" w:cs="Times New Roman" w:eastAsia="Times New Roman" w:hAnsi="Times New Roman"/>
          <w:sz w:val="22"/>
          <w:szCs w:val="22"/>
        </w:rPr>
        <w:t xml:space="preserve">10.3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Any forecast, projection, budget or forward-looking statement forming part of the Confidential Information reflects assumptions that are inherently uncertain and may prove incorrect. The Recipient acknowledges that it does not rely on any such statement, and that only those representations and warranties expressly set out in a signed definitive investment agreement (if any) will have contractual effect.</w:t>
      </w:r>
    </w:p>
    <w:p>
      <w:pPr>
        <w:pStyle w:val="Heading1"/>
        <w:spacing w:after="180" w:before="320"/>
      </w:pPr>
      <w:r>
        <w:rPr>
          <w:rFonts w:ascii="Times New Roman" w:cs="Times New Roman" w:eastAsia="Times New Roman" w:hAnsi="Times New Roman"/>
          <w:b/>
          <w:bCs/>
          <w:i w:val="false"/>
          <w:iCs w:val="false"/>
          <w:sz w:val="24"/>
          <w:szCs w:val="24"/>
        </w:rPr>
        <w:t xml:space="preserve">11. Personal Information and POPIA</w:t>
      </w:r>
    </w:p>
    <w:p>
      <w:pPr>
        <w:tabs>
          <w:tab w:val="left" w:pos="720"/>
        </w:tabs>
        <w:spacing w:after="160" w:line="276"/>
        <w:ind w:left="720" w:hanging="720"/>
        <w:jc w:val="both"/>
      </w:pPr>
      <w:r>
        <w:rPr>
          <w:rFonts w:ascii="Times New Roman" w:cs="Times New Roman" w:eastAsia="Times New Roman" w:hAnsi="Times New Roman"/>
          <w:sz w:val="22"/>
          <w:szCs w:val="22"/>
        </w:rPr>
        <w:t xml:space="preserve">11.1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Parties acknowledge that Confidential Information may include </w:t>
      </w:r>
      <w:r>
        <w:rPr>
          <w:rFonts w:ascii="Times New Roman" w:cs="Times New Roman" w:eastAsia="Times New Roman" w:hAnsi="Times New Roman"/>
          <w:b/>
          <w:bCs/>
          <w:i w:val="false"/>
          <w:iCs w:val="false"/>
          <w:sz w:val="22"/>
          <w:szCs w:val="22"/>
        </w:rPr>
        <w:t xml:space="preserve">personal information</w:t>
      </w:r>
      <w:r>
        <w:rPr>
          <w:rFonts w:ascii="Times New Roman" w:cs="Times New Roman" w:eastAsia="Times New Roman" w:hAnsi="Times New Roman"/>
          <w:b w:val="false"/>
          <w:bCs w:val="false"/>
          <w:i w:val="false"/>
          <w:iCs w:val="false"/>
          <w:sz w:val="22"/>
          <w:szCs w:val="22"/>
        </w:rPr>
        <w:t xml:space="preserve"> as defined in the Protection of Personal Information Act 4 of 2013 (</w:t>
      </w:r>
      <w:r>
        <w:rPr>
          <w:rFonts w:ascii="Times New Roman" w:cs="Times New Roman" w:eastAsia="Times New Roman" w:hAnsi="Times New Roman"/>
          <w:b/>
          <w:bCs/>
          <w:i w:val="false"/>
          <w:iCs w:val="false"/>
          <w:sz w:val="22"/>
          <w:szCs w:val="22"/>
        </w:rPr>
        <w:t xml:space="preserve">“POPIA”</w:t>
      </w:r>
      <w:r>
        <w:rPr>
          <w:rFonts w:ascii="Times New Roman" w:cs="Times New Roman" w:eastAsia="Times New Roman" w:hAnsi="Times New Roman"/>
          <w:b w:val="false"/>
          <w:bCs w:val="false"/>
          <w:i w:val="false"/>
          <w:iCs w:val="false"/>
          <w:sz w:val="22"/>
          <w:szCs w:val="22"/>
        </w:rPr>
        <w:t xml:space="preserve">), and that the Company is the responsible party in respect of it.</w:t>
      </w:r>
    </w:p>
    <w:p>
      <w:pPr>
        <w:tabs>
          <w:tab w:val="left" w:pos="720"/>
        </w:tabs>
        <w:spacing w:after="160" w:line="276"/>
        <w:ind w:left="720" w:hanging="720"/>
        <w:jc w:val="both"/>
      </w:pPr>
      <w:r>
        <w:rPr>
          <w:rFonts w:ascii="Times New Roman" w:cs="Times New Roman" w:eastAsia="Times New Roman" w:hAnsi="Times New Roman"/>
          <w:sz w:val="22"/>
          <w:szCs w:val="22"/>
        </w:rPr>
        <w:t xml:space="preserve">11.2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Parties shall conduct due diligence using </w:t>
      </w:r>
      <w:r>
        <w:rPr>
          <w:rFonts w:ascii="Times New Roman" w:cs="Times New Roman" w:eastAsia="Times New Roman" w:hAnsi="Times New Roman"/>
          <w:b/>
          <w:bCs/>
          <w:i w:val="false"/>
          <w:iCs w:val="false"/>
          <w:sz w:val="22"/>
          <w:szCs w:val="22"/>
        </w:rPr>
        <w:t xml:space="preserve">aggregated or anonymised</w:t>
      </w:r>
      <w:r>
        <w:rPr>
          <w:rFonts w:ascii="Times New Roman" w:cs="Times New Roman" w:eastAsia="Times New Roman" w:hAnsi="Times New Roman"/>
          <w:b w:val="false"/>
          <w:bCs w:val="false"/>
          <w:i w:val="false"/>
          <w:iCs w:val="false"/>
          <w:sz w:val="22"/>
          <w:szCs w:val="22"/>
        </w:rPr>
        <w:t xml:space="preserve"> data wherever it is reasonably capable of serving the Permitted Purpose. The Company shall not disclose, and the Recipient shall not request, personal information beyond what the Permitted Purpose genuinely requires.</w:t>
      </w:r>
    </w:p>
    <w:p>
      <w:pPr>
        <w:tabs>
          <w:tab w:val="left" w:pos="720"/>
        </w:tabs>
        <w:spacing w:after="160" w:line="276"/>
        <w:ind w:left="720" w:hanging="720"/>
        <w:jc w:val="both"/>
      </w:pPr>
      <w:r>
        <w:rPr>
          <w:rFonts w:ascii="Times New Roman" w:cs="Times New Roman" w:eastAsia="Times New Roman" w:hAnsi="Times New Roman"/>
          <w:sz w:val="22"/>
          <w:szCs w:val="22"/>
        </w:rPr>
        <w:t xml:space="preserve">11.3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Where the Recipient does receive or access personal information, it shall:</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process it only for the Permitted Purpose, and never for its own purposes, for marketing, for training any machine learning model, or for any form of profiling, enrichment or resale;</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secure its integrity and confidentiality by taking appropriate, reasonable technical and organisational measures as contemplated in section 19 of POPIA, including access control, encryption in transit and at rest where reasonably practicable, and the prompt revocation of access when no longer needed;</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 transfer it outside the Republic of South Africa without the Company’s prior written consent and compliance with section 72 of POPIA;</w:t>
      </w:r>
    </w:p>
    <w:p>
      <w:pPr>
        <w:tabs>
          <w:tab w:val="left" w:pos="1440"/>
        </w:tabs>
        <w:spacing w:after="160" w:line="276"/>
        <w:ind w:left="1440" w:hanging="720"/>
        <w:jc w:val="both"/>
      </w:pPr>
      <w:r>
        <w:rPr>
          <w:rFonts w:ascii="Times New Roman" w:cs="Times New Roman" w:eastAsia="Times New Roman" w:hAnsi="Times New Roman"/>
          <w:sz w:val="22"/>
          <w:szCs w:val="22"/>
        </w:rPr>
        <w:t xml:space="preserve">(d)</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notify the Company immediately, and in any event within </w:t>
      </w:r>
      <w:r>
        <w:rPr>
          <w:rFonts w:ascii="Times New Roman" w:cs="Times New Roman" w:eastAsia="Times New Roman" w:hAnsi="Times New Roman"/>
          <w:b/>
          <w:bCs/>
          <w:i w:val="false"/>
          <w:iCs w:val="false"/>
          <w:sz w:val="22"/>
          <w:szCs w:val="22"/>
        </w:rPr>
        <w:t xml:space="preserve">24 hours</w:t>
      </w:r>
      <w:r>
        <w:rPr>
          <w:rFonts w:ascii="Times New Roman" w:cs="Times New Roman" w:eastAsia="Times New Roman" w:hAnsi="Times New Roman"/>
          <w:b w:val="false"/>
          <w:bCs w:val="false"/>
          <w:i w:val="false"/>
          <w:iCs w:val="false"/>
          <w:sz w:val="22"/>
          <w:szCs w:val="22"/>
        </w:rPr>
        <w:t xml:space="preserve">, where there are reasonable grounds to believe that it has been accessed or acquired by any unauthorised person, and provide all information the Company reasonably requires to make any notification under section 22 of POPIA;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on termination, deal with it in accordance with clause 13.</w:t>
      </w:r>
    </w:p>
    <w:p>
      <w:pPr>
        <w:tabs>
          <w:tab w:val="left" w:pos="720"/>
        </w:tabs>
        <w:spacing w:after="160" w:line="276"/>
        <w:ind w:left="720" w:hanging="720"/>
        <w:jc w:val="both"/>
      </w:pPr>
      <w:r>
        <w:rPr>
          <w:rFonts w:ascii="Times New Roman" w:cs="Times New Roman" w:eastAsia="Times New Roman" w:hAnsi="Times New Roman"/>
          <w:sz w:val="22"/>
          <w:szCs w:val="22"/>
        </w:rPr>
        <w:t xml:space="preserve">11.4</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shall not de-anonymise, re-identify or attempt to re-identify any aggregated or anonymised data derived from the Business.</w:t>
      </w:r>
    </w:p>
    <w:p>
      <w:pPr>
        <w:pStyle w:val="Heading1"/>
        <w:spacing w:after="180" w:before="320"/>
      </w:pPr>
      <w:r>
        <w:rPr>
          <w:rFonts w:ascii="Times New Roman" w:cs="Times New Roman" w:eastAsia="Times New Roman" w:hAnsi="Times New Roman"/>
          <w:b/>
          <w:bCs/>
          <w:i w:val="false"/>
          <w:iCs w:val="false"/>
          <w:sz w:val="24"/>
          <w:szCs w:val="24"/>
        </w:rPr>
        <w:t xml:space="preserve">12. Term and Survival</w:t>
      </w:r>
    </w:p>
    <w:p>
      <w:pPr>
        <w:tabs>
          <w:tab w:val="left" w:pos="720"/>
        </w:tabs>
        <w:spacing w:after="160" w:line="276"/>
        <w:ind w:left="720" w:hanging="720"/>
        <w:jc w:val="both"/>
      </w:pPr>
      <w:r>
        <w:rPr>
          <w:rFonts w:ascii="Times New Roman" w:cs="Times New Roman" w:eastAsia="Times New Roman" w:hAnsi="Times New Roman"/>
          <w:sz w:val="22"/>
          <w:szCs w:val="22"/>
        </w:rPr>
        <w:t xml:space="preserve">12.1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commences on the Effective Date and continues until terminated by either Party on </w:t>
      </w:r>
      <w:r>
        <w:rPr>
          <w:rFonts w:ascii="Times New Roman" w:cs="Times New Roman" w:eastAsia="Times New Roman" w:hAnsi="Times New Roman"/>
          <w:b/>
          <w:bCs/>
          <w:i w:val="false"/>
          <w:iCs w:val="false"/>
          <w:sz w:val="22"/>
          <w:szCs w:val="22"/>
        </w:rPr>
        <w:t xml:space="preserve">30 days’</w:t>
      </w:r>
      <w:r>
        <w:rPr>
          <w:rFonts w:ascii="Times New Roman" w:cs="Times New Roman" w:eastAsia="Times New Roman" w:hAnsi="Times New Roman"/>
          <w:b w:val="false"/>
          <w:bCs w:val="false"/>
          <w:i w:val="false"/>
          <w:iCs w:val="false"/>
          <w:sz w:val="22"/>
          <w:szCs w:val="22"/>
        </w:rPr>
        <w:t xml:space="preserve"> written notice.</w:t>
      </w:r>
    </w:p>
    <w:p>
      <w:pPr>
        <w:tabs>
          <w:tab w:val="left" w:pos="720"/>
        </w:tabs>
        <w:spacing w:after="160" w:line="276"/>
        <w:ind w:left="720" w:hanging="720"/>
        <w:jc w:val="both"/>
      </w:pPr>
      <w:r>
        <w:rPr>
          <w:rFonts w:ascii="Times New Roman" w:cs="Times New Roman" w:eastAsia="Times New Roman" w:hAnsi="Times New Roman"/>
          <w:sz w:val="22"/>
          <w:szCs w:val="22"/>
        </w:rPr>
        <w:t xml:space="preserve">12.2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Recipient’s obligations in respect of Confidential Information disclosed before termination survive and continue for </w:t>
      </w:r>
      <w:r>
        <w:rPr>
          <w:rFonts w:ascii="Times New Roman" w:cs="Times New Roman" w:eastAsia="Times New Roman" w:hAnsi="Times New Roman"/>
          <w:b/>
          <w:bCs/>
          <w:i w:val="false"/>
          <w:iCs w:val="false"/>
          <w:sz w:val="22"/>
          <w:szCs w:val="22"/>
        </w:rPr>
        <w:t xml:space="preserve">three (3) years</w:t>
      </w:r>
      <w:r>
        <w:rPr>
          <w:rFonts w:ascii="Times New Roman" w:cs="Times New Roman" w:eastAsia="Times New Roman" w:hAnsi="Times New Roman"/>
          <w:b w:val="false"/>
          <w:bCs w:val="false"/>
          <w:i w:val="false"/>
          <w:iCs w:val="false"/>
          <w:sz w:val="22"/>
          <w:szCs w:val="22"/>
        </w:rPr>
        <w:t xml:space="preserve"> from the date of termination, except that:</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obligations in respect of anything constituting a trade secret continue for as long as it remains a trade secret;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obligations in respect of personal information and clause 11 continue indefinitely.</w:t>
      </w:r>
    </w:p>
    <w:p>
      <w:pPr>
        <w:tabs>
          <w:tab w:val="left" w:pos="720"/>
        </w:tabs>
        <w:spacing w:after="160" w:line="276"/>
        <w:ind w:left="720" w:hanging="720"/>
        <w:jc w:val="both"/>
      </w:pPr>
      <w:r>
        <w:rPr>
          <w:rFonts w:ascii="Times New Roman" w:cs="Times New Roman" w:eastAsia="Times New Roman" w:hAnsi="Times New Roman"/>
          <w:sz w:val="22"/>
          <w:szCs w:val="22"/>
        </w:rPr>
        <w:t xml:space="preserve">12.3</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If the Recipient makes an investment in the Company, this Agreement is superseded in respect of Confidential Information by the confidentiality provisions of the definitive investment or shareholders’ agreement from the date that agreement takes effect, and continues to apply to the extent that agreement does not.</w:t>
      </w:r>
    </w:p>
    <w:p>
      <w:pPr>
        <w:pStyle w:val="Heading1"/>
        <w:spacing w:after="180" w:before="320"/>
      </w:pPr>
      <w:r>
        <w:rPr>
          <w:rFonts w:ascii="Times New Roman" w:cs="Times New Roman" w:eastAsia="Times New Roman" w:hAnsi="Times New Roman"/>
          <w:b/>
          <w:bCs/>
          <w:i w:val="false"/>
          <w:iCs w:val="false"/>
          <w:sz w:val="24"/>
          <w:szCs w:val="24"/>
        </w:rPr>
        <w:t xml:space="preserve">13. Return and Destruction</w:t>
      </w:r>
    </w:p>
    <w:p>
      <w:pPr>
        <w:tabs>
          <w:tab w:val="left" w:pos="720"/>
        </w:tabs>
        <w:spacing w:after="160" w:line="276"/>
        <w:ind w:left="720" w:hanging="720"/>
        <w:jc w:val="both"/>
      </w:pPr>
      <w:r>
        <w:rPr>
          <w:rFonts w:ascii="Times New Roman" w:cs="Times New Roman" w:eastAsia="Times New Roman" w:hAnsi="Times New Roman"/>
          <w:sz w:val="22"/>
          <w:szCs w:val="22"/>
        </w:rPr>
        <w:t xml:space="preserve">13.1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On the earlier of the Company’s written request or termination of this Agreement without an investment having been made, the Recipient shall promptly, and in any event within </w:t>
      </w:r>
      <w:r>
        <w:rPr>
          <w:rFonts w:ascii="Times New Roman" w:cs="Times New Roman" w:eastAsia="Times New Roman" w:hAnsi="Times New Roman"/>
          <w:b/>
          <w:bCs/>
          <w:i w:val="false"/>
          <w:iCs w:val="false"/>
          <w:sz w:val="22"/>
          <w:szCs w:val="22"/>
        </w:rPr>
        <w:t xml:space="preserve">10 business days</w:t>
      </w:r>
      <w:r>
        <w:rPr>
          <w:rFonts w:ascii="Times New Roman" w:cs="Times New Roman" w:eastAsia="Times New Roman" w:hAnsi="Times New Roman"/>
          <w:b w:val="false"/>
          <w:bCs w:val="false"/>
          <w:i w:val="false"/>
          <w:iCs w:val="false"/>
          <w:sz w:val="22"/>
          <w:szCs w:val="22"/>
        </w:rPr>
        <w:t xml:space="preserve">:</w:t>
      </w:r>
    </w:p>
    <w:p>
      <w:pPr>
        <w:tabs>
          <w:tab w:val="left" w:pos="1440"/>
        </w:tabs>
        <w:spacing w:after="160" w:line="276"/>
        <w:ind w:left="1440" w:hanging="720"/>
        <w:jc w:val="both"/>
      </w:pP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cease all use of the Confidential Information;</w:t>
      </w:r>
    </w:p>
    <w:p>
      <w:pPr>
        <w:tabs>
          <w:tab w:val="left" w:pos="1440"/>
        </w:tabs>
        <w:spacing w:after="160" w:line="276"/>
        <w:ind w:left="1440" w:hanging="720"/>
        <w:jc w:val="both"/>
      </w:pPr>
      <w:r>
        <w:rPr>
          <w:rFonts w:ascii="Times New Roman" w:cs="Times New Roman" w:eastAsia="Times New Roman" w:hAnsi="Times New Roman"/>
          <w:sz w:val="22"/>
          <w:szCs w:val="22"/>
        </w:rPr>
        <w:t xml:space="preserve">(b)</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return or, at the Company’s election, securely and irretrievably destroy all Confidential Information in its possession or control, including all copies and derived materials, and relinquish all data room and system access; and</w:t>
      </w:r>
    </w:p>
    <w:p>
      <w:pPr>
        <w:tabs>
          <w:tab w:val="left" w:pos="1440"/>
        </w:tabs>
        <w:spacing w:after="160" w:line="276"/>
        <w:ind w:left="1440" w:hanging="720"/>
        <w:jc w:val="both"/>
      </w:pP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if requested, confirm in writing signed by an authorised representative that it has done so.</w:t>
      </w:r>
    </w:p>
    <w:p>
      <w:pPr>
        <w:tabs>
          <w:tab w:val="left" w:pos="720"/>
        </w:tabs>
        <w:spacing w:after="160" w:line="276"/>
        <w:ind w:left="720" w:hanging="720"/>
        <w:jc w:val="both"/>
      </w:pPr>
      <w:r>
        <w:rPr>
          <w:rFonts w:ascii="Times New Roman" w:cs="Times New Roman" w:eastAsia="Times New Roman" w:hAnsi="Times New Roman"/>
          <w:sz w:val="22"/>
          <w:szCs w:val="22"/>
        </w:rPr>
        <w:t xml:space="preserve">13.2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may retain one copy of Confidential Information to the extent required by law, by any regulator, or by its bona fide internal document-retention, audit or automated backup policies, provided such retained material remains subject to this Agreement for as long as it is retained and is not accessed for any other purpose.</w:t>
      </w:r>
    </w:p>
    <w:p>
      <w:pPr>
        <w:pStyle w:val="Heading1"/>
        <w:spacing w:after="180" w:before="320"/>
      </w:pPr>
      <w:r>
        <w:rPr>
          <w:rFonts w:ascii="Times New Roman" w:cs="Times New Roman" w:eastAsia="Times New Roman" w:hAnsi="Times New Roman"/>
          <w:b/>
          <w:bCs/>
          <w:i w:val="false"/>
          <w:iCs w:val="false"/>
          <w:sz w:val="24"/>
          <w:szCs w:val="24"/>
        </w:rPr>
        <w:t xml:space="preserve">14. No Obligation to Proceed</w:t>
      </w:r>
    </w:p>
    <w:p>
      <w:pPr>
        <w:tabs>
          <w:tab w:val="left" w:pos="720"/>
        </w:tabs>
        <w:spacing w:after="160" w:line="276"/>
        <w:ind w:left="720" w:hanging="720"/>
        <w:jc w:val="both"/>
      </w:pPr>
      <w:r>
        <w:rPr>
          <w:rFonts w:ascii="Times New Roman" w:cs="Times New Roman" w:eastAsia="Times New Roman" w:hAnsi="Times New Roman"/>
          <w:sz w:val="22"/>
          <w:szCs w:val="22"/>
        </w:rPr>
        <w:t xml:space="preserve">14.1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does not oblige either Party to disclose any particular information, to enter into any further agreement or transaction, or to continue discussions, and either Party may terminate discussions at any time without liability.</w:t>
      </w:r>
    </w:p>
    <w:p>
      <w:pPr>
        <w:tabs>
          <w:tab w:val="left" w:pos="720"/>
        </w:tabs>
        <w:spacing w:after="160" w:line="276"/>
        <w:ind w:left="720" w:hanging="720"/>
        <w:jc w:val="both"/>
      </w:pPr>
      <w:r>
        <w:rPr>
          <w:rFonts w:ascii="Times New Roman" w:cs="Times New Roman" w:eastAsia="Times New Roman" w:hAnsi="Times New Roman"/>
          <w:sz w:val="22"/>
          <w:szCs w:val="22"/>
        </w:rPr>
        <w:t xml:space="preserve">14.2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This Agreement grants no exclusivity and creates no partnership, joint venture, employment, agency or fiduciary relationship between the Parties. The Company remains free to negotiate with any other prospective investor.</w:t>
      </w:r>
    </w:p>
    <w:p>
      <w:pPr>
        <w:pStyle w:val="Heading1"/>
        <w:spacing w:after="180" w:before="320"/>
      </w:pPr>
      <w:r>
        <w:rPr>
          <w:rFonts w:ascii="Times New Roman" w:cs="Times New Roman" w:eastAsia="Times New Roman" w:hAnsi="Times New Roman"/>
          <w:b/>
          <w:bCs/>
          <w:i w:val="false"/>
          <w:iCs w:val="false"/>
          <w:sz w:val="24"/>
          <w:szCs w:val="24"/>
        </w:rPr>
        <w:t xml:space="preserve">15. Breach and Remedies</w:t>
      </w:r>
    </w:p>
    <w:p>
      <w:pPr>
        <w:tabs>
          <w:tab w:val="left" w:pos="720"/>
        </w:tabs>
        <w:spacing w:after="160" w:line="276"/>
        <w:ind w:left="720" w:hanging="720"/>
        <w:jc w:val="both"/>
      </w:pPr>
      <w:r>
        <w:rPr>
          <w:rFonts w:ascii="Times New Roman" w:cs="Times New Roman" w:eastAsia="Times New Roman" w:hAnsi="Times New Roman"/>
          <w:sz w:val="22"/>
          <w:szCs w:val="22"/>
        </w:rPr>
        <w:t xml:space="preserve">15.1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The Recipient acknowledges that a breach of this Agreement may cause the Company harm that cannot be adequately compensated by damages alone, and that the Company is accordingly entitled to seek urgent interdictory relief and specific performance, in addition to any other remedy available in law, without having to prove actual damage and without the need to furnish security.</w:t>
      </w:r>
    </w:p>
    <w:p>
      <w:pPr>
        <w:tabs>
          <w:tab w:val="left" w:pos="720"/>
        </w:tabs>
        <w:spacing w:after="160" w:line="276"/>
        <w:ind w:left="720" w:hanging="720"/>
        <w:jc w:val="both"/>
      </w:pPr>
      <w:r>
        <w:rPr>
          <w:rFonts w:ascii="Times New Roman" w:cs="Times New Roman" w:eastAsia="Times New Roman" w:hAnsi="Times New Roman"/>
          <w:sz w:val="22"/>
          <w:szCs w:val="22"/>
        </w:rPr>
        <w:t xml:space="preserve">15.2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 failure or delay by a Party in enforcing any right under this Agreement constitutes a waiver of that right.</w:t>
      </w:r>
    </w:p>
    <w:p>
      <w:pPr>
        <w:pStyle w:val="Heading1"/>
        <w:spacing w:after="180" w:before="320"/>
      </w:pPr>
      <w:r>
        <w:rPr>
          <w:rFonts w:ascii="Times New Roman" w:cs="Times New Roman" w:eastAsia="Times New Roman" w:hAnsi="Times New Roman"/>
          <w:b/>
          <w:bCs/>
          <w:i w:val="false"/>
          <w:iCs w:val="false"/>
          <w:sz w:val="24"/>
          <w:szCs w:val="24"/>
        </w:rPr>
        <w:t xml:space="preserve">16. Notices</w:t>
      </w:r>
    </w:p>
    <w:p>
      <w:pPr>
        <w:tabs>
          <w:tab w:val="left" w:pos="720"/>
        </w:tabs>
        <w:spacing w:after="160" w:line="276"/>
        <w:ind w:left="720" w:hanging="720"/>
        <w:jc w:val="both"/>
      </w:pPr>
      <w:r>
        <w:rPr>
          <w:rFonts w:ascii="Times New Roman" w:cs="Times New Roman" w:eastAsia="Times New Roman" w:hAnsi="Times New Roman"/>
          <w:sz w:val="22"/>
          <w:szCs w:val="22"/>
        </w:rPr>
        <w:t xml:space="preserve">16.1</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Notices under this Agreement must be in writing and delivered by hand, by prepaid registered post or by email to the addresses below (or such other address as a Party notifies in writing):</w:t>
      </w:r>
    </w:p>
    <w:p>
      <w:pPr>
        <w:spacing w:after="80"/>
      </w:pPr>
    </w:p>
    <w:tbl>
      <w:tblPr>
        <w:tblW w:type="dxa" w:w="9000"/>
        <w:tblBorders>
          <w:top w:val="single" w:color="BBBBBB" w:sz="4"/>
          <w:left w:val="single" w:color="BBBBBB" w:sz="4"/>
          <w:bottom w:val="single" w:color="BBBBBB" w:sz="4"/>
          <w:right w:val="single" w:color="BBBBBB" w:sz="4"/>
          <w:insideH w:val="single" w:color="BBBBBB" w:sz="4"/>
          <w:insideV w:val="single" w:color="BBBBBB" w:sz="4"/>
        </w:tblBorders>
      </w:tblPr>
      <w:tblGrid>
        <w:gridCol w:w="2200"/>
        <w:gridCol w:w="3400"/>
        <w:gridCol w:w="3400"/>
      </w:tblGrid>
      <w:tr>
        <w:tc>
          <w:tcPr>
            <w:tcW w:type="dxa" w:w="2200"/>
            <w:shd w:fill="F2F2F2" w:color="auto" w:val="clear"/>
            <w:tcMar>
              <w:top w:type="dxa" w:w="80"/>
              <w:left w:type="dxa" w:w="120"/>
              <w:bottom w:type="dxa" w:w="80"/>
              <w:right w:type="dxa" w:w="120"/>
            </w:tcMar>
          </w:tcPr>
          <w:p>
            <w:pPr>
              <w:spacing w:after="0" w:line="276"/>
            </w:pPr>
          </w:p>
        </w:tc>
        <w:tc>
          <w:tcPr>
            <w:tcW w:type="dxa" w:w="3400"/>
            <w:shd w:fill="F2F2F2" w:color="auto" w:val="clear"/>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Company</w:t>
            </w:r>
          </w:p>
        </w:tc>
        <w:tc>
          <w:tcPr>
            <w:tcW w:type="dxa" w:w="3400"/>
            <w:shd w:fill="F2F2F2" w:color="auto" w:val="clear"/>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Recipient</w:t>
            </w: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Physical address</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11 Gardner Williams Avenue, Paardevlei, Cape Town, 7130</w:t>
            </w:r>
          </w:p>
        </w:tc>
        <w:tc>
          <w:tcPr>
            <w:tcW w:type="dxa" w:w="3400"/>
            <w:tcMar>
              <w:top w:type="dxa" w:w="80"/>
              <w:left w:type="dxa" w:w="120"/>
              <w:bottom w:type="dxa" w:w="80"/>
              <w:right w:type="dxa" w:w="120"/>
            </w:tcMar>
          </w:tcPr>
          <w:p>
            <w:pPr>
              <w:spacing w:after="0" w:line="276"/>
            </w:pP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Email</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Lourens@ewosolutions.com</w:t>
            </w:r>
          </w:p>
        </w:tc>
        <w:tc>
          <w:tcPr>
            <w:tcW w:type="dxa" w:w="3400"/>
            <w:tcMar>
              <w:top w:type="dxa" w:w="80"/>
              <w:left w:type="dxa" w:w="120"/>
              <w:bottom w:type="dxa" w:w="80"/>
              <w:right w:type="dxa" w:w="120"/>
            </w:tcMar>
          </w:tcPr>
          <w:p>
            <w:pPr>
              <w:spacing w:after="0" w:line="276"/>
            </w:pPr>
          </w:p>
        </w:tc>
      </w:tr>
      <w:tr>
        <w:tc>
          <w:tcPr>
            <w:tcW w:type="dxa" w:w="2200"/>
            <w:tcMar>
              <w:top w:type="dxa" w:w="80"/>
              <w:left w:type="dxa" w:w="120"/>
              <w:bottom w:type="dxa" w:w="80"/>
              <w:right w:type="dxa" w:w="120"/>
            </w:tcMar>
          </w:tcPr>
          <w:p>
            <w:pPr>
              <w:spacing w:after="0" w:line="276"/>
            </w:pPr>
            <w:r>
              <w:rPr>
                <w:rFonts w:ascii="Times New Roman" w:cs="Times New Roman" w:eastAsia="Times New Roman" w:hAnsi="Times New Roman"/>
                <w:b/>
                <w:bCs/>
                <w:i w:val="false"/>
                <w:iCs w:val="false"/>
                <w:sz w:val="22"/>
                <w:szCs w:val="22"/>
              </w:rPr>
              <w:t xml:space="preserve">For the attention of</w:t>
            </w:r>
          </w:p>
        </w:tc>
        <w:tc>
          <w:tcPr>
            <w:tcW w:type="dxa" w:w="3400"/>
            <w:tcMar>
              <w:top w:type="dxa" w:w="80"/>
              <w:left w:type="dxa" w:w="120"/>
              <w:bottom w:type="dxa" w:w="80"/>
              <w:right w:type="dxa" w:w="120"/>
            </w:tcMar>
          </w:tcPr>
          <w:p>
            <w:pPr>
              <w:spacing w:after="0" w:line="276"/>
            </w:pPr>
            <w:r>
              <w:rPr>
                <w:rFonts w:ascii="Times New Roman" w:cs="Times New Roman" w:eastAsia="Times New Roman" w:hAnsi="Times New Roman"/>
                <w:b w:val="false"/>
                <w:bCs w:val="false"/>
                <w:i w:val="false"/>
                <w:iCs w:val="false"/>
                <w:sz w:val="22"/>
                <w:szCs w:val="22"/>
              </w:rPr>
              <w:t xml:space="preserve">Lourens Vorster</w:t>
            </w:r>
          </w:p>
        </w:tc>
        <w:tc>
          <w:tcPr>
            <w:tcW w:type="dxa" w:w="3400"/>
            <w:tcMar>
              <w:top w:type="dxa" w:w="80"/>
              <w:left w:type="dxa" w:w="120"/>
              <w:bottom w:type="dxa" w:w="80"/>
              <w:right w:type="dxa" w:w="120"/>
            </w:tcMar>
          </w:tcPr>
          <w:p>
            <w:pPr>
              <w:spacing w:after="0" w:line="276"/>
            </w:pPr>
          </w:p>
        </w:tc>
      </w:tr>
    </w:tbl>
    <w:p>
      <w:pPr>
        <w:spacing w:after="200"/>
      </w:pPr>
    </w:p>
    <w:p>
      <w:pPr>
        <w:tabs>
          <w:tab w:val="left" w:pos="720"/>
        </w:tabs>
        <w:spacing w:after="160" w:line="276"/>
        <w:ind w:left="720" w:hanging="720"/>
        <w:jc w:val="both"/>
      </w:pPr>
      <w:r>
        <w:rPr>
          <w:rFonts w:ascii="Times New Roman" w:cs="Times New Roman" w:eastAsia="Times New Roman" w:hAnsi="Times New Roman"/>
          <w:sz w:val="22"/>
          <w:szCs w:val="22"/>
        </w:rPr>
        <w:t xml:space="preserve">16.2</w:t>
      </w:r>
      <w:r>
        <w:rPr>
          <w:rFonts w:ascii="Times New Roman" w:cs="Times New Roman" w:eastAsia="Times New Roman" w:hAnsi="Times New Roman"/>
          <w:sz w:val="22"/>
          <w:szCs w:val="22"/>
        </w:rPr>
        <w:t xml:space="preserve">	</w:t>
      </w:r>
      <w:r>
        <w:rPr>
          <w:rFonts w:ascii="Times New Roman" w:cs="Times New Roman" w:eastAsia="Times New Roman" w:hAnsi="Times New Roman"/>
          <w:b w:val="false"/>
          <w:bCs w:val="false"/>
          <w:i w:val="false"/>
          <w:iCs w:val="false"/>
          <w:sz w:val="22"/>
          <w:szCs w:val="22"/>
        </w:rPr>
        <w:t xml:space="preserve">A notice is deemed received: on delivery, if delivered by hand; on the seventh business day after posting, if posted; and on the first business day after sending, if sent by email and no delivery-failure message is received.</w:t>
      </w:r>
    </w:p>
    <w:p>
      <w:pPr>
        <w:pStyle w:val="Heading1"/>
        <w:spacing w:after="180" w:before="320"/>
      </w:pPr>
      <w:r>
        <w:rPr>
          <w:rFonts w:ascii="Times New Roman" w:cs="Times New Roman" w:eastAsia="Times New Roman" w:hAnsi="Times New Roman"/>
          <w:b/>
          <w:bCs/>
          <w:i w:val="false"/>
          <w:iCs w:val="false"/>
          <w:sz w:val="24"/>
          <w:szCs w:val="24"/>
        </w:rPr>
        <w:t xml:space="preserve">17. General</w:t>
      </w:r>
    </w:p>
    <w:p>
      <w:pPr>
        <w:tabs>
          <w:tab w:val="left" w:pos="720"/>
        </w:tabs>
        <w:spacing w:after="160" w:line="276"/>
        <w:ind w:left="720" w:hanging="720"/>
        <w:jc w:val="both"/>
      </w:pPr>
      <w:r>
        <w:rPr>
          <w:rFonts w:ascii="Times New Roman" w:cs="Times New Roman" w:eastAsia="Times New Roman" w:hAnsi="Times New Roman"/>
          <w:sz w:val="22"/>
          <w:szCs w:val="22"/>
        </w:rPr>
        <w:t xml:space="preserve">17.1</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Entire agreement.</w:t>
      </w:r>
      <w:r>
        <w:rPr>
          <w:rFonts w:ascii="Times New Roman" w:cs="Times New Roman" w:eastAsia="Times New Roman" w:hAnsi="Times New Roman"/>
          <w:b w:val="false"/>
          <w:bCs w:val="false"/>
          <w:i w:val="false"/>
          <w:iCs w:val="false"/>
          <w:sz w:val="22"/>
          <w:szCs w:val="22"/>
        </w:rPr>
        <w:t xml:space="preserve"> This Agreement is the entire agreement between the Parties on its subject matter and supersedes all prior discussions, representations and understandings on it.</w:t>
      </w:r>
    </w:p>
    <w:p>
      <w:pPr>
        <w:tabs>
          <w:tab w:val="left" w:pos="720"/>
        </w:tabs>
        <w:spacing w:after="160" w:line="276"/>
        <w:ind w:left="720" w:hanging="720"/>
        <w:jc w:val="both"/>
      </w:pPr>
      <w:r>
        <w:rPr>
          <w:rFonts w:ascii="Times New Roman" w:cs="Times New Roman" w:eastAsia="Times New Roman" w:hAnsi="Times New Roman"/>
          <w:sz w:val="22"/>
          <w:szCs w:val="22"/>
        </w:rPr>
        <w:t xml:space="preserve">17.2</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Variation.</w:t>
      </w:r>
      <w:r>
        <w:rPr>
          <w:rFonts w:ascii="Times New Roman" w:cs="Times New Roman" w:eastAsia="Times New Roman" w:hAnsi="Times New Roman"/>
          <w:b w:val="false"/>
          <w:bCs w:val="false"/>
          <w:i w:val="false"/>
          <w:iCs w:val="false"/>
          <w:sz w:val="22"/>
          <w:szCs w:val="22"/>
        </w:rPr>
        <w:t xml:space="preserve"> No amendment, cancellation or waiver of this Agreement is valid unless in writing and signed by both Parties. No indulgence granted by a Party is a waiver of any of its rights.</w:t>
      </w:r>
    </w:p>
    <w:p>
      <w:pPr>
        <w:tabs>
          <w:tab w:val="left" w:pos="720"/>
        </w:tabs>
        <w:spacing w:after="160" w:line="276"/>
        <w:ind w:left="720" w:hanging="720"/>
        <w:jc w:val="both"/>
      </w:pPr>
      <w:r>
        <w:rPr>
          <w:rFonts w:ascii="Times New Roman" w:cs="Times New Roman" w:eastAsia="Times New Roman" w:hAnsi="Times New Roman"/>
          <w:sz w:val="22"/>
          <w:szCs w:val="22"/>
        </w:rPr>
        <w:t xml:space="preserve">17.3</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Severability.</w:t>
      </w:r>
      <w:r>
        <w:rPr>
          <w:rFonts w:ascii="Times New Roman" w:cs="Times New Roman" w:eastAsia="Times New Roman" w:hAnsi="Times New Roman"/>
          <w:b w:val="false"/>
          <w:bCs w:val="false"/>
          <w:i w:val="false"/>
          <w:iCs w:val="false"/>
          <w:sz w:val="22"/>
          <w:szCs w:val="22"/>
        </w:rPr>
        <w:t xml:space="preserve"> If any provision is found to be invalid or unenforceable, it is severed and the remaining provisions continue in full force.</w:t>
      </w:r>
    </w:p>
    <w:p>
      <w:pPr>
        <w:tabs>
          <w:tab w:val="left" w:pos="720"/>
        </w:tabs>
        <w:spacing w:after="160" w:line="276"/>
        <w:ind w:left="720" w:hanging="720"/>
        <w:jc w:val="both"/>
      </w:pPr>
      <w:r>
        <w:rPr>
          <w:rFonts w:ascii="Times New Roman" w:cs="Times New Roman" w:eastAsia="Times New Roman" w:hAnsi="Times New Roman"/>
          <w:sz w:val="22"/>
          <w:szCs w:val="22"/>
        </w:rPr>
        <w:t xml:space="preserve">17.4</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Cession and assignment.</w:t>
      </w:r>
      <w:r>
        <w:rPr>
          <w:rFonts w:ascii="Times New Roman" w:cs="Times New Roman" w:eastAsia="Times New Roman" w:hAnsi="Times New Roman"/>
          <w:b w:val="false"/>
          <w:bCs w:val="false"/>
          <w:i w:val="false"/>
          <w:iCs w:val="false"/>
          <w:sz w:val="22"/>
          <w:szCs w:val="22"/>
        </w:rPr>
        <w:t xml:space="preserve"> The Recipient may not cede, assign, delegate or otherwise transfer any of its rights or obligations under this Agreement without the Company’s prior written consent, save that it may cede its rights to an affiliated fund under common management that agrees in writing to be bound by this Agreement. The Company may cede and assign this Agreement to a successor in title to the Business on written notice.</w:t>
      </w:r>
    </w:p>
    <w:p>
      <w:pPr>
        <w:tabs>
          <w:tab w:val="left" w:pos="720"/>
        </w:tabs>
        <w:spacing w:after="160" w:line="276"/>
        <w:ind w:left="720" w:hanging="720"/>
        <w:jc w:val="both"/>
      </w:pPr>
      <w:r>
        <w:rPr>
          <w:rFonts w:ascii="Times New Roman" w:cs="Times New Roman" w:eastAsia="Times New Roman" w:hAnsi="Times New Roman"/>
          <w:sz w:val="22"/>
          <w:szCs w:val="22"/>
        </w:rPr>
        <w:t xml:space="preserve">17.5</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Counterparts and electronic signature.</w:t>
      </w:r>
      <w:r>
        <w:rPr>
          <w:rFonts w:ascii="Times New Roman" w:cs="Times New Roman" w:eastAsia="Times New Roman" w:hAnsi="Times New Roman"/>
          <w:b w:val="false"/>
          <w:bCs w:val="false"/>
          <w:i w:val="false"/>
          <w:iCs w:val="false"/>
          <w:sz w:val="22"/>
          <w:szCs w:val="22"/>
        </w:rPr>
        <w:t xml:space="preserve"> This Agreement may be signed in counterparts, each of which is an original and all of which together constitute one agreement. The Parties agree that signature by electronic means constitutes a valid signature and that this Agreement may be concluded in electronic form as contemplated in the Electronic Communications and Transactions Act 25 of 2002.</w:t>
      </w:r>
    </w:p>
    <w:p>
      <w:pPr>
        <w:tabs>
          <w:tab w:val="left" w:pos="720"/>
        </w:tabs>
        <w:spacing w:after="160" w:line="276"/>
        <w:ind w:left="720" w:hanging="720"/>
        <w:jc w:val="both"/>
      </w:pPr>
      <w:r>
        <w:rPr>
          <w:rFonts w:ascii="Times New Roman" w:cs="Times New Roman" w:eastAsia="Times New Roman" w:hAnsi="Times New Roman"/>
          <w:sz w:val="22"/>
          <w:szCs w:val="22"/>
        </w:rPr>
        <w:t xml:space="preserve">17.6</w:t>
      </w:r>
      <w:r>
        <w:rPr>
          <w:rFonts w:ascii="Times New Roman" w:cs="Times New Roman" w:eastAsia="Times New Roman" w:hAnsi="Times New Roman"/>
          <w:sz w:val="22"/>
          <w:szCs w:val="22"/>
        </w:rPr>
        <w:t xml:space="preserve">	</w:t>
      </w:r>
      <w:r>
        <w:rPr>
          <w:rFonts w:ascii="Times New Roman" w:cs="Times New Roman" w:eastAsia="Times New Roman" w:hAnsi="Times New Roman"/>
          <w:b/>
          <w:bCs/>
          <w:i w:val="false"/>
          <w:iCs w:val="false"/>
          <w:sz w:val="22"/>
          <w:szCs w:val="22"/>
        </w:rPr>
        <w:t xml:space="preserve">Governing law and jurisdiction.</w:t>
      </w:r>
      <w:r>
        <w:rPr>
          <w:rFonts w:ascii="Times New Roman" w:cs="Times New Roman" w:eastAsia="Times New Roman" w:hAnsi="Times New Roman"/>
          <w:b w:val="false"/>
          <w:bCs w:val="false"/>
          <w:i w:val="false"/>
          <w:iCs w:val="false"/>
          <w:sz w:val="22"/>
          <w:szCs w:val="22"/>
        </w:rPr>
        <w:t xml:space="preserve"> This Agreement is governed by and construed in accordance with the laws of the Republic of South Africa. The Parties consent to the exclusive jurisdiction of the </w:t>
      </w:r>
      <w:r>
        <w:rPr>
          <w:rFonts w:ascii="Times New Roman" w:cs="Times New Roman" w:eastAsia="Times New Roman" w:hAnsi="Times New Roman"/>
          <w:b/>
          <w:bCs/>
          <w:i w:val="false"/>
          <w:iCs w:val="false"/>
          <w:sz w:val="22"/>
          <w:szCs w:val="22"/>
        </w:rPr>
        <w:t xml:space="preserve">High Court of South Africa, Western Cape Division, Cape Town</w:t>
      </w:r>
      <w:r>
        <w:rPr>
          <w:rFonts w:ascii="Times New Roman" w:cs="Times New Roman" w:eastAsia="Times New Roman" w:hAnsi="Times New Roman"/>
          <w:b w:val="false"/>
          <w:bCs w:val="false"/>
          <w:i w:val="false"/>
          <w:iCs w:val="false"/>
          <w:sz w:val="22"/>
          <w:szCs w:val="22"/>
        </w:rPr>
        <w:t xml:space="preserve"> in respect of any dispute arising out of or in connection with it.</w:t>
      </w:r>
    </w:p>
    <w:p>
      <w:pPr>
        <w:pBdr>
          <w:bottom w:val="single" w:color="999999" w:sz="6" w:space="1"/>
        </w:pBdr>
        <w:spacing w:after="260" w:before="200"/>
      </w:pPr>
    </w:p>
    <w:p>
      <w:pPr>
        <w:spacing w:after="220" w:before="200"/>
      </w:pPr>
      <w:r>
        <w:rPr>
          <w:rFonts w:ascii="Times New Roman" w:cs="Times New Roman" w:eastAsia="Times New Roman" w:hAnsi="Times New Roman"/>
          <w:b/>
          <w:bCs/>
          <w:i w:val="false"/>
          <w:iCs w:val="false"/>
          <w:sz w:val="26"/>
          <w:szCs w:val="26"/>
        </w:rPr>
        <w:t xml:space="preserve">Signatures</w:t>
      </w:r>
    </w:p>
    <w:p>
      <w:pPr>
        <w:spacing w:after="60" w:line="276"/>
        <w:jc w:val="both"/>
      </w:pPr>
      <w:r>
        <w:rPr>
          <w:rFonts w:ascii="Times New Roman" w:cs="Times New Roman" w:eastAsia="Times New Roman" w:hAnsi="Times New Roman"/>
          <w:b w:val="false"/>
          <w:bCs w:val="false"/>
          <w:i w:val="false"/>
          <w:iCs w:val="false"/>
          <w:sz w:val="22"/>
          <w:szCs w:val="22"/>
        </w:rPr>
        <w:t xml:space="preserve">Signed for and on behalf of the </w:t>
      </w:r>
      <w:r>
        <w:rPr>
          <w:rFonts w:ascii="Times New Roman" w:cs="Times New Roman" w:eastAsia="Times New Roman" w:hAnsi="Times New Roman"/>
          <w:b/>
          <w:bCs/>
          <w:i w:val="false"/>
          <w:iCs w:val="false"/>
          <w:sz w:val="22"/>
          <w:szCs w:val="22"/>
        </w:rPr>
        <w:t xml:space="preserve">Company</w:t>
      </w:r>
      <w:r>
        <w:rPr>
          <w:rFonts w:ascii="Times New Roman" w:cs="Times New Roman" w:eastAsia="Times New Roman" w:hAnsi="Times New Roman"/>
          <w:b w:val="false"/>
          <w:bCs w:val="false"/>
          <w:i w:val="false"/>
          <w:iCs w:val="false"/>
          <w:sz w:val="22"/>
          <w:szCs w:val="22"/>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6800"/>
      </w:tblGrid>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Signature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Name</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Lourens Vorster</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Capacity</w:t>
            </w:r>
          </w:p>
        </w:tc>
        <w:tc>
          <w:tcPr>
            <w:tcW w:type="dxa" w:w="6800"/>
            <w:tcBorders>
              <w:top w:val="none" w:color="FFFFFF" w:sz="0"/>
              <w:left w:val="none" w:color="FFFFFF" w:sz="0"/>
              <w:bottom w:val="none" w:color="FFFFFF" w:sz="0"/>
              <w:right w:val="none" w:color="FFFFFF" w:sz="0"/>
            </w:tcBorders>
            <w:tcMar>
              <w:top w:type="dxa" w:w="140"/>
              <w:left w:type="dxa" w:w="0"/>
              <w:bottom w:type="dxa" w:w="140"/>
              <w:right w:type="dxa" w:w="0"/>
            </w:tcMar>
          </w:tcPr>
          <w:p>
            <w:pPr>
              <w:spacing w:after="0"/>
            </w:pPr>
            <w:r>
              <w:rPr>
                <w:rFonts w:ascii="Times New Roman" w:cs="Times New Roman" w:eastAsia="Times New Roman" w:hAnsi="Times New Roman"/>
                <w:b w:val="false"/>
                <w:bCs w:val="false"/>
                <w:i w:val="false"/>
                <w:iCs w:val="false"/>
                <w:sz w:val="22"/>
                <w:szCs w:val="22"/>
              </w:rPr>
              <w:t xml:space="preserve">Director</w:t>
            </w: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Date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Place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bl>
    <w:p>
      <w:pPr>
        <w:spacing w:after="400"/>
      </w:pPr>
    </w:p>
    <w:p>
      <w:pPr>
        <w:spacing w:after="60" w:line="276"/>
        <w:jc w:val="both"/>
      </w:pPr>
      <w:r>
        <w:rPr>
          <w:rFonts w:ascii="Times New Roman" w:cs="Times New Roman" w:eastAsia="Times New Roman" w:hAnsi="Times New Roman"/>
          <w:b w:val="false"/>
          <w:bCs w:val="false"/>
          <w:i w:val="false"/>
          <w:iCs w:val="false"/>
          <w:sz w:val="22"/>
          <w:szCs w:val="22"/>
        </w:rPr>
        <w:t xml:space="preserve">Signed for and on behalf of the </w:t>
      </w:r>
      <w:r>
        <w:rPr>
          <w:rFonts w:ascii="Times New Roman" w:cs="Times New Roman" w:eastAsia="Times New Roman" w:hAnsi="Times New Roman"/>
          <w:b/>
          <w:bCs/>
          <w:i w:val="false"/>
          <w:iCs w:val="false"/>
          <w:sz w:val="22"/>
          <w:szCs w:val="22"/>
        </w:rPr>
        <w:t xml:space="preserve">Recipient</w:t>
      </w:r>
      <w:r>
        <w:rPr>
          <w:rFonts w:ascii="Times New Roman" w:cs="Times New Roman" w:eastAsia="Times New Roman" w:hAnsi="Times New Roman"/>
          <w:b w:val="false"/>
          <w:bCs w:val="false"/>
          <w:i w:val="false"/>
          <w:iCs w:val="false"/>
          <w:sz w:val="22"/>
          <w:szCs w:val="22"/>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00"/>
        <w:gridCol w:w="6800"/>
      </w:tblGrid>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Signature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Name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Capacity</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Date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r>
        <w:tc>
          <w:tcPr>
            <w:tcW w:type="dxa" w:w="2200"/>
            <w:tcBorders>
              <w:top w:val="none" w:color="FFFFFF" w:sz="0"/>
              <w:left w:val="none" w:color="FFFFFF" w:sz="0"/>
              <w:bottom w:val="none" w:color="FFFFFF" w:sz="0"/>
              <w:right w:val="none" w:color="FFFFFF" w:sz="0"/>
            </w:tcBorders>
            <w:tcMar>
              <w:top w:type="dxa" w:w="140"/>
              <w:left w:type="dxa" w:w="0"/>
              <w:bottom w:type="dxa" w:w="140"/>
              <w:right w:type="dxa" w:w="120"/>
            </w:tcMar>
          </w:tcPr>
          <w:p>
            <w:pPr>
              <w:spacing w:after="0"/>
            </w:pPr>
            <w:r>
              <w:rPr>
                <w:rFonts w:ascii="Times New Roman" w:cs="Times New Roman" w:eastAsia="Times New Roman" w:hAnsi="Times New Roman"/>
                <w:b/>
                <w:bCs/>
                <w:i w:val="false"/>
                <w:iCs w:val="false"/>
                <w:sz w:val="22"/>
                <w:szCs w:val="22"/>
              </w:rPr>
              <w:t xml:space="preserve">Place</w:t>
            </w:r>
          </w:p>
        </w:tc>
        <w:tc>
          <w:tcPr>
            <w:tcW w:type="dxa" w:w="6800"/>
            <w:tcBorders>
              <w:top w:val="none" w:color="FFFFFF" w:sz="0"/>
              <w:left w:val="none" w:color="FFFFFF" w:sz="0"/>
              <w:bottom w:val="single" w:color="555555" w:sz="4"/>
              <w:right w:val="none" w:color="FFFFFF" w:sz="0"/>
            </w:tcBorders>
            <w:tcMar>
              <w:top w:type="dxa" w:w="140"/>
              <w:left w:type="dxa" w:w="0"/>
              <w:bottom w:type="dxa" w:w="140"/>
              <w:right w:type="dxa" w:w="0"/>
            </w:tcMar>
          </w:tcPr>
          <w:p>
            <w:pPr>
              <w:spacing w:after="0"/>
            </w:pPr>
          </w:p>
        </w:tc>
      </w:tr>
    </w:tbl>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Flagrr — Non-Disclosure Agreement  |  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b/>
        <w:bCs/>
        <w:i w:val="false"/>
        <w:iCs w:val="false"/>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 — Flagrr (Prospective Investors)</dc:title>
  <dc:creator>Flagrr</dc:creator>
  <dc:description>NDA template for disclosure of the Flagrr golf loyalty platform to prospective investors</dc:description>
  <cp:lastModifiedBy>Un-named</cp:lastModifiedBy>
  <cp:revision>1</cp:revision>
  <dcterms:created xsi:type="dcterms:W3CDTF">2026-09-21T09:13:12.226Z</dcterms:created>
  <dcterms:modified xsi:type="dcterms:W3CDTF">2026-09-21T09:13:12.227Z</dcterms:modified>
</cp:coreProperties>
</file>

<file path=docProps/custom.xml><?xml version="1.0" encoding="utf-8"?>
<Properties xmlns="http://schemas.openxmlformats.org/officeDocument/2006/custom-properties" xmlns:vt="http://schemas.openxmlformats.org/officeDocument/2006/docPropsVTypes"/>
</file>