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5.xml" ContentType="application/vnd.openxmlformats-officedocument.drawingml.chart+xml"/>
  <Override PartName="/word/drawings/drawing15.xml" ContentType="application/vnd.openxmlformats-officedocument.drawingml.chartshapes+xml"/>
  <Override PartName="/word/charts/chart16.xml" ContentType="application/vnd.openxmlformats-officedocument.drawingml.chart+xml"/>
  <Override PartName="/word/drawings/drawing16.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5B305F" w:rsidRPr="007E5172" w:rsidRDefault="005B305F" w:rsidP="005B305F">
      <w:pPr>
        <w:pStyle w:val="Prrafodelista"/>
        <w:numPr>
          <w:ilvl w:val="0"/>
          <w:numId w:val="4"/>
        </w:numPr>
        <w:jc w:val="left"/>
        <w:sectPr w:rsidR="005B305F" w:rsidRPr="007E5172" w:rsidSect="0090528B">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A3F9E"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724590" w:history="1">
        <w:r w:rsidR="009A3F9E" w:rsidRPr="00C17116">
          <w:rPr>
            <w:rStyle w:val="Hipervnculo"/>
            <w:noProof/>
          </w:rPr>
          <w:t>Introducción</w:t>
        </w:r>
        <w:r w:rsidR="009A3F9E">
          <w:rPr>
            <w:noProof/>
            <w:webHidden/>
          </w:rPr>
          <w:tab/>
        </w:r>
        <w:r w:rsidR="009A3F9E">
          <w:rPr>
            <w:noProof/>
            <w:webHidden/>
          </w:rPr>
          <w:fldChar w:fldCharType="begin"/>
        </w:r>
        <w:r w:rsidR="009A3F9E">
          <w:rPr>
            <w:noProof/>
            <w:webHidden/>
          </w:rPr>
          <w:instrText xml:space="preserve"> PAGEREF _Toc510724590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591" w:history="1">
        <w:r w:rsidR="009A3F9E" w:rsidRPr="00C17116">
          <w:rPr>
            <w:rStyle w:val="Hipervnculo"/>
            <w:noProof/>
          </w:rPr>
          <w:t>Definición de aneurisma incidental</w:t>
        </w:r>
        <w:r w:rsidR="009A3F9E">
          <w:rPr>
            <w:noProof/>
            <w:webHidden/>
          </w:rPr>
          <w:tab/>
        </w:r>
        <w:r w:rsidR="009A3F9E">
          <w:rPr>
            <w:noProof/>
            <w:webHidden/>
          </w:rPr>
          <w:fldChar w:fldCharType="begin"/>
        </w:r>
        <w:r w:rsidR="009A3F9E">
          <w:rPr>
            <w:noProof/>
            <w:webHidden/>
          </w:rPr>
          <w:instrText xml:space="preserve"> PAGEREF _Toc510724591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592" w:history="1">
        <w:r w:rsidR="009A3F9E" w:rsidRPr="00C17116">
          <w:rPr>
            <w:rStyle w:val="Hipervnculo"/>
            <w:noProof/>
          </w:rPr>
          <w:t>Epidemiología</w:t>
        </w:r>
        <w:r w:rsidR="009A3F9E">
          <w:rPr>
            <w:noProof/>
            <w:webHidden/>
          </w:rPr>
          <w:tab/>
        </w:r>
        <w:r w:rsidR="009A3F9E">
          <w:rPr>
            <w:noProof/>
            <w:webHidden/>
          </w:rPr>
          <w:fldChar w:fldCharType="begin"/>
        </w:r>
        <w:r w:rsidR="009A3F9E">
          <w:rPr>
            <w:noProof/>
            <w:webHidden/>
          </w:rPr>
          <w:instrText xml:space="preserve"> PAGEREF _Toc510724592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593" w:history="1">
        <w:r w:rsidR="009A3F9E" w:rsidRPr="00C17116">
          <w:rPr>
            <w:rStyle w:val="Hipervnculo"/>
            <w:noProof/>
          </w:rPr>
          <w:t>Historia natural del aneurisma</w:t>
        </w:r>
        <w:r w:rsidR="009A3F9E">
          <w:rPr>
            <w:noProof/>
            <w:webHidden/>
          </w:rPr>
          <w:tab/>
        </w:r>
        <w:r w:rsidR="009A3F9E">
          <w:rPr>
            <w:noProof/>
            <w:webHidden/>
          </w:rPr>
          <w:fldChar w:fldCharType="begin"/>
        </w:r>
        <w:r w:rsidR="009A3F9E">
          <w:rPr>
            <w:noProof/>
            <w:webHidden/>
          </w:rPr>
          <w:instrText xml:space="preserve"> PAGEREF _Toc510724593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B145CC">
      <w:pPr>
        <w:pStyle w:val="TDC3"/>
        <w:tabs>
          <w:tab w:val="right" w:leader="dot" w:pos="8494"/>
        </w:tabs>
        <w:rPr>
          <w:rFonts w:eastAsiaTheme="minorEastAsia"/>
          <w:i w:val="0"/>
          <w:iCs w:val="0"/>
          <w:noProof/>
          <w:sz w:val="22"/>
          <w:szCs w:val="22"/>
          <w:lang w:eastAsia="es-ES"/>
        </w:rPr>
      </w:pPr>
      <w:hyperlink w:anchor="_Toc510724594" w:history="1">
        <w:r w:rsidR="009A3F9E" w:rsidRPr="00C17116">
          <w:rPr>
            <w:rStyle w:val="Hipervnculo"/>
            <w:noProof/>
          </w:rPr>
          <w:t>Hemorragia Subaracnoidea (HSA)</w:t>
        </w:r>
        <w:r w:rsidR="009A3F9E">
          <w:rPr>
            <w:noProof/>
            <w:webHidden/>
          </w:rPr>
          <w:tab/>
        </w:r>
        <w:r w:rsidR="009A3F9E">
          <w:rPr>
            <w:noProof/>
            <w:webHidden/>
          </w:rPr>
          <w:fldChar w:fldCharType="begin"/>
        </w:r>
        <w:r w:rsidR="009A3F9E">
          <w:rPr>
            <w:noProof/>
            <w:webHidden/>
          </w:rPr>
          <w:instrText xml:space="preserve"> PAGEREF _Toc510724594 \h </w:instrText>
        </w:r>
        <w:r w:rsidR="009A3F9E">
          <w:rPr>
            <w:noProof/>
            <w:webHidden/>
          </w:rPr>
        </w:r>
        <w:r w:rsidR="009A3F9E">
          <w:rPr>
            <w:noProof/>
            <w:webHidden/>
          </w:rPr>
          <w:fldChar w:fldCharType="separate"/>
        </w:r>
        <w:r w:rsidR="009A3F9E">
          <w:rPr>
            <w:noProof/>
            <w:webHidden/>
          </w:rPr>
          <w:t>11</w:t>
        </w:r>
        <w:r w:rsidR="009A3F9E">
          <w:rPr>
            <w:noProof/>
            <w:webHidden/>
          </w:rPr>
          <w:fldChar w:fldCharType="end"/>
        </w:r>
      </w:hyperlink>
    </w:p>
    <w:p w:rsidR="009A3F9E" w:rsidRDefault="00B145CC">
      <w:pPr>
        <w:pStyle w:val="TDC3"/>
        <w:tabs>
          <w:tab w:val="right" w:leader="dot" w:pos="8494"/>
        </w:tabs>
        <w:rPr>
          <w:rFonts w:eastAsiaTheme="minorEastAsia"/>
          <w:i w:val="0"/>
          <w:iCs w:val="0"/>
          <w:noProof/>
          <w:sz w:val="22"/>
          <w:szCs w:val="22"/>
          <w:lang w:eastAsia="es-ES"/>
        </w:rPr>
      </w:pPr>
      <w:hyperlink w:anchor="_Toc510724595" w:history="1">
        <w:r w:rsidR="009A3F9E" w:rsidRPr="00C17116">
          <w:rPr>
            <w:rStyle w:val="Hipervnculo"/>
            <w:noProof/>
          </w:rPr>
          <w:t>Factores pronósticos y factores de riesgo de ruptura aneurismática</w:t>
        </w:r>
        <w:r w:rsidR="009A3F9E">
          <w:rPr>
            <w:noProof/>
            <w:webHidden/>
          </w:rPr>
          <w:tab/>
        </w:r>
        <w:r w:rsidR="009A3F9E">
          <w:rPr>
            <w:noProof/>
            <w:webHidden/>
          </w:rPr>
          <w:fldChar w:fldCharType="begin"/>
        </w:r>
        <w:r w:rsidR="009A3F9E">
          <w:rPr>
            <w:noProof/>
            <w:webHidden/>
          </w:rPr>
          <w:instrText xml:space="preserve"> PAGEREF _Toc510724595 \h </w:instrText>
        </w:r>
        <w:r w:rsidR="009A3F9E">
          <w:rPr>
            <w:noProof/>
            <w:webHidden/>
          </w:rPr>
        </w:r>
        <w:r w:rsidR="009A3F9E">
          <w:rPr>
            <w:noProof/>
            <w:webHidden/>
          </w:rPr>
          <w:fldChar w:fldCharType="separate"/>
        </w:r>
        <w:r w:rsidR="009A3F9E">
          <w:rPr>
            <w:noProof/>
            <w:webHidden/>
          </w:rPr>
          <w:t>12</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596" w:history="1">
        <w:r w:rsidR="009A3F9E" w:rsidRPr="00C17116">
          <w:rPr>
            <w:rStyle w:val="Hipervnculo"/>
            <w:noProof/>
          </w:rPr>
          <w:t>Tratamiento de los aneurismas incidentales</w:t>
        </w:r>
        <w:r w:rsidR="009A3F9E">
          <w:rPr>
            <w:noProof/>
            <w:webHidden/>
          </w:rPr>
          <w:tab/>
        </w:r>
        <w:r w:rsidR="009A3F9E">
          <w:rPr>
            <w:noProof/>
            <w:webHidden/>
          </w:rPr>
          <w:fldChar w:fldCharType="begin"/>
        </w:r>
        <w:r w:rsidR="009A3F9E">
          <w:rPr>
            <w:noProof/>
            <w:webHidden/>
          </w:rPr>
          <w:instrText xml:space="preserve"> PAGEREF _Toc510724596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B145CC">
      <w:pPr>
        <w:pStyle w:val="TDC3"/>
        <w:tabs>
          <w:tab w:val="right" w:leader="dot" w:pos="8494"/>
        </w:tabs>
        <w:rPr>
          <w:rFonts w:eastAsiaTheme="minorEastAsia"/>
          <w:i w:val="0"/>
          <w:iCs w:val="0"/>
          <w:noProof/>
          <w:sz w:val="22"/>
          <w:szCs w:val="22"/>
          <w:lang w:eastAsia="es-ES"/>
        </w:rPr>
      </w:pPr>
      <w:hyperlink w:anchor="_Toc510724597" w:history="1">
        <w:r w:rsidR="009A3F9E" w:rsidRPr="00C17116">
          <w:rPr>
            <w:rStyle w:val="Hipervnculo"/>
            <w:noProof/>
          </w:rPr>
          <w:t>Tratamiento quirúrgico</w:t>
        </w:r>
        <w:r w:rsidR="009A3F9E">
          <w:rPr>
            <w:noProof/>
            <w:webHidden/>
          </w:rPr>
          <w:tab/>
        </w:r>
        <w:r w:rsidR="009A3F9E">
          <w:rPr>
            <w:noProof/>
            <w:webHidden/>
          </w:rPr>
          <w:fldChar w:fldCharType="begin"/>
        </w:r>
        <w:r w:rsidR="009A3F9E">
          <w:rPr>
            <w:noProof/>
            <w:webHidden/>
          </w:rPr>
          <w:instrText xml:space="preserve"> PAGEREF _Toc510724597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B145CC">
      <w:pPr>
        <w:pStyle w:val="TDC3"/>
        <w:tabs>
          <w:tab w:val="right" w:leader="dot" w:pos="8494"/>
        </w:tabs>
        <w:rPr>
          <w:rFonts w:eastAsiaTheme="minorEastAsia"/>
          <w:i w:val="0"/>
          <w:iCs w:val="0"/>
          <w:noProof/>
          <w:sz w:val="22"/>
          <w:szCs w:val="22"/>
          <w:lang w:eastAsia="es-ES"/>
        </w:rPr>
      </w:pPr>
      <w:hyperlink w:anchor="_Toc510724598" w:history="1">
        <w:r w:rsidR="009A3F9E" w:rsidRPr="00C17116">
          <w:rPr>
            <w:rStyle w:val="Hipervnculo"/>
            <w:noProof/>
          </w:rPr>
          <w:t>Tratamiento endovascular</w:t>
        </w:r>
        <w:r w:rsidR="009A3F9E">
          <w:rPr>
            <w:noProof/>
            <w:webHidden/>
          </w:rPr>
          <w:tab/>
        </w:r>
        <w:r w:rsidR="009A3F9E">
          <w:rPr>
            <w:noProof/>
            <w:webHidden/>
          </w:rPr>
          <w:fldChar w:fldCharType="begin"/>
        </w:r>
        <w:r w:rsidR="009A3F9E">
          <w:rPr>
            <w:noProof/>
            <w:webHidden/>
          </w:rPr>
          <w:instrText xml:space="preserve"> PAGEREF _Toc510724598 \h </w:instrText>
        </w:r>
        <w:r w:rsidR="009A3F9E">
          <w:rPr>
            <w:noProof/>
            <w:webHidden/>
          </w:rPr>
        </w:r>
        <w:r w:rsidR="009A3F9E">
          <w:rPr>
            <w:noProof/>
            <w:webHidden/>
          </w:rPr>
          <w:fldChar w:fldCharType="separate"/>
        </w:r>
        <w:r w:rsidR="009A3F9E">
          <w:rPr>
            <w:noProof/>
            <w:webHidden/>
          </w:rPr>
          <w:t>14</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599" w:history="1">
        <w:r w:rsidR="009A3F9E" w:rsidRPr="00C17116">
          <w:rPr>
            <w:rStyle w:val="Hipervnculo"/>
            <w:noProof/>
          </w:rPr>
          <w:t>Justificación del Proyecto</w:t>
        </w:r>
        <w:r w:rsidR="009A3F9E">
          <w:rPr>
            <w:noProof/>
            <w:webHidden/>
          </w:rPr>
          <w:tab/>
        </w:r>
        <w:r w:rsidR="009A3F9E">
          <w:rPr>
            <w:noProof/>
            <w:webHidden/>
          </w:rPr>
          <w:fldChar w:fldCharType="begin"/>
        </w:r>
        <w:r w:rsidR="009A3F9E">
          <w:rPr>
            <w:noProof/>
            <w:webHidden/>
          </w:rPr>
          <w:instrText xml:space="preserve"> PAGEREF _Toc510724599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600" w:history="1">
        <w:r w:rsidR="009A3F9E" w:rsidRPr="00C17116">
          <w:rPr>
            <w:rStyle w:val="Hipervnculo"/>
            <w:noProof/>
          </w:rPr>
          <w:t>Objetivos</w:t>
        </w:r>
        <w:r w:rsidR="009A3F9E">
          <w:rPr>
            <w:noProof/>
            <w:webHidden/>
          </w:rPr>
          <w:tab/>
        </w:r>
        <w:r w:rsidR="009A3F9E">
          <w:rPr>
            <w:noProof/>
            <w:webHidden/>
          </w:rPr>
          <w:fldChar w:fldCharType="begin"/>
        </w:r>
        <w:r w:rsidR="009A3F9E">
          <w:rPr>
            <w:noProof/>
            <w:webHidden/>
          </w:rPr>
          <w:instrText xml:space="preserve"> PAGEREF _Toc510724600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601" w:history="1">
        <w:r w:rsidR="009A3F9E" w:rsidRPr="00C17116">
          <w:rPr>
            <w:rStyle w:val="Hipervnculo"/>
            <w:noProof/>
          </w:rPr>
          <w:t>Material y métodos</w:t>
        </w:r>
        <w:r w:rsidR="009A3F9E">
          <w:rPr>
            <w:noProof/>
            <w:webHidden/>
          </w:rPr>
          <w:tab/>
        </w:r>
        <w:r w:rsidR="009A3F9E">
          <w:rPr>
            <w:noProof/>
            <w:webHidden/>
          </w:rPr>
          <w:fldChar w:fldCharType="begin"/>
        </w:r>
        <w:r w:rsidR="009A3F9E">
          <w:rPr>
            <w:noProof/>
            <w:webHidden/>
          </w:rPr>
          <w:instrText xml:space="preserve"> PAGEREF _Toc510724601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602" w:history="1">
        <w:r w:rsidR="009A3F9E" w:rsidRPr="00C17116">
          <w:rPr>
            <w:rStyle w:val="Hipervnculo"/>
            <w:noProof/>
          </w:rPr>
          <w:t>Criterios de inclusión</w:t>
        </w:r>
        <w:r w:rsidR="009A3F9E">
          <w:rPr>
            <w:noProof/>
            <w:webHidden/>
          </w:rPr>
          <w:tab/>
        </w:r>
        <w:r w:rsidR="009A3F9E">
          <w:rPr>
            <w:noProof/>
            <w:webHidden/>
          </w:rPr>
          <w:fldChar w:fldCharType="begin"/>
        </w:r>
        <w:r w:rsidR="009A3F9E">
          <w:rPr>
            <w:noProof/>
            <w:webHidden/>
          </w:rPr>
          <w:instrText xml:space="preserve"> PAGEREF _Toc510724602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603" w:history="1">
        <w:r w:rsidR="009A3F9E" w:rsidRPr="00C17116">
          <w:rPr>
            <w:rStyle w:val="Hipervnculo"/>
            <w:noProof/>
          </w:rPr>
          <w:t>Datos recogidos</w:t>
        </w:r>
        <w:r w:rsidR="009A3F9E">
          <w:rPr>
            <w:noProof/>
            <w:webHidden/>
          </w:rPr>
          <w:tab/>
        </w:r>
        <w:r w:rsidR="009A3F9E">
          <w:rPr>
            <w:noProof/>
            <w:webHidden/>
          </w:rPr>
          <w:fldChar w:fldCharType="begin"/>
        </w:r>
        <w:r w:rsidR="009A3F9E">
          <w:rPr>
            <w:noProof/>
            <w:webHidden/>
          </w:rPr>
          <w:instrText xml:space="preserve"> PAGEREF _Toc510724603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604" w:history="1">
        <w:r w:rsidR="009A3F9E" w:rsidRPr="00C17116">
          <w:rPr>
            <w:rStyle w:val="Hipervnculo"/>
            <w:noProof/>
          </w:rPr>
          <w:t>Análisis estadístico</w:t>
        </w:r>
        <w:r w:rsidR="009A3F9E">
          <w:rPr>
            <w:noProof/>
            <w:webHidden/>
          </w:rPr>
          <w:tab/>
        </w:r>
        <w:r w:rsidR="009A3F9E">
          <w:rPr>
            <w:noProof/>
            <w:webHidden/>
          </w:rPr>
          <w:fldChar w:fldCharType="begin"/>
        </w:r>
        <w:r w:rsidR="009A3F9E">
          <w:rPr>
            <w:noProof/>
            <w:webHidden/>
          </w:rPr>
          <w:instrText xml:space="preserve"> PAGEREF _Toc510724604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B145CC">
      <w:pPr>
        <w:pStyle w:val="TDC3"/>
        <w:tabs>
          <w:tab w:val="right" w:leader="dot" w:pos="8494"/>
        </w:tabs>
        <w:rPr>
          <w:rFonts w:eastAsiaTheme="minorEastAsia"/>
          <w:i w:val="0"/>
          <w:iCs w:val="0"/>
          <w:noProof/>
          <w:sz w:val="22"/>
          <w:szCs w:val="22"/>
          <w:lang w:eastAsia="es-ES"/>
        </w:rPr>
      </w:pPr>
      <w:hyperlink w:anchor="_Toc510724605" w:history="1">
        <w:r w:rsidR="009A3F9E" w:rsidRPr="00C17116">
          <w:rPr>
            <w:rStyle w:val="Hipervnculo"/>
            <w:noProof/>
          </w:rPr>
          <w:t>Descriptivo</w:t>
        </w:r>
        <w:r w:rsidR="009A3F9E">
          <w:rPr>
            <w:noProof/>
            <w:webHidden/>
          </w:rPr>
          <w:tab/>
        </w:r>
        <w:r w:rsidR="009A3F9E">
          <w:rPr>
            <w:noProof/>
            <w:webHidden/>
          </w:rPr>
          <w:fldChar w:fldCharType="begin"/>
        </w:r>
        <w:r w:rsidR="009A3F9E">
          <w:rPr>
            <w:noProof/>
            <w:webHidden/>
          </w:rPr>
          <w:instrText xml:space="preserve"> PAGEREF _Toc510724605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B145CC">
      <w:pPr>
        <w:pStyle w:val="TDC3"/>
        <w:tabs>
          <w:tab w:val="right" w:leader="dot" w:pos="8494"/>
        </w:tabs>
        <w:rPr>
          <w:rFonts w:eastAsiaTheme="minorEastAsia"/>
          <w:i w:val="0"/>
          <w:iCs w:val="0"/>
          <w:noProof/>
          <w:sz w:val="22"/>
          <w:szCs w:val="22"/>
          <w:lang w:eastAsia="es-ES"/>
        </w:rPr>
      </w:pPr>
      <w:hyperlink w:anchor="_Toc510724606" w:history="1">
        <w:r w:rsidR="009A3F9E" w:rsidRPr="00C17116">
          <w:rPr>
            <w:rStyle w:val="Hipervnculo"/>
            <w:rFonts w:eastAsia="ArialMT"/>
            <w:noProof/>
          </w:rPr>
          <w:t>Analítico</w:t>
        </w:r>
        <w:r w:rsidR="009A3F9E">
          <w:rPr>
            <w:noProof/>
            <w:webHidden/>
          </w:rPr>
          <w:tab/>
        </w:r>
        <w:r w:rsidR="009A3F9E">
          <w:rPr>
            <w:noProof/>
            <w:webHidden/>
          </w:rPr>
          <w:fldChar w:fldCharType="begin"/>
        </w:r>
        <w:r w:rsidR="009A3F9E">
          <w:rPr>
            <w:noProof/>
            <w:webHidden/>
          </w:rPr>
          <w:instrText xml:space="preserve"> PAGEREF _Toc510724606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607" w:history="1">
        <w:r w:rsidR="009A3F9E" w:rsidRPr="00C17116">
          <w:rPr>
            <w:rStyle w:val="Hipervnculo"/>
            <w:noProof/>
          </w:rPr>
          <w:t>Resultados</w:t>
        </w:r>
        <w:r w:rsidR="009A3F9E">
          <w:rPr>
            <w:noProof/>
            <w:webHidden/>
          </w:rPr>
          <w:tab/>
        </w:r>
        <w:r w:rsidR="009A3F9E">
          <w:rPr>
            <w:noProof/>
            <w:webHidden/>
          </w:rPr>
          <w:fldChar w:fldCharType="begin"/>
        </w:r>
        <w:r w:rsidR="009A3F9E">
          <w:rPr>
            <w:noProof/>
            <w:webHidden/>
          </w:rPr>
          <w:instrText xml:space="preserve"> PAGEREF _Toc510724607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608" w:history="1">
        <w:r w:rsidR="009A3F9E" w:rsidRPr="00C17116">
          <w:rPr>
            <w:rStyle w:val="Hipervnculo"/>
            <w:noProof/>
          </w:rPr>
          <w:t>Descripción de la muestra</w:t>
        </w:r>
        <w:r w:rsidR="009A3F9E">
          <w:rPr>
            <w:noProof/>
            <w:webHidden/>
          </w:rPr>
          <w:tab/>
        </w:r>
        <w:r w:rsidR="009A3F9E">
          <w:rPr>
            <w:noProof/>
            <w:webHidden/>
          </w:rPr>
          <w:fldChar w:fldCharType="begin"/>
        </w:r>
        <w:r w:rsidR="009A3F9E">
          <w:rPr>
            <w:noProof/>
            <w:webHidden/>
          </w:rPr>
          <w:instrText xml:space="preserve"> PAGEREF _Toc510724608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609" w:history="1">
        <w:r w:rsidR="009A3F9E" w:rsidRPr="00C17116">
          <w:rPr>
            <w:rStyle w:val="Hipervnculo"/>
            <w:noProof/>
          </w:rPr>
          <w:t>Descripción de las complicaciones</w:t>
        </w:r>
        <w:r w:rsidR="009A3F9E">
          <w:rPr>
            <w:noProof/>
            <w:webHidden/>
          </w:rPr>
          <w:tab/>
        </w:r>
        <w:r w:rsidR="009A3F9E">
          <w:rPr>
            <w:noProof/>
            <w:webHidden/>
          </w:rPr>
          <w:fldChar w:fldCharType="begin"/>
        </w:r>
        <w:r w:rsidR="009A3F9E">
          <w:rPr>
            <w:noProof/>
            <w:webHidden/>
          </w:rPr>
          <w:instrText xml:space="preserve"> PAGEREF _Toc510724609 \h </w:instrText>
        </w:r>
        <w:r w:rsidR="009A3F9E">
          <w:rPr>
            <w:noProof/>
            <w:webHidden/>
          </w:rPr>
        </w:r>
        <w:r w:rsidR="009A3F9E">
          <w:rPr>
            <w:noProof/>
            <w:webHidden/>
          </w:rPr>
          <w:fldChar w:fldCharType="separate"/>
        </w:r>
        <w:r w:rsidR="009A3F9E">
          <w:rPr>
            <w:noProof/>
            <w:webHidden/>
          </w:rPr>
          <w:t>18</w:t>
        </w:r>
        <w:r w:rsidR="009A3F9E">
          <w:rPr>
            <w:noProof/>
            <w:webHidden/>
          </w:rPr>
          <w:fldChar w:fldCharType="end"/>
        </w:r>
      </w:hyperlink>
    </w:p>
    <w:p w:rsidR="009A3F9E" w:rsidRDefault="00B145CC">
      <w:pPr>
        <w:pStyle w:val="TDC2"/>
        <w:rPr>
          <w:rFonts w:eastAsiaTheme="minorEastAsia"/>
          <w:smallCaps w:val="0"/>
          <w:noProof/>
          <w:sz w:val="22"/>
          <w:szCs w:val="22"/>
          <w:lang w:eastAsia="es-ES"/>
        </w:rPr>
      </w:pPr>
      <w:hyperlink w:anchor="_Toc510724610" w:history="1">
        <w:r w:rsidR="009A3F9E" w:rsidRPr="00C17116">
          <w:rPr>
            <w:rStyle w:val="Hipervnculo"/>
            <w:noProof/>
          </w:rPr>
          <w:t>Asociaciones encontradas</w:t>
        </w:r>
        <w:r w:rsidR="009A3F9E">
          <w:rPr>
            <w:noProof/>
            <w:webHidden/>
          </w:rPr>
          <w:tab/>
        </w:r>
        <w:r w:rsidR="009A3F9E">
          <w:rPr>
            <w:noProof/>
            <w:webHidden/>
          </w:rPr>
          <w:fldChar w:fldCharType="begin"/>
        </w:r>
        <w:r w:rsidR="009A3F9E">
          <w:rPr>
            <w:noProof/>
            <w:webHidden/>
          </w:rPr>
          <w:instrText xml:space="preserve"> PAGEREF _Toc510724610 \h </w:instrText>
        </w:r>
        <w:r w:rsidR="009A3F9E">
          <w:rPr>
            <w:noProof/>
            <w:webHidden/>
          </w:rPr>
        </w:r>
        <w:r w:rsidR="009A3F9E">
          <w:rPr>
            <w:noProof/>
            <w:webHidden/>
          </w:rPr>
          <w:fldChar w:fldCharType="separate"/>
        </w:r>
        <w:r w:rsidR="009A3F9E">
          <w:rPr>
            <w:noProof/>
            <w:webHidden/>
          </w:rPr>
          <w:t>19</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611" w:history="1">
        <w:r w:rsidR="009A3F9E" w:rsidRPr="00C17116">
          <w:rPr>
            <w:rStyle w:val="Hipervnculo"/>
            <w:noProof/>
          </w:rPr>
          <w:t>Discusión</w:t>
        </w:r>
        <w:r w:rsidR="009A3F9E">
          <w:rPr>
            <w:noProof/>
            <w:webHidden/>
          </w:rPr>
          <w:tab/>
        </w:r>
        <w:r w:rsidR="009A3F9E">
          <w:rPr>
            <w:noProof/>
            <w:webHidden/>
          </w:rPr>
          <w:fldChar w:fldCharType="begin"/>
        </w:r>
        <w:r w:rsidR="009A3F9E">
          <w:rPr>
            <w:noProof/>
            <w:webHidden/>
          </w:rPr>
          <w:instrText xml:space="preserve"> PAGEREF _Toc510724611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612" w:history="1">
        <w:r w:rsidR="009A3F9E" w:rsidRPr="00C17116">
          <w:rPr>
            <w:rStyle w:val="Hipervnculo"/>
            <w:noProof/>
          </w:rPr>
          <w:t>Conclusiones</w:t>
        </w:r>
        <w:r w:rsidR="009A3F9E">
          <w:rPr>
            <w:noProof/>
            <w:webHidden/>
          </w:rPr>
          <w:tab/>
        </w:r>
        <w:r w:rsidR="009A3F9E">
          <w:rPr>
            <w:noProof/>
            <w:webHidden/>
          </w:rPr>
          <w:fldChar w:fldCharType="begin"/>
        </w:r>
        <w:r w:rsidR="009A3F9E">
          <w:rPr>
            <w:noProof/>
            <w:webHidden/>
          </w:rPr>
          <w:instrText xml:space="preserve"> PAGEREF _Toc510724612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B145CC">
      <w:pPr>
        <w:pStyle w:val="TDC1"/>
        <w:tabs>
          <w:tab w:val="right" w:leader="dot" w:pos="8494"/>
        </w:tabs>
        <w:rPr>
          <w:rFonts w:eastAsiaTheme="minorEastAsia"/>
          <w:b w:val="0"/>
          <w:bCs w:val="0"/>
          <w:caps w:val="0"/>
          <w:noProof/>
          <w:sz w:val="22"/>
          <w:szCs w:val="22"/>
          <w:lang w:eastAsia="es-ES"/>
        </w:rPr>
      </w:pPr>
      <w:hyperlink w:anchor="_Toc510724613" w:history="1">
        <w:r w:rsidR="009A3F9E" w:rsidRPr="00C17116">
          <w:rPr>
            <w:rStyle w:val="Hipervnculo"/>
            <w:noProof/>
          </w:rPr>
          <w:t>Bibliografía</w:t>
        </w:r>
        <w:r w:rsidR="009A3F9E">
          <w:rPr>
            <w:noProof/>
            <w:webHidden/>
          </w:rPr>
          <w:tab/>
        </w:r>
        <w:r w:rsidR="009A3F9E">
          <w:rPr>
            <w:noProof/>
            <w:webHidden/>
          </w:rPr>
          <w:fldChar w:fldCharType="begin"/>
        </w:r>
        <w:r w:rsidR="009A3F9E">
          <w:rPr>
            <w:noProof/>
            <w:webHidden/>
          </w:rPr>
          <w:instrText xml:space="preserve"> PAGEREF _Toc510724613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D94B1E"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1750175" w:history="1">
        <w:r w:rsidR="00D94B1E" w:rsidRPr="008A214F">
          <w:rPr>
            <w:rStyle w:val="Hipervnculo"/>
            <w:noProof/>
          </w:rPr>
          <w:t>Figura 1. Proporción de hombres y mujeres en la muestra.</w:t>
        </w:r>
        <w:r w:rsidR="00D94B1E">
          <w:rPr>
            <w:noProof/>
            <w:webHidden/>
          </w:rPr>
          <w:tab/>
        </w:r>
        <w:r w:rsidR="00D94B1E">
          <w:rPr>
            <w:noProof/>
            <w:webHidden/>
          </w:rPr>
          <w:fldChar w:fldCharType="begin"/>
        </w:r>
        <w:r w:rsidR="00D94B1E">
          <w:rPr>
            <w:noProof/>
            <w:webHidden/>
          </w:rPr>
          <w:instrText xml:space="preserve"> PAGEREF _Toc511750175 \h </w:instrText>
        </w:r>
        <w:r w:rsidR="00D94B1E">
          <w:rPr>
            <w:noProof/>
            <w:webHidden/>
          </w:rPr>
        </w:r>
        <w:r w:rsidR="00D94B1E">
          <w:rPr>
            <w:noProof/>
            <w:webHidden/>
          </w:rPr>
          <w:fldChar w:fldCharType="separate"/>
        </w:r>
        <w:r w:rsidR="00D94B1E">
          <w:rPr>
            <w:noProof/>
            <w:webHidden/>
          </w:rPr>
          <w:t>18</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15" w:anchor="_Toc511750176" w:history="1">
        <w:r w:rsidR="00D94B1E" w:rsidRPr="008A214F">
          <w:rPr>
            <w:rStyle w:val="Hipervnculo"/>
            <w:noProof/>
          </w:rPr>
          <w:t>Figura 2. Proporción de pacientes mayores y menores de 60 años.</w:t>
        </w:r>
        <w:r w:rsidR="00D94B1E">
          <w:rPr>
            <w:noProof/>
            <w:webHidden/>
          </w:rPr>
          <w:tab/>
        </w:r>
        <w:r w:rsidR="00D94B1E">
          <w:rPr>
            <w:noProof/>
            <w:webHidden/>
          </w:rPr>
          <w:fldChar w:fldCharType="begin"/>
        </w:r>
        <w:r w:rsidR="00D94B1E">
          <w:rPr>
            <w:noProof/>
            <w:webHidden/>
          </w:rPr>
          <w:instrText xml:space="preserve"> PAGEREF _Toc511750176 \h </w:instrText>
        </w:r>
        <w:r w:rsidR="00D94B1E">
          <w:rPr>
            <w:noProof/>
            <w:webHidden/>
          </w:rPr>
        </w:r>
        <w:r w:rsidR="00D94B1E">
          <w:rPr>
            <w:noProof/>
            <w:webHidden/>
          </w:rPr>
          <w:fldChar w:fldCharType="separate"/>
        </w:r>
        <w:r w:rsidR="00D94B1E">
          <w:rPr>
            <w:noProof/>
            <w:webHidden/>
          </w:rPr>
          <w:t>18</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16" w:anchor="_Toc511750177" w:history="1">
        <w:r w:rsidR="00D94B1E" w:rsidRPr="008A214F">
          <w:rPr>
            <w:rStyle w:val="Hipervnculo"/>
            <w:noProof/>
          </w:rPr>
          <w:t>Figura 3. Proporción de pacientes que presentan algún tipo de comorbilidad.</w:t>
        </w:r>
        <w:r w:rsidR="00D94B1E">
          <w:rPr>
            <w:noProof/>
            <w:webHidden/>
          </w:rPr>
          <w:tab/>
        </w:r>
        <w:r w:rsidR="00D94B1E">
          <w:rPr>
            <w:noProof/>
            <w:webHidden/>
          </w:rPr>
          <w:fldChar w:fldCharType="begin"/>
        </w:r>
        <w:r w:rsidR="00D94B1E">
          <w:rPr>
            <w:noProof/>
            <w:webHidden/>
          </w:rPr>
          <w:instrText xml:space="preserve"> PAGEREF _Toc511750177 \h </w:instrText>
        </w:r>
        <w:r w:rsidR="00D94B1E">
          <w:rPr>
            <w:noProof/>
            <w:webHidden/>
          </w:rPr>
        </w:r>
        <w:r w:rsidR="00D94B1E">
          <w:rPr>
            <w:noProof/>
            <w:webHidden/>
          </w:rPr>
          <w:fldChar w:fldCharType="separate"/>
        </w:r>
        <w:r w:rsidR="00D94B1E">
          <w:rPr>
            <w:noProof/>
            <w:webHidden/>
          </w:rPr>
          <w:t>18</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17" w:anchor="_Toc511750178" w:history="1">
        <w:r w:rsidR="00D94B1E" w:rsidRPr="008A214F">
          <w:rPr>
            <w:rStyle w:val="Hipervnculo"/>
            <w:noProof/>
          </w:rPr>
          <w:t>Figura 7. Localizaciones de los aneurismas</w:t>
        </w:r>
        <w:r w:rsidR="00D94B1E">
          <w:rPr>
            <w:noProof/>
            <w:webHidden/>
          </w:rPr>
          <w:tab/>
        </w:r>
        <w:r w:rsidR="00D94B1E">
          <w:rPr>
            <w:noProof/>
            <w:webHidden/>
          </w:rPr>
          <w:fldChar w:fldCharType="begin"/>
        </w:r>
        <w:r w:rsidR="00D94B1E">
          <w:rPr>
            <w:noProof/>
            <w:webHidden/>
          </w:rPr>
          <w:instrText xml:space="preserve"> PAGEREF _Toc511750178 \h </w:instrText>
        </w:r>
        <w:r w:rsidR="00D94B1E">
          <w:rPr>
            <w:noProof/>
            <w:webHidden/>
          </w:rPr>
        </w:r>
        <w:r w:rsidR="00D94B1E">
          <w:rPr>
            <w:noProof/>
            <w:webHidden/>
          </w:rPr>
          <w:fldChar w:fldCharType="separate"/>
        </w:r>
        <w:r w:rsidR="00D94B1E">
          <w:rPr>
            <w:noProof/>
            <w:webHidden/>
          </w:rPr>
          <w:t>20</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18" w:anchor="_Toc511750179" w:history="1">
        <w:r w:rsidR="00D94B1E" w:rsidRPr="008A214F">
          <w:rPr>
            <w:rStyle w:val="Hipervnculo"/>
            <w:noProof/>
          </w:rPr>
          <w:t>Figura 8. Porcentajes de oclusión de los aneurismas</w:t>
        </w:r>
        <w:r w:rsidR="00D94B1E">
          <w:rPr>
            <w:noProof/>
            <w:webHidden/>
          </w:rPr>
          <w:tab/>
        </w:r>
        <w:r w:rsidR="00D94B1E">
          <w:rPr>
            <w:noProof/>
            <w:webHidden/>
          </w:rPr>
          <w:fldChar w:fldCharType="begin"/>
        </w:r>
        <w:r w:rsidR="00D94B1E">
          <w:rPr>
            <w:noProof/>
            <w:webHidden/>
          </w:rPr>
          <w:instrText xml:space="preserve"> PAGEREF _Toc511750179 \h </w:instrText>
        </w:r>
        <w:r w:rsidR="00D94B1E">
          <w:rPr>
            <w:noProof/>
            <w:webHidden/>
          </w:rPr>
        </w:r>
        <w:r w:rsidR="00D94B1E">
          <w:rPr>
            <w:noProof/>
            <w:webHidden/>
          </w:rPr>
          <w:fldChar w:fldCharType="separate"/>
        </w:r>
        <w:r w:rsidR="00D94B1E">
          <w:rPr>
            <w:noProof/>
            <w:webHidden/>
          </w:rPr>
          <w:t>20</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19" w:anchor="_Toc511750180" w:history="1">
        <w:r w:rsidR="00D94B1E" w:rsidRPr="008A214F">
          <w:rPr>
            <w:rStyle w:val="Hipervnculo"/>
            <w:noProof/>
          </w:rPr>
          <w:t>Figura 9. Proporción de complicaciones</w:t>
        </w:r>
        <w:r w:rsidR="00D94B1E">
          <w:rPr>
            <w:noProof/>
            <w:webHidden/>
          </w:rPr>
          <w:tab/>
        </w:r>
        <w:r w:rsidR="00D94B1E">
          <w:rPr>
            <w:noProof/>
            <w:webHidden/>
          </w:rPr>
          <w:fldChar w:fldCharType="begin"/>
        </w:r>
        <w:r w:rsidR="00D94B1E">
          <w:rPr>
            <w:noProof/>
            <w:webHidden/>
          </w:rPr>
          <w:instrText xml:space="preserve"> PAGEREF _Toc511750180 \h </w:instrText>
        </w:r>
        <w:r w:rsidR="00D94B1E">
          <w:rPr>
            <w:noProof/>
            <w:webHidden/>
          </w:rPr>
        </w:r>
        <w:r w:rsidR="00D94B1E">
          <w:rPr>
            <w:noProof/>
            <w:webHidden/>
          </w:rPr>
          <w:fldChar w:fldCharType="separate"/>
        </w:r>
        <w:r w:rsidR="00D94B1E">
          <w:rPr>
            <w:noProof/>
            <w:webHidden/>
          </w:rPr>
          <w:t>20</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20" w:anchor="_Toc511750181" w:history="1">
        <w:r w:rsidR="00D94B1E" w:rsidRPr="008A214F">
          <w:rPr>
            <w:rStyle w:val="Hipervnculo"/>
            <w:noProof/>
          </w:rPr>
          <w:t>Figura 10. Diagrama de barras: Relación entre edad y presencia de comorbilidades.</w:t>
        </w:r>
        <w:r w:rsidR="00D94B1E">
          <w:rPr>
            <w:noProof/>
            <w:webHidden/>
          </w:rPr>
          <w:tab/>
        </w:r>
        <w:r w:rsidR="00D94B1E">
          <w:rPr>
            <w:noProof/>
            <w:webHidden/>
          </w:rPr>
          <w:fldChar w:fldCharType="begin"/>
        </w:r>
        <w:r w:rsidR="00D94B1E">
          <w:rPr>
            <w:noProof/>
            <w:webHidden/>
          </w:rPr>
          <w:instrText xml:space="preserve"> PAGEREF _Toc511750181 \h </w:instrText>
        </w:r>
        <w:r w:rsidR="00D94B1E">
          <w:rPr>
            <w:noProof/>
            <w:webHidden/>
          </w:rPr>
        </w:r>
        <w:r w:rsidR="00D94B1E">
          <w:rPr>
            <w:noProof/>
            <w:webHidden/>
          </w:rPr>
          <w:fldChar w:fldCharType="separate"/>
        </w:r>
        <w:r w:rsidR="00D94B1E">
          <w:rPr>
            <w:noProof/>
            <w:webHidden/>
          </w:rPr>
          <w:t>21</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21" w:anchor="_Toc511750182" w:history="1">
        <w:r w:rsidR="00D94B1E" w:rsidRPr="008A214F">
          <w:rPr>
            <w:rStyle w:val="Hipervnculo"/>
            <w:noProof/>
          </w:rPr>
          <w:t>Tabla 1. Tabla cruzada entre hábito tabáquico y la edad.</w:t>
        </w:r>
        <w:r w:rsidR="00D94B1E">
          <w:rPr>
            <w:noProof/>
            <w:webHidden/>
          </w:rPr>
          <w:tab/>
        </w:r>
        <w:r w:rsidR="00D94B1E">
          <w:rPr>
            <w:noProof/>
            <w:webHidden/>
          </w:rPr>
          <w:fldChar w:fldCharType="begin"/>
        </w:r>
        <w:r w:rsidR="00D94B1E">
          <w:rPr>
            <w:noProof/>
            <w:webHidden/>
          </w:rPr>
          <w:instrText xml:space="preserve"> PAGEREF _Toc511750182 \h </w:instrText>
        </w:r>
        <w:r w:rsidR="00D94B1E">
          <w:rPr>
            <w:noProof/>
            <w:webHidden/>
          </w:rPr>
        </w:r>
        <w:r w:rsidR="00D94B1E">
          <w:rPr>
            <w:noProof/>
            <w:webHidden/>
          </w:rPr>
          <w:fldChar w:fldCharType="separate"/>
        </w:r>
        <w:r w:rsidR="00D94B1E">
          <w:rPr>
            <w:noProof/>
            <w:webHidden/>
          </w:rPr>
          <w:t>21</w:t>
        </w:r>
        <w:r w:rsidR="00D94B1E">
          <w:rPr>
            <w:noProof/>
            <w:webHidden/>
          </w:rPr>
          <w:fldChar w:fldCharType="end"/>
        </w:r>
      </w:hyperlink>
    </w:p>
    <w:p w:rsidR="00D94B1E" w:rsidRDefault="00B145CC">
      <w:pPr>
        <w:pStyle w:val="Tabladeilustraciones"/>
        <w:tabs>
          <w:tab w:val="right" w:leader="dot" w:pos="8494"/>
        </w:tabs>
        <w:rPr>
          <w:rFonts w:eastAsiaTheme="minorEastAsia"/>
          <w:b w:val="0"/>
          <w:bCs w:val="0"/>
          <w:noProof/>
          <w:sz w:val="22"/>
          <w:szCs w:val="22"/>
          <w:lang w:eastAsia="es-ES"/>
        </w:rPr>
      </w:pPr>
      <w:hyperlink r:id="rId22" w:anchor="_Toc511750183" w:history="1">
        <w:r w:rsidR="00D94B1E" w:rsidRPr="008A214F">
          <w:rPr>
            <w:rStyle w:val="Hipervnculo"/>
            <w:noProof/>
          </w:rPr>
          <w:t>Figura 11. Diagrama de barras que representa la relación entre el sexo y la presencia de clínica neurológica al diagnóstico.</w:t>
        </w:r>
        <w:r w:rsidR="00D94B1E">
          <w:rPr>
            <w:noProof/>
            <w:webHidden/>
          </w:rPr>
          <w:tab/>
        </w:r>
        <w:r w:rsidR="00D94B1E">
          <w:rPr>
            <w:noProof/>
            <w:webHidden/>
          </w:rPr>
          <w:fldChar w:fldCharType="begin"/>
        </w:r>
        <w:r w:rsidR="00D94B1E">
          <w:rPr>
            <w:noProof/>
            <w:webHidden/>
          </w:rPr>
          <w:instrText xml:space="preserve"> PAGEREF _Toc511750183 \h </w:instrText>
        </w:r>
        <w:r w:rsidR="00D94B1E">
          <w:rPr>
            <w:noProof/>
            <w:webHidden/>
          </w:rPr>
        </w:r>
        <w:r w:rsidR="00D94B1E">
          <w:rPr>
            <w:noProof/>
            <w:webHidden/>
          </w:rPr>
          <w:fldChar w:fldCharType="separate"/>
        </w:r>
        <w:r w:rsidR="00D94B1E">
          <w:rPr>
            <w:noProof/>
            <w:webHidden/>
          </w:rPr>
          <w:t>21</w:t>
        </w:r>
        <w:r w:rsidR="00D94B1E">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0724590"/>
      <w:r>
        <w:lastRenderedPageBreak/>
        <w:t>Introducción</w:t>
      </w:r>
      <w:bookmarkEnd w:id="0"/>
    </w:p>
    <w:p w:rsidR="00F308D9" w:rsidRDefault="00F308D9" w:rsidP="00F308D9">
      <w:pPr>
        <w:pStyle w:val="Ttulo2"/>
        <w:numPr>
          <w:ilvl w:val="1"/>
          <w:numId w:val="0"/>
        </w:numPr>
        <w:ind w:left="576" w:hanging="576"/>
      </w:pPr>
      <w:bookmarkStart w:id="1" w:name="_Toc510724591"/>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0724592"/>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w:t>
      </w:r>
      <w:r w:rsidR="00C90D84">
        <w:t>giográfico o mediante autopsia)</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0724593"/>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0724594"/>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0724595"/>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0724596"/>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0724597"/>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0724598"/>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0724599"/>
      <w:r>
        <w:t>Justificación del Proyecto</w:t>
      </w:r>
      <w:bookmarkEnd w:id="9"/>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0" w:name="_Toc510724600"/>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0724601"/>
      <w:r>
        <w:lastRenderedPageBreak/>
        <w:t>Material y métodos</w:t>
      </w:r>
      <w:bookmarkEnd w:id="11"/>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2" w:name="_Toc510724602"/>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3" w:name="_Toc510724603"/>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0724604"/>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0724605"/>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6" w:name="_Toc510724606"/>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0724607"/>
      <w:r>
        <w:t>Resultados</w:t>
      </w:r>
      <w:bookmarkEnd w:id="17"/>
    </w:p>
    <w:p w:rsidR="00255E6E" w:rsidRDefault="00C609B5" w:rsidP="00B52E59">
      <w:pPr>
        <w:pStyle w:val="Ttulo2"/>
      </w:pPr>
      <w:bookmarkStart w:id="18" w:name="_Toc510724608"/>
      <w:r>
        <w:t>Descripción</w:t>
      </w:r>
      <w:r w:rsidR="002B219D">
        <w:t xml:space="preserve"> de la muestra</w:t>
      </w:r>
      <w:bookmarkEnd w:id="18"/>
    </w:p>
    <w:p w:rsidR="00801DF3" w:rsidRDefault="005C388F" w:rsidP="00AA12F8">
      <w:r>
        <w:rPr>
          <w:noProof/>
          <w:lang w:eastAsia="es-ES"/>
        </w:rPr>
        <w:drawing>
          <wp:anchor distT="0" distB="0" distL="114300" distR="114300" simplePos="0" relativeHeight="251670528" behindDoc="0" locked="0" layoutInCell="1" allowOverlap="1" wp14:anchorId="47078981" wp14:editId="0732ED1D">
            <wp:simplePos x="0" y="0"/>
            <wp:positionH relativeFrom="column">
              <wp:posOffset>2665095</wp:posOffset>
            </wp:positionH>
            <wp:positionV relativeFrom="paragraph">
              <wp:posOffset>1175385</wp:posOffset>
            </wp:positionV>
            <wp:extent cx="2628900" cy="1533525"/>
            <wp:effectExtent l="0" t="0" r="0" b="0"/>
            <wp:wrapSquare wrapText="bothSides"/>
            <wp:docPr id="3"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47BF1D71" wp14:editId="09D962D4">
            <wp:simplePos x="0" y="0"/>
            <wp:positionH relativeFrom="column">
              <wp:posOffset>41910</wp:posOffset>
            </wp:positionH>
            <wp:positionV relativeFrom="paragraph">
              <wp:posOffset>1175385</wp:posOffset>
            </wp:positionV>
            <wp:extent cx="2622550" cy="1533525"/>
            <wp:effectExtent l="0" t="0" r="635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7B51B8">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rsidR="007B51B8">
        <w:t xml:space="preserve"> t</w:t>
      </w:r>
      <w:r w:rsidR="006422B8">
        <w:t xml:space="preserve">omó como punto de corte </w:t>
      </w:r>
      <w:r w:rsidR="007B51B8">
        <w:t xml:space="preserve">60 años, de </w:t>
      </w:r>
      <w:r>
        <w:t>modo que respecto a la variable edad</w:t>
      </w:r>
      <w:r w:rsidR="007B51B8">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B026A8" w:rsidRDefault="00B145CC" w:rsidP="00AA12F8">
      <w:r>
        <w:rPr>
          <w:noProof/>
          <w:lang w:eastAsia="es-ES"/>
        </w:rPr>
        <w:pict>
          <v:rect id="_x0000_s1034" style="position:absolute;left:0;text-align:left;margin-left:217.4pt;margin-top:132.3pt;width:198.4pt;height:112.5pt;z-index:251672576" filled="f" fillcolor="#726056 [3205]" stroked="f" strokecolor="#ac956e [3206]" strokeweight="3pt">
            <v:stroke dashstyle="1 1" linestyle="thinThin" endcap="round"/>
            <v:shadow type="perspective" color="#382f2a [1605]" opacity=".5" offset="1pt" offset2="-1pt"/>
            <v:textbox style="mso-next-textbox:#_x0000_s1034">
              <w:txbxContent>
                <w:p w:rsidR="00913661" w:rsidRPr="005C388F" w:rsidRDefault="00913661" w:rsidP="005C388F">
                  <w:pPr>
                    <w:pStyle w:val="Epgrafe"/>
                    <w:rPr>
                      <w:szCs w:val="22"/>
                    </w:rPr>
                  </w:pPr>
                  <w:bookmarkStart w:id="19" w:name="_Toc511750175"/>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szCs w:val="22"/>
                    </w:rPr>
                    <w:t>1</w:t>
                  </w:r>
                  <w:r w:rsidRPr="005C388F">
                    <w:rPr>
                      <w:szCs w:val="22"/>
                    </w:rPr>
                    <w:fldChar w:fldCharType="end"/>
                  </w:r>
                  <w:r w:rsidRPr="005C388F">
                    <w:rPr>
                      <w:szCs w:val="22"/>
                    </w:rPr>
                    <w:t>. Proporción de hombres y mujeres en la muestra.</w:t>
                  </w:r>
                  <w:bookmarkEnd w:id="19"/>
                </w:p>
                <w:p w:rsidR="00913661" w:rsidRPr="005C388F" w:rsidRDefault="00913661" w:rsidP="005C388F">
                  <w:pPr>
                    <w:pStyle w:val="Epgrafe"/>
                    <w:spacing w:before="240"/>
                    <w:rPr>
                      <w:szCs w:val="22"/>
                    </w:rPr>
                  </w:pPr>
                  <w:bookmarkStart w:id="20" w:name="_Toc511750176"/>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2</w:t>
                  </w:r>
                  <w:r w:rsidRPr="005C388F">
                    <w:rPr>
                      <w:noProof/>
                      <w:szCs w:val="22"/>
                    </w:rPr>
                    <w:fldChar w:fldCharType="end"/>
                  </w:r>
                  <w:r w:rsidRPr="005C388F">
                    <w:rPr>
                      <w:szCs w:val="22"/>
                    </w:rPr>
                    <w:t>. Proporción de pacientes mayores y menores de 60 años.</w:t>
                  </w:r>
                  <w:bookmarkEnd w:id="20"/>
                </w:p>
                <w:p w:rsidR="00913661" w:rsidRPr="005C388F" w:rsidRDefault="00913661" w:rsidP="005C388F">
                  <w:pPr>
                    <w:pStyle w:val="Epgrafe"/>
                    <w:spacing w:before="240"/>
                    <w:rPr>
                      <w:szCs w:val="22"/>
                    </w:rPr>
                  </w:pPr>
                  <w:bookmarkStart w:id="21" w:name="_Toc511750177"/>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3</w:t>
                  </w:r>
                  <w:r w:rsidRPr="005C388F">
                    <w:rPr>
                      <w:noProof/>
                      <w:szCs w:val="22"/>
                    </w:rPr>
                    <w:fldChar w:fldCharType="end"/>
                  </w:r>
                  <w:r w:rsidRPr="005C388F">
                    <w:rPr>
                      <w:szCs w:val="22"/>
                    </w:rPr>
                    <w:t>. Proporción de pacientes que presentan algún tipo de comorbilidad.</w:t>
                  </w:r>
                  <w:bookmarkEnd w:id="21"/>
                </w:p>
                <w:p w:rsidR="00913661" w:rsidRPr="005C388F" w:rsidRDefault="00913661" w:rsidP="00801DF3">
                  <w:pPr>
                    <w:spacing w:after="0" w:line="240" w:lineRule="auto"/>
                    <w:rPr>
                      <w:i/>
                      <w:color w:val="FFFFFF" w:themeColor="background1"/>
                    </w:rPr>
                  </w:pPr>
                </w:p>
              </w:txbxContent>
            </v:textbox>
            <w10:wrap type="topAndBottom"/>
          </v:rect>
        </w:pict>
      </w:r>
      <w:r w:rsidR="005C388F">
        <w:rPr>
          <w:noProof/>
          <w:lang w:eastAsia="es-ES"/>
        </w:rPr>
        <w:drawing>
          <wp:anchor distT="0" distB="0" distL="114300" distR="114300" simplePos="0" relativeHeight="251671552" behindDoc="0" locked="0" layoutInCell="1" allowOverlap="1" wp14:anchorId="73B10C45" wp14:editId="6A30A82D">
            <wp:simplePos x="0" y="0"/>
            <wp:positionH relativeFrom="column">
              <wp:posOffset>41910</wp:posOffset>
            </wp:positionH>
            <wp:positionV relativeFrom="paragraph">
              <wp:posOffset>1604645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F066FA" w:rsidRPr="001423BF" w:rsidRDefault="006422B8" w:rsidP="00977FEA">
      <w:pPr>
        <w:rPr>
          <w:b/>
          <w:i/>
          <w:color w:val="FFFFFF" w:themeColor="background1"/>
        </w:rPr>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5C388F">
        <w:t>algún episodio de</w:t>
      </w:r>
      <w:r w:rsidR="001E04F5">
        <w:t xml:space="preserve"> HSA</w:t>
      </w:r>
      <w:r w:rsidR="00D56B90">
        <w:t xml:space="preserve"> (10%) y </w:t>
      </w:r>
      <w:r w:rsidR="005C388F">
        <w:t>un 70% tenía</w:t>
      </w:r>
      <w:r w:rsidR="00D56B90">
        <w:t xml:space="preserve"> algún tipo de comorbilidad. </w:t>
      </w:r>
      <w:r w:rsidR="005C388F">
        <w:t>El 17.9% de los pacientes</w:t>
      </w:r>
      <w:r w:rsidR="00410063">
        <w:t xml:space="preserve"> consumió alcohol de manera regular y</w:t>
      </w:r>
      <w:r w:rsidR="005C388F">
        <w:t xml:space="preserve"> para</w:t>
      </w:r>
      <w:r w:rsidR="00410063">
        <w:t xml:space="preserve"> el 70% </w:t>
      </w:r>
      <w:r w:rsidR="005C388F">
        <w:t>se recogía en la historia hábito tabáquico</w:t>
      </w:r>
      <w:r w:rsidR="00410063">
        <w:t>.</w:t>
      </w:r>
      <w:r w:rsidR="00576522" w:rsidRPr="00576522">
        <w:t xml:space="preserve"> </w:t>
      </w:r>
      <w:r w:rsidR="005C388F">
        <w:t xml:space="preserve">El70% presentaba </w:t>
      </w:r>
      <w:r w:rsidR="00576522">
        <w:t>algún tipo de clínica neurol</w:t>
      </w:r>
      <w:r w:rsidR="00D266FC">
        <w:t>ógica, la cual les condujo a realizar las pruebas</w:t>
      </w:r>
      <w:r w:rsidR="001A776F">
        <w:t xml:space="preserve"> de </w:t>
      </w:r>
      <w:r w:rsidR="001A776F">
        <w:lastRenderedPageBreak/>
        <w:t>imagen</w:t>
      </w:r>
      <w:r w:rsidR="00D266FC">
        <w:t xml:space="preserve"> que descubri</w:t>
      </w:r>
      <w:r w:rsidR="00977FEA">
        <w:t>eron la presencia del aneurisma</w:t>
      </w:r>
      <w:r w:rsidR="005C388F">
        <w:t>. Las</w:t>
      </w:r>
      <w:r w:rsidR="00066356">
        <w:t xml:space="preserve"> </w:t>
      </w:r>
      <w:r w:rsidR="00B5074C">
        <w:t>circunstancias</w:t>
      </w:r>
      <w:r w:rsidR="00066356">
        <w:t xml:space="preserve"> que motivaro</w:t>
      </w:r>
      <w:r w:rsidR="00B5074C">
        <w:t>n el diagnóstico</w:t>
      </w:r>
      <w:r w:rsidR="005C388F">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w:t>
      </w:r>
      <w:r w:rsidR="00A230C9">
        <w:t>-sin relación con el aneurisma encontrado-</w:t>
      </w:r>
      <w:r w:rsidR="007B2268">
        <w:t xml:space="preserve"> y en el resto de tipo isquémico.</w:t>
      </w:r>
    </w:p>
    <w:p w:rsidR="00A230C9" w:rsidRDefault="00731A25" w:rsidP="00A230C9">
      <w:pPr>
        <w:pStyle w:val="Prrafodelista"/>
        <w:numPr>
          <w:ilvl w:val="0"/>
          <w:numId w:val="1"/>
        </w:numPr>
      </w:pPr>
      <w:r>
        <w:rPr>
          <w:noProof/>
          <w:lang w:eastAsia="es-ES"/>
        </w:rPr>
        <w:drawing>
          <wp:anchor distT="0" distB="0" distL="114300" distR="114300" simplePos="0" relativeHeight="251691008" behindDoc="0" locked="0" layoutInCell="1" allowOverlap="1" wp14:anchorId="6D35F3DD" wp14:editId="49D96004">
            <wp:simplePos x="0" y="0"/>
            <wp:positionH relativeFrom="page">
              <wp:posOffset>4962525</wp:posOffset>
            </wp:positionH>
            <wp:positionV relativeFrom="paragraph">
              <wp:posOffset>1940560</wp:posOffset>
            </wp:positionV>
            <wp:extent cx="1810385" cy="20015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0385" cy="2001520"/>
                    </a:xfrm>
                    <a:prstGeom prst="rect">
                      <a:avLst/>
                    </a:prstGeom>
                    <a:noFill/>
                  </pic:spPr>
                </pic:pic>
              </a:graphicData>
            </a:graphic>
            <wp14:sizeRelH relativeFrom="page">
              <wp14:pctWidth>0</wp14:pctWidth>
            </wp14:sizeRelH>
            <wp14:sizeRelV relativeFrom="page">
              <wp14:pctHeight>0</wp14:pctHeight>
            </wp14:sizeRelV>
          </wp:anchor>
        </w:drawing>
      </w:r>
      <w:r w:rsidR="00977FEA">
        <w:t>Síncope</w:t>
      </w:r>
      <w:r w:rsidR="007B2268">
        <w:t xml:space="preserve"> en 2 pacientes. </w:t>
      </w:r>
    </w:p>
    <w:p w:rsidR="00A230C9" w:rsidRDefault="00A230C9" w:rsidP="007B2268">
      <w:r>
        <w:rPr>
          <w:noProof/>
          <w:lang w:eastAsia="es-ES"/>
        </w:rPr>
        <w:drawing>
          <wp:anchor distT="0" distB="0" distL="114300" distR="114300" simplePos="0" relativeHeight="251675648" behindDoc="0" locked="0" layoutInCell="1" allowOverlap="1" wp14:anchorId="7935AFD3" wp14:editId="1BA73AA0">
            <wp:simplePos x="0" y="0"/>
            <wp:positionH relativeFrom="column">
              <wp:posOffset>7620</wp:posOffset>
            </wp:positionH>
            <wp:positionV relativeFrom="paragraph">
              <wp:posOffset>1607820</wp:posOffset>
            </wp:positionV>
            <wp:extent cx="3452400" cy="2008800"/>
            <wp:effectExtent l="0" t="0" r="0" b="0"/>
            <wp:wrapTopAndBottom/>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4624" behindDoc="0" locked="0" layoutInCell="1" allowOverlap="1" wp14:anchorId="7980D806" wp14:editId="5EEC5E75">
            <wp:simplePos x="0" y="0"/>
            <wp:positionH relativeFrom="column">
              <wp:posOffset>2703195</wp:posOffset>
            </wp:positionH>
            <wp:positionV relativeFrom="paragraph">
              <wp:posOffset>36195</wp:posOffset>
            </wp:positionV>
            <wp:extent cx="2700000" cy="1573200"/>
            <wp:effectExtent l="0" t="0" r="5715" b="8255"/>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0" locked="0" layoutInCell="1" allowOverlap="1" wp14:anchorId="2CF08725" wp14:editId="227D6BB6">
            <wp:simplePos x="0" y="0"/>
            <wp:positionH relativeFrom="column">
              <wp:posOffset>7620</wp:posOffset>
            </wp:positionH>
            <wp:positionV relativeFrom="paragraph">
              <wp:posOffset>36195</wp:posOffset>
            </wp:positionV>
            <wp:extent cx="2696400" cy="1576800"/>
            <wp:effectExtent l="0" t="0" r="8890" b="4445"/>
            <wp:wrapTopAndBottom/>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t xml:space="preserve">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 dependiendo de la ACI el 43.3%.</w:t>
      </w:r>
      <w:r w:rsidR="00B35544">
        <w:t xml:space="preserve"> </w:t>
      </w:r>
      <w:r w:rsidR="00C35549">
        <w:t>El 63% de los pacientes tenía un único aneurisma siendo el máximo número de aneurismas encontrados en un mismo paciente igual a 5</w:t>
      </w:r>
      <w:r w:rsidR="00B35544">
        <w:t>.</w:t>
      </w:r>
      <w:r w:rsidR="000325ED">
        <w:t xml:space="preserve"> En los 24  casos en los cuales se </w:t>
      </w:r>
      <w:r w:rsidR="000325ED">
        <w:lastRenderedPageBreak/>
        <w:t>recogió la morfología del aneurisma 21 eran saculares (87.5%) y 3 eran irregulares con lobulaciones (12.5%).</w:t>
      </w:r>
    </w:p>
    <w:p w:rsidR="001305AE" w:rsidRDefault="00B145CC" w:rsidP="006B6F18">
      <w:pPr>
        <w:spacing w:after="0" w:line="240" w:lineRule="auto"/>
      </w:pPr>
      <w:r>
        <w:rPr>
          <w:noProof/>
          <w:lang w:eastAsia="es-ES"/>
        </w:rPr>
        <w:pict>
          <v:rect id="_x0000_s1036" style="position:absolute;left:0;text-align:left;margin-left:326.55pt;margin-top:134.3pt;width:165.75pt;height:59.25pt;z-index:251680768" filled="f" fillcolor="#726056 [3205]" stroked="f" strokecolor="#ac956e [3206]" strokeweight="3pt">
            <v:shadow on="t" type="perspective" color="#382f2a [1605]" opacity=".5" offset="1pt" offset2="-1pt"/>
            <v:textbox style="mso-next-textbox:#_x0000_s1036">
              <w:txbxContent>
                <w:p w:rsidR="00913661" w:rsidRPr="00C35549" w:rsidRDefault="00913661" w:rsidP="00E04F71">
                  <w:pPr>
                    <w:pStyle w:val="Epgrafe"/>
                  </w:pPr>
                  <w:bookmarkStart w:id="22" w:name="_Toc511750178"/>
                  <w:r w:rsidRPr="00C35549">
                    <w:t>Figura 7. Localizaciones de los aneurismas</w:t>
                  </w:r>
                  <w:bookmarkEnd w:id="22"/>
                </w:p>
                <w:p w:rsidR="00913661" w:rsidRPr="00C35549" w:rsidRDefault="00913661" w:rsidP="00E04F71">
                  <w:pPr>
                    <w:pStyle w:val="Epgrafe"/>
                  </w:pPr>
                  <w:bookmarkStart w:id="23" w:name="_Toc511750179"/>
                  <w:r w:rsidRPr="00C35549">
                    <w:t>Figura 8. Porcentajes de oclusión de los aneurismas</w:t>
                  </w:r>
                  <w:bookmarkEnd w:id="23"/>
                </w:p>
              </w:txbxContent>
            </v:textbox>
            <w10:wrap type="square"/>
          </v:rect>
        </w:pict>
      </w:r>
      <w:r w:rsidR="00C35549">
        <w:rPr>
          <w:noProof/>
          <w:lang w:eastAsia="es-ES"/>
        </w:rPr>
        <w:drawing>
          <wp:anchor distT="0" distB="0" distL="114300" distR="114300" simplePos="0" relativeHeight="251678720" behindDoc="0" locked="0" layoutInCell="1" allowOverlap="1" wp14:anchorId="4099F3B8" wp14:editId="6D27A212">
            <wp:simplePos x="0" y="0"/>
            <wp:positionH relativeFrom="column">
              <wp:posOffset>4099560</wp:posOffset>
            </wp:positionH>
            <wp:positionV relativeFrom="paragraph">
              <wp:posOffset>635</wp:posOffset>
            </wp:positionV>
            <wp:extent cx="2076450" cy="1676400"/>
            <wp:effectExtent l="0" t="0" r="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0E2038">
        <w:rPr>
          <w:noProof/>
          <w:lang w:eastAsia="es-ES"/>
        </w:rPr>
        <w:drawing>
          <wp:anchor distT="0" distB="0" distL="114300" distR="114300" simplePos="0" relativeHeight="251679744" behindDoc="0" locked="0" layoutInCell="1" allowOverlap="1" wp14:anchorId="248190A4" wp14:editId="1996A00C">
            <wp:simplePos x="0" y="0"/>
            <wp:positionH relativeFrom="column">
              <wp:posOffset>3810</wp:posOffset>
            </wp:positionH>
            <wp:positionV relativeFrom="paragraph">
              <wp:posOffset>3175</wp:posOffset>
            </wp:positionV>
            <wp:extent cx="4095750" cy="2393315"/>
            <wp:effectExtent l="0" t="0" r="0" b="6985"/>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4" w:name="_Toc510724609"/>
      <w:r>
        <w:t>Descripción</w:t>
      </w:r>
      <w:r w:rsidR="00F336CE">
        <w:t xml:space="preserve"> de las complicaciones</w:t>
      </w:r>
      <w:bookmarkEnd w:id="24"/>
    </w:p>
    <w:p w:rsidR="00B70062" w:rsidRDefault="00C0490A" w:rsidP="00B70062">
      <w:r>
        <w:rPr>
          <w:noProof/>
          <w:lang w:eastAsia="es-ES"/>
        </w:rPr>
        <w:drawing>
          <wp:anchor distT="0" distB="0" distL="114300" distR="114300" simplePos="0" relativeHeight="251681792" behindDoc="1" locked="0" layoutInCell="1" allowOverlap="1" wp14:anchorId="4286B63D" wp14:editId="450A1FBF">
            <wp:simplePos x="0" y="0"/>
            <wp:positionH relativeFrom="margin">
              <wp:posOffset>3032760</wp:posOffset>
            </wp:positionH>
            <wp:positionV relativeFrom="margin">
              <wp:posOffset>5410835</wp:posOffset>
            </wp:positionV>
            <wp:extent cx="2762250" cy="1847850"/>
            <wp:effectExtent l="0" t="0" r="0" b="0"/>
            <wp:wrapSquare wrapText="bothSides"/>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B70062">
        <w:t>Hubo complicaciones en un 40% de los casos, todas</w:t>
      </w:r>
      <w:r w:rsidR="008428FC">
        <w:t xml:space="preserve"> ellas autolimitadas</w:t>
      </w:r>
      <w:r>
        <w:t xml:space="preserve"> y</w:t>
      </w:r>
      <w:r w:rsidR="00FA0CEB">
        <w:t xml:space="preserve"> sin  secuelas</w:t>
      </w:r>
      <w:r w:rsidR="008428FC">
        <w:t xml:space="preserve">. Las complicaciones que se encontraron </w:t>
      </w:r>
      <w:r>
        <w:t>fueron las siguientes</w:t>
      </w:r>
      <w:r w:rsidR="00B70062">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145CC" w:rsidP="00E3729E">
      <w:pPr>
        <w:pStyle w:val="Prrafodelista"/>
        <w:numPr>
          <w:ilvl w:val="0"/>
          <w:numId w:val="1"/>
        </w:numPr>
      </w:pPr>
      <w:r>
        <w:rPr>
          <w:noProof/>
          <w:lang w:eastAsia="es-ES"/>
        </w:rPr>
        <w:pict>
          <v:roundrect id="_x0000_s1037" style="position:absolute;left:0;text-align:left;margin-left:261.3pt;margin-top:40.25pt;width:203.25pt;height:24pt;z-index:251682816" arcsize="10923f" filled="f" fillcolor="#726056 [3205]" stroked="f" strokecolor="#ac956e [3206]" strokeweight="3pt">
            <v:shadow on="t" type="perspective" color="#382f2a [1605]" opacity=".5" offset="1pt" offset2="-1pt"/>
            <v:textbox style="mso-next-textbox:#_x0000_s1037">
              <w:txbxContent>
                <w:p w:rsidR="00913661" w:rsidRPr="003012BD" w:rsidRDefault="00913661" w:rsidP="00FE38B2">
                  <w:pPr>
                    <w:pStyle w:val="Epgrafe"/>
                  </w:pPr>
                  <w:bookmarkStart w:id="25" w:name="_Toc511750180"/>
                  <w:r w:rsidRPr="003012BD">
                    <w:t>Figura 9. Proporción de complicaciones</w:t>
                  </w:r>
                  <w:bookmarkEnd w:id="25"/>
                </w:p>
              </w:txbxContent>
            </v:textbox>
            <w10:wrap type="square"/>
          </v:roundrect>
        </w:pict>
      </w:r>
      <w:r w:rsidR="00B70062">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lastRenderedPageBreak/>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r>
        <w:t>Relaciones entre variables</w:t>
      </w:r>
    </w:p>
    <w:tbl>
      <w:tblPr>
        <w:tblStyle w:val="Cuadrculamedia3-nfasis2"/>
        <w:tblpPr w:leftFromText="141" w:rightFromText="141" w:vertAnchor="page" w:horzAnchor="page" w:tblpX="1663" w:tblpY="4636"/>
        <w:tblW w:w="5802" w:type="dxa"/>
        <w:tblBorders>
          <w:insideH w:val="single" w:sz="8" w:space="0" w:color="FFFFFF" w:themeColor="background1"/>
          <w:insideV w:val="single" w:sz="8" w:space="0" w:color="FFFFFF" w:themeColor="background1"/>
        </w:tblBorders>
        <w:tblLayout w:type="fixed"/>
        <w:tblLook w:val="05E0" w:firstRow="1" w:lastRow="1" w:firstColumn="1" w:lastColumn="1" w:noHBand="0" w:noVBand="1"/>
      </w:tblPr>
      <w:tblGrid>
        <w:gridCol w:w="2437"/>
        <w:gridCol w:w="1276"/>
        <w:gridCol w:w="1357"/>
        <w:gridCol w:w="732"/>
      </w:tblGrid>
      <w:tr w:rsidR="000D3E2E" w:rsidRPr="00B64299" w:rsidTr="000659CC">
        <w:trPr>
          <w:cnfStyle w:val="100000000000" w:firstRow="1" w:lastRow="0" w:firstColumn="0" w:lastColumn="0" w:oddVBand="0" w:evenVBand="0" w:oddHBand="0" w:evenHBand="0" w:firstRowFirstColumn="0" w:firstRowLastColumn="0" w:lastRowFirstColumn="0" w:lastRowLastColumn="0"/>
          <w:cantSplit/>
          <w:trHeight w:val="11"/>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r w:rsidRPr="00B64299">
              <w:rPr>
                <w:i/>
                <w:iCs/>
              </w:rPr>
              <w:t>Tabla 1.</w:t>
            </w:r>
          </w:p>
          <w:p w:rsidR="000D3E2E" w:rsidRPr="00B64299" w:rsidRDefault="000D3E2E" w:rsidP="000D3E2E">
            <w:pPr>
              <w:jc w:val="left"/>
            </w:pPr>
          </w:p>
        </w:tc>
        <w:tc>
          <w:tcPr>
            <w:tcW w:w="1276"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100000000000" w:firstRow="1" w:lastRow="0" w:firstColumn="0" w:lastColumn="0" w:oddVBand="0" w:evenVBand="0" w:oddHBand="0" w:evenHBand="0" w:firstRowFirstColumn="0" w:firstRowLastColumn="0" w:lastRowFirstColumn="0" w:lastRowLastColumn="0"/>
            </w:pPr>
            <w:r w:rsidRPr="00B64299">
              <w:t>No fumadores</w:t>
            </w:r>
          </w:p>
        </w:tc>
        <w:tc>
          <w:tcPr>
            <w:tcW w:w="135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100000000000" w:firstRow="1" w:lastRow="0" w:firstColumn="0" w:lastColumn="0" w:oddVBand="0" w:evenVBand="0" w:oddHBand="0" w:evenHBand="0" w:firstRowFirstColumn="0" w:firstRowLastColumn="0" w:lastRowFirstColumn="0" w:lastRowLastColumn="0"/>
            </w:pPr>
            <w:r w:rsidRPr="00B64299">
              <w:t>Fumadores</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Total</w:t>
            </w:r>
          </w:p>
        </w:tc>
      </w:tr>
      <w:tr w:rsidR="000D3E2E" w:rsidRPr="00B64299" w:rsidTr="000659CC">
        <w:trPr>
          <w:cnfStyle w:val="000000100000" w:firstRow="0" w:lastRow="0" w:firstColumn="0" w:lastColumn="0" w:oddVBand="0" w:evenVBand="0" w:oddHBand="1" w:evenHBand="0" w:firstRowFirstColumn="0" w:firstRowLastColumn="0" w:lastRowFirstColumn="0" w:lastRowLastColumn="0"/>
          <w:cantSplit/>
          <w:trHeight w:val="31"/>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Edad menor o igual a 60</w:t>
            </w:r>
          </w:p>
          <w:p w:rsidR="000D3E2E" w:rsidRPr="00B64299" w:rsidRDefault="000D3E2E" w:rsidP="000D3E2E">
            <w:pPr>
              <w:jc w:val="left"/>
            </w:pPr>
            <w:r w:rsidRPr="00B64299">
              <w:t>%dentro de edad</w:t>
            </w:r>
          </w:p>
        </w:tc>
        <w:tc>
          <w:tcPr>
            <w:tcW w:w="1276"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2</w:t>
            </w:r>
          </w:p>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11.8%</w:t>
            </w:r>
          </w:p>
        </w:tc>
        <w:tc>
          <w:tcPr>
            <w:tcW w:w="135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15</w:t>
            </w:r>
          </w:p>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88.2%</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shd w:val="clear" w:color="auto" w:fill="BCAEA6"/>
          </w:tcPr>
          <w:p w:rsidR="000D3E2E" w:rsidRPr="0090528B" w:rsidRDefault="000D3E2E" w:rsidP="000D3E2E">
            <w:pPr>
              <w:jc w:val="left"/>
              <w:rPr>
                <w:b w:val="0"/>
                <w:color w:val="auto"/>
              </w:rPr>
            </w:pPr>
            <w:r w:rsidRPr="0090528B">
              <w:rPr>
                <w:b w:val="0"/>
                <w:color w:val="auto"/>
              </w:rPr>
              <w:t>17</w:t>
            </w:r>
          </w:p>
          <w:p w:rsidR="000D3E2E" w:rsidRPr="0090528B" w:rsidRDefault="000D3E2E" w:rsidP="000D3E2E">
            <w:pPr>
              <w:jc w:val="left"/>
              <w:rPr>
                <w:b w:val="0"/>
                <w:color w:val="auto"/>
              </w:rPr>
            </w:pPr>
            <w:r w:rsidRPr="0090528B">
              <w:rPr>
                <w:b w:val="0"/>
                <w:color w:val="auto"/>
              </w:rPr>
              <w:t>100%</w:t>
            </w:r>
          </w:p>
        </w:tc>
      </w:tr>
      <w:tr w:rsidR="000D3E2E" w:rsidRPr="00B64299" w:rsidTr="000659CC">
        <w:trPr>
          <w:cantSplit/>
          <w:trHeight w:val="20"/>
        </w:trPr>
        <w:tc>
          <w:tcPr>
            <w:cnfStyle w:val="001000000000" w:firstRow="0" w:lastRow="0" w:firstColumn="1" w:lastColumn="0" w:oddVBand="0" w:evenVBand="0" w:oddHBand="0" w:evenHBand="0" w:firstRowFirstColumn="0" w:firstRowLastColumn="0" w:lastRowFirstColumn="0" w:lastRowLastColumn="0"/>
            <w:tcW w:w="2437" w:type="dxa"/>
            <w:tcBorders>
              <w:left w:val="none" w:sz="0" w:space="0" w:color="auto"/>
              <w:bottom w:val="none" w:sz="0" w:space="0" w:color="auto"/>
              <w:right w:val="none" w:sz="0" w:space="0" w:color="auto"/>
            </w:tcBorders>
          </w:tcPr>
          <w:p w:rsidR="000D3E2E" w:rsidRPr="00B64299" w:rsidRDefault="000D3E2E" w:rsidP="000D3E2E">
            <w:pPr>
              <w:jc w:val="left"/>
            </w:pPr>
            <w:r w:rsidRPr="00B64299">
              <w:t>Edad mayor de 60</w:t>
            </w:r>
          </w:p>
          <w:p w:rsidR="000D3E2E" w:rsidRPr="00B64299" w:rsidRDefault="000D3E2E" w:rsidP="000D3E2E">
            <w:pPr>
              <w:jc w:val="left"/>
            </w:pPr>
            <w:r w:rsidRPr="00B64299">
              <w:t>%dentro de edad</w:t>
            </w:r>
          </w:p>
        </w:tc>
        <w:tc>
          <w:tcPr>
            <w:tcW w:w="1276" w:type="dxa"/>
          </w:tcPr>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7</w:t>
            </w:r>
          </w:p>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53.8%</w:t>
            </w:r>
          </w:p>
        </w:tc>
        <w:tc>
          <w:tcPr>
            <w:tcW w:w="1357" w:type="dxa"/>
            <w:shd w:val="clear" w:color="auto" w:fill="DED7D3"/>
          </w:tcPr>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6</w:t>
            </w:r>
          </w:p>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46.2%</w:t>
            </w:r>
          </w:p>
        </w:tc>
        <w:tc>
          <w:tcPr>
            <w:cnfStyle w:val="000100000000" w:firstRow="0" w:lastRow="0" w:firstColumn="0" w:lastColumn="1" w:oddVBand="0" w:evenVBand="0" w:oddHBand="0" w:evenHBand="0" w:firstRowFirstColumn="0" w:firstRowLastColumn="0" w:lastRowFirstColumn="0" w:lastRowLastColumn="0"/>
            <w:tcW w:w="732" w:type="dxa"/>
            <w:tcBorders>
              <w:left w:val="none" w:sz="0" w:space="0" w:color="auto"/>
              <w:bottom w:val="none" w:sz="0" w:space="0" w:color="auto"/>
              <w:right w:val="none" w:sz="0" w:space="0" w:color="auto"/>
            </w:tcBorders>
            <w:shd w:val="clear" w:color="auto" w:fill="DED7D3"/>
          </w:tcPr>
          <w:p w:rsidR="000D3E2E" w:rsidRPr="0090528B" w:rsidRDefault="000D3E2E" w:rsidP="000D3E2E">
            <w:pPr>
              <w:jc w:val="left"/>
              <w:rPr>
                <w:b w:val="0"/>
                <w:color w:val="auto"/>
              </w:rPr>
            </w:pPr>
            <w:r w:rsidRPr="0090528B">
              <w:rPr>
                <w:b w:val="0"/>
                <w:color w:val="auto"/>
              </w:rPr>
              <w:t>13</w:t>
            </w:r>
          </w:p>
          <w:p w:rsidR="000D3E2E" w:rsidRPr="0090528B" w:rsidRDefault="000D3E2E" w:rsidP="000D3E2E">
            <w:pPr>
              <w:jc w:val="left"/>
              <w:rPr>
                <w:b w:val="0"/>
                <w:color w:val="auto"/>
              </w:rPr>
            </w:pPr>
            <w:r w:rsidRPr="0090528B">
              <w:rPr>
                <w:b w:val="0"/>
                <w:color w:val="auto"/>
              </w:rPr>
              <w:t>100%</w:t>
            </w:r>
          </w:p>
        </w:tc>
      </w:tr>
      <w:tr w:rsidR="000D3E2E" w:rsidRPr="00B64299" w:rsidTr="000659CC">
        <w:trPr>
          <w:cnfStyle w:val="010000000000" w:firstRow="0" w:lastRow="1" w:firstColumn="0" w:lastColumn="0" w:oddVBand="0" w:evenVBand="0" w:oddHBand="0" w:evenHBand="0" w:firstRowFirstColumn="0" w:firstRowLastColumn="0" w:lastRowFirstColumn="0" w:lastRowLastColumn="0"/>
          <w:cantSplit/>
          <w:trHeight w:val="403"/>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Total</w:t>
            </w:r>
          </w:p>
          <w:p w:rsidR="000D3E2E" w:rsidRPr="00B64299" w:rsidRDefault="000D3E2E" w:rsidP="000D3E2E">
            <w:pPr>
              <w:jc w:val="left"/>
            </w:pPr>
            <w:r w:rsidRPr="00B64299">
              <w:t>%total</w:t>
            </w:r>
          </w:p>
        </w:tc>
        <w:tc>
          <w:tcPr>
            <w:tcW w:w="1276" w:type="dxa"/>
            <w:tcBorders>
              <w:top w:val="none" w:sz="0" w:space="0" w:color="auto"/>
              <w:left w:val="none" w:sz="0" w:space="0" w:color="auto"/>
              <w:bottom w:val="none" w:sz="0" w:space="0" w:color="auto"/>
              <w:right w:val="none" w:sz="0" w:space="0" w:color="auto"/>
            </w:tcBorders>
            <w:shd w:val="clear" w:color="auto" w:fill="BCAEA6"/>
          </w:tcPr>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9</w:t>
            </w:r>
          </w:p>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30%</w:t>
            </w:r>
          </w:p>
        </w:tc>
        <w:tc>
          <w:tcPr>
            <w:tcW w:w="1357" w:type="dxa"/>
            <w:tcBorders>
              <w:top w:val="none" w:sz="0" w:space="0" w:color="auto"/>
              <w:left w:val="none" w:sz="0" w:space="0" w:color="auto"/>
              <w:bottom w:val="none" w:sz="0" w:space="0" w:color="auto"/>
              <w:right w:val="none" w:sz="0" w:space="0" w:color="auto"/>
            </w:tcBorders>
            <w:shd w:val="clear" w:color="auto" w:fill="BCAEA6"/>
          </w:tcPr>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21</w:t>
            </w:r>
          </w:p>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70%</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shd w:val="clear" w:color="auto" w:fill="BCAEA6"/>
          </w:tcPr>
          <w:p w:rsidR="000D3E2E" w:rsidRPr="0090528B" w:rsidRDefault="000D3E2E" w:rsidP="000D3E2E">
            <w:pPr>
              <w:jc w:val="left"/>
              <w:rPr>
                <w:b w:val="0"/>
                <w:color w:val="auto"/>
              </w:rPr>
            </w:pPr>
            <w:r w:rsidRPr="0090528B">
              <w:rPr>
                <w:b w:val="0"/>
                <w:color w:val="auto"/>
              </w:rPr>
              <w:t>30</w:t>
            </w:r>
          </w:p>
          <w:p w:rsidR="000D3E2E" w:rsidRPr="0090528B" w:rsidRDefault="000D3E2E" w:rsidP="000D3E2E">
            <w:pPr>
              <w:jc w:val="left"/>
              <w:rPr>
                <w:b w:val="0"/>
                <w:color w:val="auto"/>
              </w:rPr>
            </w:pPr>
            <w:r w:rsidRPr="0090528B">
              <w:rPr>
                <w:b w:val="0"/>
                <w:color w:val="auto"/>
              </w:rPr>
              <w:t>100%</w:t>
            </w:r>
          </w:p>
        </w:tc>
      </w:tr>
    </w:tbl>
    <w:p w:rsidR="0090528B" w:rsidRDefault="00B145CC" w:rsidP="003F7C40">
      <w:r>
        <w:rPr>
          <w:noProof/>
          <w:lang w:eastAsia="es-ES"/>
        </w:rPr>
        <w:pict>
          <v:shapetype id="_x0000_t202" coordsize="21600,21600" o:spt="202" path="m,l,21600r21600,l21600,xe">
            <v:stroke joinstyle="miter"/>
            <v:path gradientshapeok="t" o:connecttype="rect"/>
          </v:shapetype>
          <v:shape id="_x0000_s1051" type="#_x0000_t202" style="position:absolute;left:0;text-align:left;margin-left:-27.35pt;margin-top:33pt;width:299.25pt;height:23.25pt;z-index:-251608064;mso-position-horizontal-relative:text;mso-position-vertical-relative:text" wrapcoords="0 0" filled="f" stroked="f">
            <v:textbox>
              <w:txbxContent>
                <w:p w:rsidR="002C4EC4" w:rsidRDefault="002C4EC4" w:rsidP="002C4EC4">
                  <w:pPr>
                    <w:pStyle w:val="Epgrafe"/>
                  </w:pPr>
                  <w:bookmarkStart w:id="26" w:name="_Toc511750182"/>
                  <w:r w:rsidRPr="00134F85">
                    <w:t xml:space="preserve">Tabla </w:t>
                  </w:r>
                  <w:fldSimple w:instr=" SEQ Tabla \* ARABIC ">
                    <w:r w:rsidRPr="00134F85">
                      <w:t>1</w:t>
                    </w:r>
                  </w:fldSimple>
                  <w:r w:rsidRPr="00134F85">
                    <w:t>. Tabla cruzada e</w:t>
                  </w:r>
                  <w:r>
                    <w:t>ntre hábito tabáquico y la edad.</w:t>
                  </w:r>
                  <w:bookmarkEnd w:id="26"/>
                </w:p>
                <w:p w:rsidR="002C4EC4" w:rsidRPr="002C4EC4" w:rsidRDefault="002C4EC4"/>
              </w:txbxContent>
            </v:textbox>
            <w10:wrap type="tight"/>
          </v:shape>
        </w:pict>
      </w:r>
      <w:r>
        <w:rPr>
          <w:noProof/>
        </w:rPr>
        <w:pict>
          <v:rect id="Rectángulo 6" o:spid="_x0000_s1045" style="position:absolute;left:0;text-align:left;margin-left:-27.35pt;margin-top:15pt;width:396.95pt;height:21.75pt;z-index:-251618304;visibility:visible;mso-wrap-distance-left:9pt;mso-wrap-distance-top:0;mso-wrap-distance-right:9pt;mso-wrap-distance-bottom:0;mso-position-horizontal-relative:text;mso-position-vertical-relative:text;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" filled="f" fillcolor="white [3212]" stroked="f" strokecolor="#ac956e [3206]" strokeweight="3pt">
            <v:textbox style="mso-next-textbox:#Rectángulo 6">
              <w:txbxContent>
                <w:p w:rsidR="00913661" w:rsidRPr="00134F85" w:rsidRDefault="00913661" w:rsidP="000D3E2E">
                  <w:pPr>
                    <w:pStyle w:val="Epgrafe"/>
                  </w:pPr>
                  <w:bookmarkStart w:id="27" w:name="_Toc511750181"/>
                  <w:r w:rsidRPr="00134F85">
                    <w:t>Figura 10. Diagrama de barras</w:t>
                  </w:r>
                  <w:r>
                    <w:t>: R</w:t>
                  </w:r>
                  <w:r w:rsidRPr="00134F85">
                    <w:t>elación entre edad y presencia de comorbilidades.</w:t>
                  </w:r>
                  <w:bookmarkEnd w:id="27"/>
                </w:p>
                <w:p w:rsidR="00913661" w:rsidRPr="000D3E2E" w:rsidRDefault="00913661" w:rsidP="000D3E2E"/>
                <w:p w:rsidR="00913661" w:rsidRPr="00730EF9" w:rsidRDefault="00913661" w:rsidP="003F7C40"/>
              </w:txbxContent>
            </v:textbox>
            <w10:wrap type="tight"/>
          </v:rect>
        </w:pict>
      </w:r>
      <w:r w:rsidR="000D3E2E">
        <w:rPr>
          <w:noProof/>
          <w:lang w:eastAsia="es-ES"/>
        </w:rPr>
        <w:drawing>
          <wp:anchor distT="0" distB="0" distL="114300" distR="114300" simplePos="0" relativeHeight="251696128" behindDoc="1" locked="0" layoutInCell="1" allowOverlap="1" wp14:anchorId="58D0E1F7" wp14:editId="6079A3EF">
            <wp:simplePos x="0" y="0"/>
            <wp:positionH relativeFrom="column">
              <wp:posOffset>3426460</wp:posOffset>
            </wp:positionH>
            <wp:positionV relativeFrom="paragraph">
              <wp:posOffset>495935</wp:posOffset>
            </wp:positionV>
            <wp:extent cx="2247900" cy="1736725"/>
            <wp:effectExtent l="0" t="0" r="0" b="0"/>
            <wp:wrapTight wrapText="bothSides">
              <wp:wrapPolygon edited="0">
                <wp:start x="0" y="0"/>
                <wp:lineTo x="0" y="21561"/>
                <wp:lineTo x="21600" y="21561"/>
                <wp:lineTo x="21600" y="0"/>
                <wp:lineTo x="0" y="0"/>
              </wp:wrapPolygon>
            </wp:wrapTight>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67534C">
        <w:t xml:space="preserve">Al analizar los datos recogidos se relacionaron entre sí, </w:t>
      </w:r>
      <w:r w:rsidR="00B95847">
        <w:t>encontramos</w:t>
      </w:r>
      <w:r w:rsidR="006B5E99">
        <w:t xml:space="preserve"> los siguientes resultados</w:t>
      </w:r>
      <w:r w:rsidR="0067534C">
        <w:t>:</w:t>
      </w:r>
    </w:p>
    <w:p w:rsidR="00AF7F2C" w:rsidRDefault="00B145CC" w:rsidP="00AF7F2C">
      <w:pPr>
        <w:pStyle w:val="Prrafodelista"/>
        <w:numPr>
          <w:ilvl w:val="0"/>
          <w:numId w:val="8"/>
        </w:numPr>
      </w:pPr>
      <w:r>
        <w:rPr>
          <w:noProof/>
          <w:lang w:eastAsia="es-ES"/>
        </w:rPr>
        <w:pict>
          <v:shape id="_x0000_s1046" type="#_x0000_t202" style="position:absolute;left:0;text-align:left;margin-left:226.35pt;margin-top:67.15pt;width:235.5pt;height:49.5pt;z-index:-251613184" wrapcoords="0 0" filled="f" stroked="f">
            <v:textbox style="mso-next-textbox:#_x0000_s1046">
              <w:txbxContent>
                <w:p w:rsidR="00913661" w:rsidRPr="00D94B1E" w:rsidRDefault="00913661" w:rsidP="00D94B1E">
                  <w:pPr>
                    <w:pStyle w:val="Epgrafe"/>
                  </w:pPr>
                  <w:bookmarkStart w:id="28" w:name="_Toc510797566"/>
                  <w:bookmarkStart w:id="29" w:name="_Toc511750183"/>
                  <w:r w:rsidRPr="00D94B1E">
                    <w:t>Figura 11. Diagrama de barras que representa la relación entre el sexo y la presencia de clínica neurológica al diagnóstico.</w:t>
                  </w:r>
                  <w:bookmarkEnd w:id="28"/>
                  <w:bookmarkEnd w:id="29"/>
                </w:p>
                <w:p w:rsidR="00913661" w:rsidRDefault="00913661"/>
              </w:txbxContent>
            </v:textbox>
            <w10:wrap type="tight"/>
          </v:shape>
        </w:pict>
      </w:r>
      <w:r w:rsidR="001F282C">
        <w:t xml:space="preserve">Se </w:t>
      </w:r>
      <w:r w:rsidR="00730EF9">
        <w:t xml:space="preserve">observó </w:t>
      </w:r>
      <w:r w:rsidR="00AF7F2C">
        <w:t>una</w:t>
      </w:r>
      <w:r w:rsidR="001F282C">
        <w:t xml:space="preserve"> relación </w:t>
      </w:r>
      <w:r w:rsidR="00730EF9">
        <w:t>entre</w:t>
      </w:r>
      <w:r w:rsidR="001F282C">
        <w:t xml:space="preserve"> la edad y el hábito tabáquico, y también </w:t>
      </w:r>
      <w:r w:rsidR="00730EF9">
        <w:t>entre la edad y</w:t>
      </w:r>
      <w:r w:rsidR="001F282C">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B145CC" w:rsidP="00AD7442">
      <w:pPr>
        <w:pStyle w:val="Prrafodelista"/>
        <w:numPr>
          <w:ilvl w:val="0"/>
          <w:numId w:val="7"/>
        </w:numPr>
      </w:pPr>
      <w:r>
        <w:rPr>
          <w:noProof/>
          <w:lang w:eastAsia="es-ES"/>
        </w:rPr>
        <w:pict>
          <v:shape id="_x0000_s1048" type="#_x0000_t202" style="position:absolute;left:0;text-align:left;margin-left:17.4pt;margin-top:250.2pt;width:451.95pt;height:50.05pt;z-index:-251612160" wrapcoords="0 0" filled="f" stroked="f">
            <v:textbox style="mso-next-textbox:#_x0000_s1048">
              <w:txbxContent>
                <w:p w:rsidR="00913661" w:rsidRDefault="00913661" w:rsidP="00D94B1E">
                  <w:pPr>
                    <w:pStyle w:val="Epgrafe"/>
                  </w:pPr>
                  <w:bookmarkStart w:id="30" w:name="_Toc510797567"/>
                  <w:r>
                    <w:t>Figura 12.</w:t>
                  </w:r>
                  <w:r w:rsidRPr="00A401FA">
                    <w:t xml:space="preserve"> Diagrama de barras que representa la relación entre</w:t>
                  </w:r>
                  <w:r>
                    <w:t xml:space="preserve"> el consumo de alcohol y la presencia de clínica neurológica al diagnóstico.</w:t>
                  </w:r>
                  <w:bookmarkEnd w:id="30"/>
                </w:p>
                <w:p w:rsidR="00913661" w:rsidRPr="00A401FA" w:rsidRDefault="00913661" w:rsidP="00D94B1E">
                  <w:pPr>
                    <w:pStyle w:val="Epgrafe"/>
                  </w:pPr>
                  <w:bookmarkStart w:id="31" w:name="_Toc510797568"/>
                  <w:r>
                    <w:t xml:space="preserve">Figura 13. </w:t>
                  </w:r>
                  <w:r w:rsidRPr="00A401FA">
                    <w:t>Diagrama de barras que representa la relación entre</w:t>
                  </w:r>
                  <w:r>
                    <w:t xml:space="preserve"> el sexo y el consumo de alcohol.</w:t>
                  </w:r>
                  <w:bookmarkEnd w:id="31"/>
                </w:p>
                <w:p w:rsidR="00913661" w:rsidRDefault="00913661"/>
              </w:txbxContent>
            </v:textbox>
            <w10:wrap type="tight"/>
          </v:shape>
        </w:pict>
      </w:r>
      <w:r w:rsidR="00D94B1E">
        <w:rPr>
          <w:noProof/>
          <w:lang w:eastAsia="es-ES"/>
        </w:rPr>
        <w:drawing>
          <wp:anchor distT="0" distB="0" distL="114300" distR="114300" simplePos="0" relativeHeight="251700224" behindDoc="1" locked="0" layoutInCell="1" allowOverlap="1" wp14:anchorId="310081EB" wp14:editId="7B84DE79">
            <wp:simplePos x="0" y="0"/>
            <wp:positionH relativeFrom="column">
              <wp:posOffset>2903220</wp:posOffset>
            </wp:positionH>
            <wp:positionV relativeFrom="paragraph">
              <wp:posOffset>1614805</wp:posOffset>
            </wp:positionV>
            <wp:extent cx="2676525" cy="1556385"/>
            <wp:effectExtent l="0" t="0" r="0" b="5715"/>
            <wp:wrapTight wrapText="bothSides">
              <wp:wrapPolygon edited="0">
                <wp:start x="0" y="0"/>
                <wp:lineTo x="0" y="21679"/>
                <wp:lineTo x="21523" y="21679"/>
                <wp:lineTo x="21523" y="0"/>
                <wp:lineTo x="0" y="0"/>
              </wp:wrapPolygon>
            </wp:wrapTight>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D94B1E">
        <w:rPr>
          <w:noProof/>
          <w:lang w:eastAsia="es-ES"/>
        </w:rPr>
        <w:drawing>
          <wp:anchor distT="0" distB="0" distL="114300" distR="114300" simplePos="0" relativeHeight="251699200" behindDoc="1" locked="0" layoutInCell="1" allowOverlap="1" wp14:anchorId="3357BA73" wp14:editId="4798963C">
            <wp:simplePos x="0" y="0"/>
            <wp:positionH relativeFrom="column">
              <wp:posOffset>2903220</wp:posOffset>
            </wp:positionH>
            <wp:positionV relativeFrom="paragraph">
              <wp:posOffset>52705</wp:posOffset>
            </wp:positionV>
            <wp:extent cx="2677795" cy="1562100"/>
            <wp:effectExtent l="0" t="0" r="8255" b="0"/>
            <wp:wrapTight wrapText="bothSides">
              <wp:wrapPolygon edited="0">
                <wp:start x="0" y="0"/>
                <wp:lineTo x="0" y="21600"/>
                <wp:lineTo x="21667" y="21600"/>
                <wp:lineTo x="21667" y="0"/>
                <wp:lineTo x="0" y="0"/>
              </wp:wrapPolygon>
            </wp:wrapTight>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00D94B1E" w:rsidRPr="002C55F2">
        <w:rPr>
          <w:noProof/>
          <w:sz w:val="18"/>
          <w:szCs w:val="18"/>
          <w:lang w:eastAsia="es-ES"/>
        </w:rPr>
        <w:drawing>
          <wp:anchor distT="0" distB="0" distL="114300" distR="114300" simplePos="0" relativeHeight="251702272" behindDoc="1" locked="0" layoutInCell="1" allowOverlap="1" wp14:anchorId="43C84813" wp14:editId="7581D74B">
            <wp:simplePos x="0" y="0"/>
            <wp:positionH relativeFrom="column">
              <wp:posOffset>407670</wp:posOffset>
            </wp:positionH>
            <wp:positionV relativeFrom="paragraph">
              <wp:posOffset>1614805</wp:posOffset>
            </wp:positionV>
            <wp:extent cx="2491105" cy="1552575"/>
            <wp:effectExtent l="0" t="0" r="4445" b="0"/>
            <wp:wrapTight wrapText="bothSides">
              <wp:wrapPolygon edited="0">
                <wp:start x="0" y="0"/>
                <wp:lineTo x="0" y="21467"/>
                <wp:lineTo x="21639" y="21467"/>
                <wp:lineTo x="21639" y="0"/>
                <wp:lineTo x="0" y="0"/>
              </wp:wrapPolygon>
            </wp:wrapTight>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5B305F">
        <w:t xml:space="preserve">Encontramos que los hombres tenían 1.89 veces más probabilidad de beber alcohol que las mujeres </w:t>
      </w:r>
      <w:r w:rsidR="00730EF9">
        <w:t>(</w:t>
      </w:r>
      <w:r w:rsidR="005B305F">
        <w:t>p=0.005</w:t>
      </w:r>
      <w:r w:rsidR="00730EF9">
        <w:t>)</w:t>
      </w:r>
      <w:r w:rsidR="005B305F">
        <w:t>. Además, las mujeres presenta</w:t>
      </w:r>
      <w:r w:rsidR="00730EF9">
        <w:t>ban</w:t>
      </w:r>
      <w:r w:rsidR="005B305F">
        <w:t xml:space="preserve"> clínica neurológica al diagnóstico con una OR=5.31</w:t>
      </w:r>
      <w:r w:rsidR="00494357">
        <w:t xml:space="preserve"> (IC 95% 0.96-29.29</w:t>
      </w:r>
      <w:r w:rsidR="0020606F">
        <w:t xml:space="preserve"> p=0.046</w:t>
      </w:r>
      <w:r w:rsidR="00494357">
        <w:t xml:space="preserve">), es decir </w:t>
      </w:r>
      <w:r w:rsidR="0020606F">
        <w:t xml:space="preserve"> con </w:t>
      </w:r>
      <w:r w:rsidR="00494357">
        <w:t xml:space="preserve">5.31 veces más posibilidades </w:t>
      </w:r>
      <w:r w:rsidR="0020606F">
        <w:t>que los hombres</w:t>
      </w:r>
      <w:r w:rsidR="005B305F">
        <w:t>.</w:t>
      </w:r>
      <w:r w:rsidR="00F87F3E" w:rsidRPr="00F87F3E">
        <w:rPr>
          <w:noProof/>
          <w:lang w:eastAsia="es-ES"/>
        </w:rPr>
        <w:t xml:space="preserve"> </w:t>
      </w:r>
    </w:p>
    <w:p w:rsidR="00913661" w:rsidRDefault="005B305F" w:rsidP="00913661">
      <w:pPr>
        <w:pStyle w:val="Prrafodelista"/>
        <w:numPr>
          <w:ilvl w:val="0"/>
          <w:numId w:val="7"/>
        </w:numPr>
      </w:pPr>
      <w:r>
        <w:lastRenderedPageBreak/>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AB772A">
      <w:pPr>
        <w:pStyle w:val="Prrafodelista"/>
        <w:numPr>
          <w:ilvl w:val="0"/>
          <w:numId w:val="7"/>
        </w:numPr>
      </w:pPr>
      <w:r>
        <w:t>Se observó una asociación entre la exposición al tabaco y el número de aneurismas. Ninguno de los pacientes no expuestos poseían más de un aneurisma y cerca de la mitad de los sí expuestos tenían más de un aneurisma (Chi-Cuadrado p=0.</w:t>
      </w:r>
      <w:r w:rsidR="00730EF9">
        <w:t>0</w:t>
      </w:r>
      <w:r>
        <w:t xml:space="preserve">11).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2701A3" w:rsidRDefault="00B145CC" w:rsidP="004A2FC1">
      <w:pPr>
        <w:pStyle w:val="Prrafodelista"/>
        <w:numPr>
          <w:ilvl w:val="0"/>
          <w:numId w:val="7"/>
        </w:numPr>
      </w:pPr>
      <w:r>
        <w:rPr>
          <w:noProof/>
          <w:lang w:eastAsia="es-ES"/>
        </w:rPr>
        <w:pict>
          <v:rect id="_x0000_s1050" style="position:absolute;left:0;text-align:left;margin-left:139.5pt;margin-top:110.55pt;width:392.55pt;height:22.35pt;z-index:-251610112" wrapcoords="0 0" filled="f" stroked="f">
            <v:textbox style="mso-next-textbox:#_x0000_s1050">
              <w:txbxContent>
                <w:p w:rsidR="00796C4E" w:rsidRPr="00734045" w:rsidRDefault="00796C4E" w:rsidP="00796C4E">
                  <w:pPr>
                    <w:pStyle w:val="Epgrafe"/>
                  </w:pPr>
                  <w:r>
                    <w:t>Figura 14. Distribución de las localizaciones de los aneurismas según su tamaño</w:t>
                  </w:r>
                </w:p>
              </w:txbxContent>
            </v:textbox>
            <w10:wrap type="tight"/>
          </v:rect>
        </w:pict>
      </w:r>
      <w:r w:rsidR="00796C4E">
        <w:rPr>
          <w:noProof/>
          <w:lang w:eastAsia="es-ES"/>
        </w:rPr>
        <w:drawing>
          <wp:anchor distT="0" distB="0" distL="114300" distR="114300" simplePos="0" relativeHeight="251705344" behindDoc="0" locked="0" layoutInCell="1" allowOverlap="1" wp14:anchorId="1A32A03B" wp14:editId="2339AC69">
            <wp:simplePos x="0" y="0"/>
            <wp:positionH relativeFrom="column">
              <wp:posOffset>60960</wp:posOffset>
            </wp:positionH>
            <wp:positionV relativeFrom="paragraph">
              <wp:posOffset>1664335</wp:posOffset>
            </wp:positionV>
            <wp:extent cx="6353175" cy="2257425"/>
            <wp:effectExtent l="0" t="0" r="0" b="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sidR="00A60DFE">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p=0.008)</w:t>
      </w:r>
      <w:r w:rsidR="00F61E75">
        <w:t>.</w:t>
      </w:r>
    </w:p>
    <w:p w:rsidR="000D66ED" w:rsidRDefault="000D66ED" w:rsidP="00796C4E">
      <w:pPr>
        <w:pStyle w:val="Prrafodelista"/>
        <w:spacing w:after="0"/>
        <w:sectPr w:rsidR="000D66ED" w:rsidSect="0090528B">
          <w:headerReference w:type="even" r:id="rId38"/>
          <w:headerReference w:type="default" r:id="rId39"/>
          <w:headerReference w:type="first" r:id="rId40"/>
          <w:type w:val="continuous"/>
          <w:pgSz w:w="11906" w:h="16838" w:code="9"/>
          <w:pgMar w:top="1134" w:right="1134" w:bottom="1134" w:left="1134" w:header="567" w:footer="567" w:gutter="1134"/>
          <w:cols w:space="708"/>
          <w:titlePg/>
          <w:docGrid w:linePitch="360"/>
        </w:sectPr>
      </w:pPr>
    </w:p>
    <w:p w:rsidR="000D66ED" w:rsidRDefault="00B145CC" w:rsidP="000D66ED">
      <w:pPr>
        <w:pStyle w:val="Prrafodelista"/>
      </w:pPr>
      <w:r>
        <w:rPr>
          <w:noProof/>
          <w:lang w:eastAsia="es-ES"/>
        </w:rPr>
        <w:pict>
          <v:shape id="_x0000_s1052" type="#_x0000_t202" style="position:absolute;left:0;text-align:left;margin-left:216.3pt;margin-top:196.45pt;width:221.25pt;height:32.25pt;z-index:-251607040" wrapcoords="0 0" filled="f" stroked="f">
            <v:textbox style="mso-next-textbox:#_x0000_s1052">
              <w:txbxContent>
                <w:p w:rsidR="005A445E" w:rsidRPr="005A445E" w:rsidRDefault="005A445E" w:rsidP="0041342B">
                  <w:pPr>
                    <w:pStyle w:val="Epgrafe"/>
                  </w:pPr>
                  <w:r>
                    <w:t xml:space="preserve">Tabla 2.  </w:t>
                  </w:r>
                  <w:r w:rsidR="0041342B">
                    <w:t xml:space="preserve">Estimación de riesgo </w:t>
                  </w:r>
                  <w:r>
                    <w:t xml:space="preserve"> para número de aneurismas y tamaño</w:t>
                  </w:r>
                </w:p>
              </w:txbxContent>
            </v:textbox>
            <w10:wrap type="square"/>
          </v:shape>
        </w:pict>
      </w:r>
    </w:p>
    <w:p w:rsidR="002701A3" w:rsidRDefault="00B145CC" w:rsidP="002C4EC4">
      <w:pPr>
        <w:pStyle w:val="Prrafodelista"/>
        <w:numPr>
          <w:ilvl w:val="0"/>
          <w:numId w:val="7"/>
        </w:numPr>
      </w:pPr>
      <w:r>
        <w:rPr>
          <w:noProof/>
          <w:lang w:eastAsia="es-ES"/>
        </w:rPr>
        <w:pict>
          <v:shape id="_x0000_s1053" type="#_x0000_t202" style="position:absolute;left:0;text-align:left;margin-left:216.3pt;margin-top:44.3pt;width:51pt;height:18pt;z-index:251710464" filled="f" stroked="f">
            <v:textbox>
              <w:txbxContent>
                <w:p w:rsidR="0041342B" w:rsidRPr="0041342B" w:rsidRDefault="0041342B" w:rsidP="0041342B">
                  <w:pPr>
                    <w:jc w:val="left"/>
                    <w:rPr>
                      <w:b/>
                      <w:i/>
                    </w:rPr>
                  </w:pPr>
                  <w:r>
                    <w:rPr>
                      <w:b/>
                      <w:i/>
                    </w:rPr>
                    <w:t>Tabla 2</w:t>
                  </w:r>
                </w:p>
              </w:txbxContent>
            </v:textbox>
          </v:shape>
        </w:pict>
      </w:r>
      <w:r w:rsidR="002C4EC4" w:rsidRPr="002C4EC4">
        <w:rPr>
          <w:noProof/>
          <w:lang w:eastAsia="es-ES"/>
        </w:rPr>
        <w:drawing>
          <wp:anchor distT="0" distB="0" distL="114300" distR="114300" simplePos="0" relativeHeight="251707392" behindDoc="0" locked="0" layoutInCell="1" allowOverlap="1" wp14:anchorId="0CB5C60F" wp14:editId="347BE6FF">
            <wp:simplePos x="0" y="0"/>
            <wp:positionH relativeFrom="column">
              <wp:posOffset>2718435</wp:posOffset>
            </wp:positionH>
            <wp:positionV relativeFrom="paragraph">
              <wp:posOffset>314960</wp:posOffset>
            </wp:positionV>
            <wp:extent cx="3811905" cy="19411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811905" cy="1941195"/>
                    </a:xfrm>
                    <a:prstGeom prst="rect">
                      <a:avLst/>
                    </a:prstGeom>
                  </pic:spPr>
                </pic:pic>
              </a:graphicData>
            </a:graphic>
            <wp14:sizeRelH relativeFrom="page">
              <wp14:pctWidth>0</wp14:pctWidth>
            </wp14:sizeRelH>
            <wp14:sizeRelV relativeFrom="page">
              <wp14:pctHeight>0</wp14:pctHeight>
            </wp14:sizeRelV>
          </wp:anchor>
        </w:drawing>
      </w:r>
      <w:r w:rsidR="002701A3">
        <w:t>Hallamos una OR de 8 (IC 95% 1.28-50.05) para los pacientes con un único ane</w:t>
      </w:r>
      <w:r w:rsidR="002C4EC4">
        <w:t>urisma y un tamaño menor de 5mm.</w:t>
      </w:r>
      <w:r w:rsidR="002701A3">
        <w:t xml:space="preserve"> Esto significa que los pacientes con un solo aneurisma tienen 8 veces más posibilidades de tener aneurismas más pequeños (Chi-Cuadrado de Pearson p=0.018).</w:t>
      </w:r>
      <w:r w:rsidR="002C4EC4" w:rsidRPr="002C4EC4">
        <w:rPr>
          <w:noProof/>
          <w:lang w:eastAsia="es-ES"/>
        </w:rPr>
        <w:t xml:space="preserve"> </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w:t>
      </w:r>
      <w:r w:rsidR="00C44778">
        <w:lastRenderedPageBreak/>
        <w:t>pacientes que recibieron doble antiagregación eran mujeres  mientras que los hombres tenían 5.31 más posibilidades de recibir antiagregación simple (OR=5.31 IC 95% 0.963-29.294 p=0.046</w:t>
      </w:r>
      <w:r w:rsidR="00A60DFE">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los cuales sólo se requirió </w:t>
      </w:r>
      <w:r w:rsidR="00A158BF">
        <w:t>el uso de coils recibieron antiagregación simple (Chi-Cuadrado de Pearson p=0.000).</w:t>
      </w:r>
    </w:p>
    <w:p w:rsidR="00F43E28" w:rsidRDefault="00A158BF" w:rsidP="00AF7F2C">
      <w:pPr>
        <w:pStyle w:val="Prrafodelista"/>
        <w:numPr>
          <w:ilvl w:val="0"/>
          <w:numId w:val="7"/>
        </w:numPr>
      </w:pPr>
      <w:r>
        <w:t xml:space="preserve">El número de intervenciones precisadas está relacionado </w:t>
      </w:r>
      <w:r w:rsidR="00193DAE">
        <w:t>con el fracaso del tratamiento. La significaci</w:t>
      </w:r>
      <w:r w:rsidR="00193DAE">
        <w:rPr>
          <w:rFonts w:hint="eastAsia"/>
        </w:rPr>
        <w:t>ó</w:t>
      </w:r>
      <w:r w:rsidR="00193DAE">
        <w:t>n asint</w:t>
      </w:r>
      <w:r w:rsidR="00193DAE">
        <w:rPr>
          <w:rFonts w:hint="eastAsia"/>
        </w:rPr>
        <w:t>ó</w:t>
      </w:r>
      <w:r w:rsidR="00193DAE">
        <w:t>tica en la prueba Chi-Cuadrado de Pearson entre estas variables fue de 0.000.</w:t>
      </w:r>
      <w:r w:rsidR="00412BCA">
        <w:t xml:space="preserve"> </w:t>
      </w:r>
    </w:p>
    <w:p w:rsidR="005B2838" w:rsidRDefault="00D25C8F" w:rsidP="00D25C8F">
      <w:pPr>
        <w:pStyle w:val="Prrafodelista"/>
        <w:numPr>
          <w:ilvl w:val="0"/>
          <w:numId w:val="7"/>
        </w:numPr>
      </w:pPr>
      <w:r w:rsidRPr="00000795">
        <w:rPr>
          <w:noProof/>
          <w:lang w:eastAsia="es-ES"/>
        </w:rPr>
        <w:drawing>
          <wp:anchor distT="0" distB="0" distL="114300" distR="114300" simplePos="0" relativeHeight="251711488" behindDoc="0" locked="0" layoutInCell="1" allowOverlap="1" wp14:anchorId="16B03AE6" wp14:editId="01D050F7">
            <wp:simplePos x="0" y="0"/>
            <wp:positionH relativeFrom="column">
              <wp:posOffset>-363855</wp:posOffset>
            </wp:positionH>
            <wp:positionV relativeFrom="paragraph">
              <wp:posOffset>553085</wp:posOffset>
            </wp:positionV>
            <wp:extent cx="2974340" cy="1743075"/>
            <wp:effectExtent l="0" t="0" r="0" b="0"/>
            <wp:wrapSquare wrapText="bothSides"/>
            <wp:docPr id="7" name="Gráfico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6F6E87">
        <w:rPr>
          <w:noProof/>
          <w:lang w:eastAsia="es-ES"/>
        </w:rPr>
        <w:drawing>
          <wp:anchor distT="0" distB="0" distL="114300" distR="114300" simplePos="0" relativeHeight="251712512" behindDoc="0" locked="0" layoutInCell="1" allowOverlap="1" wp14:anchorId="18CCFE2F" wp14:editId="0B402226">
            <wp:simplePos x="0" y="0"/>
            <wp:positionH relativeFrom="column">
              <wp:posOffset>2607310</wp:posOffset>
            </wp:positionH>
            <wp:positionV relativeFrom="paragraph">
              <wp:posOffset>556260</wp:posOffset>
            </wp:positionV>
            <wp:extent cx="3209925" cy="1743075"/>
            <wp:effectExtent l="0" t="0" r="0" b="0"/>
            <wp:wrapSquare wrapText="bothSides"/>
            <wp:docPr id="8" name="Gráfico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5B2838">
        <w:t>No se encontró relación</w:t>
      </w:r>
      <w:r w:rsidR="00F43E28">
        <w:t xml:space="preserve"> </w:t>
      </w:r>
      <w:r w:rsidR="00412BCA">
        <w:t>entre el número de intervenciones realizadas y los antecedentes personales de HSA</w:t>
      </w:r>
      <w:r w:rsidR="00195D6F">
        <w:t xml:space="preserve"> </w:t>
      </w:r>
      <w:r w:rsidR="005B2838">
        <w:t>(</w:t>
      </w:r>
      <w:r w:rsidR="00195D6F">
        <w:t>p=0.051</w:t>
      </w:r>
      <w:r w:rsidR="005B2838">
        <w:t>).</w:t>
      </w:r>
      <w:r w:rsidR="006F6E87" w:rsidRPr="006F6E87">
        <w:rPr>
          <w:noProof/>
          <w:lang w:eastAsia="es-ES"/>
        </w:rPr>
        <w:t xml:space="preserve"> </w:t>
      </w:r>
    </w:p>
    <w:p w:rsidR="0054730A" w:rsidRDefault="00D25C8F" w:rsidP="0054730A">
      <w:pPr>
        <w:pStyle w:val="Ttulo1"/>
      </w:pPr>
      <w:bookmarkStart w:id="32" w:name="_Toc510724611"/>
      <w:r>
        <w:rPr>
          <w:noProof/>
          <w:lang w:eastAsia="es-ES"/>
        </w:rPr>
        <w:pict>
          <v:shape id="_x0000_s1055" type="#_x0000_t202" style="position:absolute;left:0;text-align:left;margin-left:-.15pt;margin-top:138.25pt;width:440.25pt;height:48pt;z-index:-251602944" wrapcoords="0 0" filled="f" stroked="f">
            <v:textbox>
              <w:txbxContent>
                <w:p w:rsidR="00D25C8F" w:rsidRDefault="00D25C8F" w:rsidP="00D25C8F">
                  <w:pPr>
                    <w:pStyle w:val="Epgrafe"/>
                  </w:pPr>
                  <w:r>
                    <w:t>Figura 15. Diagrama de barras que relaciona la técnica del TEV con el tipo de antiagregación.</w:t>
                  </w:r>
                </w:p>
                <w:p w:rsidR="00D25C8F" w:rsidRPr="00D25C8F" w:rsidRDefault="00D25C8F" w:rsidP="00D25C8F">
                  <w:pPr>
                    <w:pStyle w:val="Epgrafe"/>
                  </w:pPr>
                  <w:r>
                    <w:t>Figura 16.Diagrama de barras que relaciona los antecedentes de HSA y el número de intervenciones realizadas.</w:t>
                  </w:r>
                </w:p>
              </w:txbxContent>
            </v:textbox>
            <w10:wrap type="tight"/>
          </v:shape>
        </w:pict>
      </w:r>
      <w:r w:rsidR="0054730A">
        <w:t>Discusión</w:t>
      </w:r>
      <w:bookmarkEnd w:id="32"/>
    </w:p>
    <w:p w:rsidR="0054730A" w:rsidRDefault="0054730A" w:rsidP="0054730A">
      <w:pPr>
        <w:pStyle w:val="Ttulo1"/>
      </w:pPr>
      <w:bookmarkStart w:id="33" w:name="_Toc510724612"/>
      <w:r>
        <w:t>Conclusiones</w:t>
      </w:r>
      <w:bookmarkStart w:id="34" w:name="_GoBack"/>
      <w:bookmarkEnd w:id="33"/>
      <w:bookmarkEnd w:id="34"/>
    </w:p>
    <w:p w:rsidR="00193DAE" w:rsidRPr="007C53E5" w:rsidRDefault="0054730A" w:rsidP="00412BCA">
      <w:pPr>
        <w:pStyle w:val="Ttulo1"/>
      </w:pPr>
      <w:bookmarkStart w:id="35" w:name="_Toc510724613"/>
      <w:r>
        <w:t>Bibliografí</w:t>
      </w:r>
      <w:r w:rsidR="00412BCA">
        <w:t>a</w:t>
      </w:r>
      <w:bookmarkEnd w:id="35"/>
    </w:p>
    <w:sectPr w:rsidR="00193DAE" w:rsidRPr="007C53E5" w:rsidSect="0090528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CC" w:rsidRDefault="00B145CC" w:rsidP="00B07406">
      <w:pPr>
        <w:spacing w:after="0" w:line="240" w:lineRule="auto"/>
      </w:pPr>
      <w:r>
        <w:separator/>
      </w:r>
    </w:p>
  </w:endnote>
  <w:endnote w:type="continuationSeparator" w:id="0">
    <w:p w:rsidR="00B145CC" w:rsidRDefault="00B145CC"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13661">
      <w:tc>
        <w:tcPr>
          <w:tcW w:w="500" w:type="pct"/>
          <w:tcBorders>
            <w:top w:val="single" w:sz="4" w:space="0" w:color="554740" w:themeColor="accent2" w:themeShade="BF"/>
          </w:tcBorders>
          <w:shd w:val="clear" w:color="auto" w:fill="554740" w:themeFill="accent2" w:themeFillShade="BF"/>
        </w:tcPr>
        <w:p w:rsidR="00913661" w:rsidRDefault="00913661">
          <w:pPr>
            <w:pStyle w:val="Piedepgina"/>
            <w:jc w:val="right"/>
            <w:rPr>
              <w:b/>
              <w:color w:val="FFFFFF" w:themeColor="background1"/>
            </w:rPr>
          </w:pPr>
          <w:r>
            <w:fldChar w:fldCharType="begin"/>
          </w:r>
          <w:r>
            <w:instrText xml:space="preserve"> PAGE   \* MERGEFORMAT </w:instrText>
          </w:r>
          <w:r>
            <w:fldChar w:fldCharType="separate"/>
          </w:r>
          <w:r w:rsidR="00D25C8F" w:rsidRPr="00D25C8F">
            <w:rPr>
              <w:noProof/>
              <w:color w:val="FFFFFF" w:themeColor="background1"/>
            </w:rPr>
            <w:t>22</w:t>
          </w:r>
          <w:r>
            <w:rPr>
              <w:noProof/>
              <w:color w:val="FFFFFF" w:themeColor="background1"/>
            </w:rPr>
            <w:fldChar w:fldCharType="end"/>
          </w:r>
        </w:p>
      </w:tc>
      <w:tc>
        <w:tcPr>
          <w:tcW w:w="4500" w:type="pct"/>
          <w:tcBorders>
            <w:top w:val="single" w:sz="4" w:space="0" w:color="auto"/>
          </w:tcBorders>
        </w:tcPr>
        <w:p w:rsidR="00913661" w:rsidRDefault="00B145C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913661">
                <w:rPr>
                  <w:i/>
                </w:rPr>
                <w:t>Lourdes Isabel Ruiz Ortega</w:t>
              </w:r>
            </w:sdtContent>
          </w:sdt>
          <w:r w:rsidR="00913661">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913661">
                <w:rPr>
                  <w:i/>
                </w:rPr>
                <w:t>Grado en Medicina – Facultad de Medicina y Ciencias de la salud - Universidad de Oviedo</w:t>
              </w:r>
            </w:sdtContent>
          </w:sdt>
        </w:p>
      </w:tc>
    </w:tr>
  </w:tbl>
  <w:p w:rsidR="00913661" w:rsidRDefault="009136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13661">
      <w:tc>
        <w:tcPr>
          <w:tcW w:w="4500" w:type="pct"/>
          <w:tcBorders>
            <w:top w:val="single" w:sz="4" w:space="0" w:color="000000" w:themeColor="text1"/>
          </w:tcBorders>
        </w:tcPr>
        <w:p w:rsidR="00913661" w:rsidRDefault="00B145C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913661">
                <w:t>Grado en Medicina – Facultad de Medicina y Ciencias de la salud - Universidad de Oviedo</w:t>
              </w:r>
            </w:sdtContent>
          </w:sdt>
          <w:r w:rsidR="00913661">
            <w:t xml:space="preserve"> |</w:t>
          </w:r>
          <w:r w:rsidR="00913661"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913661">
                <w:rPr>
                  <w:i/>
                </w:rPr>
                <w:t>Lourdes Isabel Ruiz Ortega</w:t>
              </w:r>
            </w:sdtContent>
          </w:sdt>
        </w:p>
      </w:tc>
      <w:tc>
        <w:tcPr>
          <w:tcW w:w="500" w:type="pct"/>
          <w:tcBorders>
            <w:top w:val="single" w:sz="4" w:space="0" w:color="726056" w:themeColor="accent2"/>
          </w:tcBorders>
          <w:shd w:val="clear" w:color="auto" w:fill="554740" w:themeFill="accent2" w:themeFillShade="BF"/>
        </w:tcPr>
        <w:p w:rsidR="00913661" w:rsidRDefault="00913661">
          <w:pPr>
            <w:pStyle w:val="Encabezado"/>
            <w:rPr>
              <w:color w:val="FFFFFF" w:themeColor="background1"/>
            </w:rPr>
          </w:pPr>
          <w:r>
            <w:fldChar w:fldCharType="begin"/>
          </w:r>
          <w:r>
            <w:instrText xml:space="preserve"> PAGE   \* MERGEFORMAT </w:instrText>
          </w:r>
          <w:r>
            <w:fldChar w:fldCharType="separate"/>
          </w:r>
          <w:r w:rsidR="00FC5120" w:rsidRPr="00FC5120">
            <w:rPr>
              <w:noProof/>
              <w:color w:val="FFFFFF" w:themeColor="background1"/>
            </w:rPr>
            <w:t>23</w:t>
          </w:r>
          <w:r>
            <w:rPr>
              <w:noProof/>
              <w:color w:val="FFFFFF" w:themeColor="background1"/>
            </w:rPr>
            <w:fldChar w:fldCharType="end"/>
          </w:r>
        </w:p>
      </w:tc>
    </w:tr>
  </w:tbl>
  <w:p w:rsidR="00913661" w:rsidRDefault="00913661"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13661" w:rsidTr="009D1163">
      <w:tc>
        <w:tcPr>
          <w:tcW w:w="4500" w:type="pct"/>
          <w:tcBorders>
            <w:top w:val="single" w:sz="4" w:space="0" w:color="000000" w:themeColor="text1"/>
          </w:tcBorders>
        </w:tcPr>
        <w:p w:rsidR="00913661" w:rsidRDefault="00B145CC"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913661">
                <w:t>Grado en Medicina – Facultad de Medicina y Ciencias de la salud - Universidad de Oviedo</w:t>
              </w:r>
            </w:sdtContent>
          </w:sdt>
          <w:r w:rsidR="00913661">
            <w:t xml:space="preserve"> |</w:t>
          </w:r>
          <w:r w:rsidR="00913661"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913661">
                <w:rPr>
                  <w:i/>
                </w:rPr>
                <w:t>Lourdes Isabel Ruiz Ortega</w:t>
              </w:r>
            </w:sdtContent>
          </w:sdt>
        </w:p>
      </w:tc>
      <w:tc>
        <w:tcPr>
          <w:tcW w:w="500" w:type="pct"/>
          <w:tcBorders>
            <w:top w:val="single" w:sz="4" w:space="0" w:color="726056" w:themeColor="accent2"/>
          </w:tcBorders>
          <w:shd w:val="clear" w:color="auto" w:fill="554740" w:themeFill="accent2" w:themeFillShade="BF"/>
        </w:tcPr>
        <w:p w:rsidR="00913661" w:rsidRDefault="00913661" w:rsidP="009D1163">
          <w:pPr>
            <w:pStyle w:val="Encabezado"/>
            <w:rPr>
              <w:color w:val="FFFFFF" w:themeColor="background1"/>
            </w:rPr>
          </w:pPr>
          <w:r>
            <w:fldChar w:fldCharType="begin"/>
          </w:r>
          <w:r>
            <w:instrText xml:space="preserve"> PAGE   \* MERGEFORMAT </w:instrText>
          </w:r>
          <w:r>
            <w:fldChar w:fldCharType="separate"/>
          </w:r>
          <w:r w:rsidR="005B2838" w:rsidRPr="005B2838">
            <w:rPr>
              <w:noProof/>
              <w:color w:val="FFFFFF" w:themeColor="background1"/>
            </w:rPr>
            <w:t>9</w:t>
          </w:r>
          <w:r>
            <w:rPr>
              <w:noProof/>
              <w:color w:val="FFFFFF" w:themeColor="background1"/>
            </w:rPr>
            <w:fldChar w:fldCharType="end"/>
          </w:r>
        </w:p>
      </w:tc>
    </w:tr>
  </w:tbl>
  <w:p w:rsidR="00913661" w:rsidRDefault="00913661"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CC" w:rsidRDefault="00B145CC" w:rsidP="00B07406">
      <w:pPr>
        <w:spacing w:after="0" w:line="240" w:lineRule="auto"/>
      </w:pPr>
      <w:r>
        <w:separator/>
      </w:r>
    </w:p>
  </w:footnote>
  <w:footnote w:type="continuationSeparator" w:id="0">
    <w:p w:rsidR="00B145CC" w:rsidRDefault="00B145CC" w:rsidP="00B07406">
      <w:pPr>
        <w:spacing w:after="0" w:line="240" w:lineRule="auto"/>
      </w:pPr>
      <w:r>
        <w:continuationSeparator/>
      </w:r>
    </w:p>
  </w:footnote>
  <w:footnote w:id="1">
    <w:p w:rsidR="00913661" w:rsidRDefault="00913661"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913661" w:rsidRDefault="00913661">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913661" w:rsidRDefault="00913661"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913661" w:rsidRDefault="00913661">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913661" w:rsidRDefault="00913661"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913661" w:rsidRDefault="00913661" w:rsidP="00C0490A">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B145CC"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913661">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B145CC"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913661">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B145CC"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322958132"/>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913661">
          <w:rPr>
            <w:b/>
          </w:rPr>
          <w:t>Tratamiento endovascular de aneurismas cerebrales incidentales</w:t>
        </w:r>
      </w:sdtContent>
    </w:sdt>
    <w:r w:rsidR="00913661">
      <w:rPr>
        <w:rFonts w:asciiTheme="majorHAnsi" w:eastAsiaTheme="majorEastAsia" w:hAnsiTheme="majorHAnsi" w:cstheme="majorBidi"/>
        <w:sz w:val="32"/>
        <w:szCs w:val="32"/>
      </w:rPr>
      <w:t xml:space="preserve"> </w:t>
    </w:r>
    <w:r w:rsidR="00913661">
      <w:t>|</w:t>
    </w:r>
    <w:r w:rsidR="00913661">
      <w:rPr>
        <w:rFonts w:asciiTheme="majorHAnsi" w:eastAsiaTheme="majorEastAsia" w:hAnsiTheme="majorHAnsi" w:cstheme="majorBidi"/>
        <w:sz w:val="32"/>
        <w:szCs w:val="32"/>
      </w:rPr>
      <w:t xml:space="preserve"> </w:t>
    </w:r>
    <w:r w:rsidR="00913661" w:rsidRPr="0087575A">
      <w:rPr>
        <w:i/>
      </w:rPr>
      <w:fldChar w:fldCharType="begin"/>
    </w:r>
    <w:r w:rsidR="00913661" w:rsidRPr="0087575A">
      <w:rPr>
        <w:i/>
      </w:rPr>
      <w:instrText xml:space="preserve"> STYLEREF  "1"  </w:instrText>
    </w:r>
    <w:r w:rsidR="00913661" w:rsidRPr="0087575A">
      <w:rPr>
        <w:i/>
      </w:rPr>
      <w:fldChar w:fldCharType="separate"/>
    </w:r>
    <w:r w:rsidR="00D25C8F">
      <w:rPr>
        <w:i/>
        <w:noProof/>
      </w:rPr>
      <w:t>Resultados</w:t>
    </w:r>
    <w:r w:rsidR="00913661" w:rsidRPr="0087575A">
      <w:rPr>
        <w:i/>
      </w:rPr>
      <w:fldChar w:fldCharType="end"/>
    </w:r>
  </w:p>
  <w:p w:rsidR="00913661" w:rsidRDefault="0091366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FC5120">
      <w:rPr>
        <w:i/>
        <w:noProof/>
      </w:rPr>
      <w:t>Discusión</w:t>
    </w:r>
    <w:r w:rsidRPr="003B0263">
      <w:rPr>
        <w:i/>
      </w:rPr>
      <w:fldChar w:fldCharType="end"/>
    </w:r>
    <w:r>
      <w:rPr>
        <w:i/>
      </w:rPr>
      <w:t xml:space="preserve"> </w:t>
    </w:r>
    <w:r>
      <w:t xml:space="preserve">| </w:t>
    </w:r>
    <w:sdt>
      <w:sdtPr>
        <w:rPr>
          <w:b/>
        </w:rPr>
        <w:alias w:val="Título"/>
        <w:id w:val="-516309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913661" w:rsidRDefault="0091366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931864607"/>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913661" w:rsidRDefault="009136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3"/>
  </w:num>
  <w:num w:numId="7">
    <w:abstractNumId w:val="2"/>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F0A"/>
    <w:rsid w:val="000038F5"/>
    <w:rsid w:val="00010FAF"/>
    <w:rsid w:val="00017FB6"/>
    <w:rsid w:val="00022926"/>
    <w:rsid w:val="000266B2"/>
    <w:rsid w:val="00026A6A"/>
    <w:rsid w:val="000325ED"/>
    <w:rsid w:val="00037B6C"/>
    <w:rsid w:val="0004146D"/>
    <w:rsid w:val="00042540"/>
    <w:rsid w:val="000438C9"/>
    <w:rsid w:val="00045453"/>
    <w:rsid w:val="000560E3"/>
    <w:rsid w:val="000659CC"/>
    <w:rsid w:val="00066356"/>
    <w:rsid w:val="000703FC"/>
    <w:rsid w:val="00075754"/>
    <w:rsid w:val="000815A5"/>
    <w:rsid w:val="0008664F"/>
    <w:rsid w:val="00087411"/>
    <w:rsid w:val="00097FB6"/>
    <w:rsid w:val="000A565F"/>
    <w:rsid w:val="000A5B23"/>
    <w:rsid w:val="000A6662"/>
    <w:rsid w:val="000C7C78"/>
    <w:rsid w:val="000D3E2E"/>
    <w:rsid w:val="000D66ED"/>
    <w:rsid w:val="000D67BE"/>
    <w:rsid w:val="000E1BC9"/>
    <w:rsid w:val="000E2038"/>
    <w:rsid w:val="000E3E74"/>
    <w:rsid w:val="000E470F"/>
    <w:rsid w:val="000F6BED"/>
    <w:rsid w:val="00104333"/>
    <w:rsid w:val="001061F1"/>
    <w:rsid w:val="00106728"/>
    <w:rsid w:val="00111129"/>
    <w:rsid w:val="00121126"/>
    <w:rsid w:val="0012148F"/>
    <w:rsid w:val="001305AE"/>
    <w:rsid w:val="001327DC"/>
    <w:rsid w:val="00132CDC"/>
    <w:rsid w:val="00134399"/>
    <w:rsid w:val="001423BF"/>
    <w:rsid w:val="00144A9B"/>
    <w:rsid w:val="00147D13"/>
    <w:rsid w:val="00156B56"/>
    <w:rsid w:val="00157CEE"/>
    <w:rsid w:val="00164CEA"/>
    <w:rsid w:val="001650DE"/>
    <w:rsid w:val="00167FD1"/>
    <w:rsid w:val="00171FF3"/>
    <w:rsid w:val="0017479F"/>
    <w:rsid w:val="00180199"/>
    <w:rsid w:val="00181C82"/>
    <w:rsid w:val="00186877"/>
    <w:rsid w:val="00186E58"/>
    <w:rsid w:val="00191004"/>
    <w:rsid w:val="00193DAE"/>
    <w:rsid w:val="00195D6F"/>
    <w:rsid w:val="001A0565"/>
    <w:rsid w:val="001A1A17"/>
    <w:rsid w:val="001A776F"/>
    <w:rsid w:val="001B694E"/>
    <w:rsid w:val="001C0498"/>
    <w:rsid w:val="001C0796"/>
    <w:rsid w:val="001D1746"/>
    <w:rsid w:val="001E04F5"/>
    <w:rsid w:val="001E2631"/>
    <w:rsid w:val="001E3D73"/>
    <w:rsid w:val="001E6977"/>
    <w:rsid w:val="001E6F28"/>
    <w:rsid w:val="001E752C"/>
    <w:rsid w:val="001F0B4B"/>
    <w:rsid w:val="001F282C"/>
    <w:rsid w:val="001F557A"/>
    <w:rsid w:val="0020056E"/>
    <w:rsid w:val="0020606F"/>
    <w:rsid w:val="00210AAD"/>
    <w:rsid w:val="00212745"/>
    <w:rsid w:val="00214244"/>
    <w:rsid w:val="00214852"/>
    <w:rsid w:val="0021485C"/>
    <w:rsid w:val="00215A22"/>
    <w:rsid w:val="00231DCA"/>
    <w:rsid w:val="002356C8"/>
    <w:rsid w:val="00252405"/>
    <w:rsid w:val="002534F8"/>
    <w:rsid w:val="00255B34"/>
    <w:rsid w:val="00255E6E"/>
    <w:rsid w:val="00260B41"/>
    <w:rsid w:val="00263FC7"/>
    <w:rsid w:val="002676DF"/>
    <w:rsid w:val="002701A3"/>
    <w:rsid w:val="00271364"/>
    <w:rsid w:val="002961DD"/>
    <w:rsid w:val="002A60F6"/>
    <w:rsid w:val="002B189A"/>
    <w:rsid w:val="002B219D"/>
    <w:rsid w:val="002B3996"/>
    <w:rsid w:val="002B3CAD"/>
    <w:rsid w:val="002B4119"/>
    <w:rsid w:val="002B6A0D"/>
    <w:rsid w:val="002B770A"/>
    <w:rsid w:val="002C4EC4"/>
    <w:rsid w:val="002C55F2"/>
    <w:rsid w:val="002C6295"/>
    <w:rsid w:val="002D14D9"/>
    <w:rsid w:val="002D30A4"/>
    <w:rsid w:val="002D692F"/>
    <w:rsid w:val="002E3A62"/>
    <w:rsid w:val="002E5074"/>
    <w:rsid w:val="002E5437"/>
    <w:rsid w:val="002F2F76"/>
    <w:rsid w:val="002F4B98"/>
    <w:rsid w:val="00301196"/>
    <w:rsid w:val="003012BD"/>
    <w:rsid w:val="0030399E"/>
    <w:rsid w:val="0031122F"/>
    <w:rsid w:val="00320ABA"/>
    <w:rsid w:val="003228F1"/>
    <w:rsid w:val="0032623D"/>
    <w:rsid w:val="0032689A"/>
    <w:rsid w:val="0032737D"/>
    <w:rsid w:val="0033051E"/>
    <w:rsid w:val="00330790"/>
    <w:rsid w:val="00330A73"/>
    <w:rsid w:val="003310A7"/>
    <w:rsid w:val="00334B33"/>
    <w:rsid w:val="00336DF9"/>
    <w:rsid w:val="00337A77"/>
    <w:rsid w:val="00345837"/>
    <w:rsid w:val="00346245"/>
    <w:rsid w:val="00346491"/>
    <w:rsid w:val="003515D8"/>
    <w:rsid w:val="00352497"/>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3F7C40"/>
    <w:rsid w:val="0040129C"/>
    <w:rsid w:val="00404AFA"/>
    <w:rsid w:val="00410063"/>
    <w:rsid w:val="004111B0"/>
    <w:rsid w:val="00412BCA"/>
    <w:rsid w:val="0041342B"/>
    <w:rsid w:val="004160BD"/>
    <w:rsid w:val="004161B2"/>
    <w:rsid w:val="00423F19"/>
    <w:rsid w:val="004261CF"/>
    <w:rsid w:val="004267D5"/>
    <w:rsid w:val="00433C0D"/>
    <w:rsid w:val="00436C0A"/>
    <w:rsid w:val="004445C9"/>
    <w:rsid w:val="00446BA8"/>
    <w:rsid w:val="004523AB"/>
    <w:rsid w:val="00453D41"/>
    <w:rsid w:val="00454853"/>
    <w:rsid w:val="00474EE7"/>
    <w:rsid w:val="00477AFD"/>
    <w:rsid w:val="004905BE"/>
    <w:rsid w:val="004907C7"/>
    <w:rsid w:val="00492022"/>
    <w:rsid w:val="00492DB2"/>
    <w:rsid w:val="00494357"/>
    <w:rsid w:val="004A2FC1"/>
    <w:rsid w:val="004A4BEC"/>
    <w:rsid w:val="004B006F"/>
    <w:rsid w:val="004B37C8"/>
    <w:rsid w:val="004C377A"/>
    <w:rsid w:val="004C5B48"/>
    <w:rsid w:val="004D03C8"/>
    <w:rsid w:val="004D075D"/>
    <w:rsid w:val="004D393C"/>
    <w:rsid w:val="00502005"/>
    <w:rsid w:val="0051374B"/>
    <w:rsid w:val="0051698F"/>
    <w:rsid w:val="005202CB"/>
    <w:rsid w:val="005306B5"/>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422B8"/>
    <w:rsid w:val="00644072"/>
    <w:rsid w:val="00645763"/>
    <w:rsid w:val="00647D10"/>
    <w:rsid w:val="0065023C"/>
    <w:rsid w:val="00655B85"/>
    <w:rsid w:val="006710E7"/>
    <w:rsid w:val="00671AB1"/>
    <w:rsid w:val="0067534C"/>
    <w:rsid w:val="00677232"/>
    <w:rsid w:val="0068134C"/>
    <w:rsid w:val="00690148"/>
    <w:rsid w:val="00690539"/>
    <w:rsid w:val="0069169F"/>
    <w:rsid w:val="00694B5E"/>
    <w:rsid w:val="006B11F6"/>
    <w:rsid w:val="006B4F6F"/>
    <w:rsid w:val="006B5E99"/>
    <w:rsid w:val="006B61B6"/>
    <w:rsid w:val="006B6F18"/>
    <w:rsid w:val="006B77BF"/>
    <w:rsid w:val="006C0203"/>
    <w:rsid w:val="006C0E07"/>
    <w:rsid w:val="006C2A41"/>
    <w:rsid w:val="006C4A9F"/>
    <w:rsid w:val="006C6606"/>
    <w:rsid w:val="006E5F49"/>
    <w:rsid w:val="006E751B"/>
    <w:rsid w:val="006F3E10"/>
    <w:rsid w:val="006F65C4"/>
    <w:rsid w:val="006F6E87"/>
    <w:rsid w:val="00703BA3"/>
    <w:rsid w:val="00704100"/>
    <w:rsid w:val="00706D99"/>
    <w:rsid w:val="0071159E"/>
    <w:rsid w:val="00712B41"/>
    <w:rsid w:val="007132F8"/>
    <w:rsid w:val="00716004"/>
    <w:rsid w:val="007211EF"/>
    <w:rsid w:val="00727085"/>
    <w:rsid w:val="00730EF9"/>
    <w:rsid w:val="00731971"/>
    <w:rsid w:val="00731A25"/>
    <w:rsid w:val="007331AD"/>
    <w:rsid w:val="00734045"/>
    <w:rsid w:val="00735B68"/>
    <w:rsid w:val="00740D0A"/>
    <w:rsid w:val="00742337"/>
    <w:rsid w:val="00746B6E"/>
    <w:rsid w:val="00747039"/>
    <w:rsid w:val="0075488E"/>
    <w:rsid w:val="00754C1C"/>
    <w:rsid w:val="00756AFA"/>
    <w:rsid w:val="00761BDF"/>
    <w:rsid w:val="00761F38"/>
    <w:rsid w:val="007708BB"/>
    <w:rsid w:val="00770CE2"/>
    <w:rsid w:val="00776A3C"/>
    <w:rsid w:val="00780E86"/>
    <w:rsid w:val="00785377"/>
    <w:rsid w:val="0078771F"/>
    <w:rsid w:val="00793DA5"/>
    <w:rsid w:val="00796C4E"/>
    <w:rsid w:val="007A51F4"/>
    <w:rsid w:val="007B2268"/>
    <w:rsid w:val="007B2621"/>
    <w:rsid w:val="007B51B8"/>
    <w:rsid w:val="007B5ADD"/>
    <w:rsid w:val="007C3483"/>
    <w:rsid w:val="007C46D1"/>
    <w:rsid w:val="007C53E5"/>
    <w:rsid w:val="007C6AAF"/>
    <w:rsid w:val="007D10D8"/>
    <w:rsid w:val="007D3BE5"/>
    <w:rsid w:val="007D46DA"/>
    <w:rsid w:val="007E0057"/>
    <w:rsid w:val="007E0EDB"/>
    <w:rsid w:val="007E5172"/>
    <w:rsid w:val="007E6E05"/>
    <w:rsid w:val="007F5861"/>
    <w:rsid w:val="00801DF3"/>
    <w:rsid w:val="0080226F"/>
    <w:rsid w:val="00802EB0"/>
    <w:rsid w:val="008030F4"/>
    <w:rsid w:val="00807916"/>
    <w:rsid w:val="00811B54"/>
    <w:rsid w:val="00816CDF"/>
    <w:rsid w:val="008221B8"/>
    <w:rsid w:val="00823DA4"/>
    <w:rsid w:val="00824C19"/>
    <w:rsid w:val="00826DE3"/>
    <w:rsid w:val="0083359A"/>
    <w:rsid w:val="00833CD5"/>
    <w:rsid w:val="008404D4"/>
    <w:rsid w:val="00840D43"/>
    <w:rsid w:val="008428FC"/>
    <w:rsid w:val="008443CD"/>
    <w:rsid w:val="00844702"/>
    <w:rsid w:val="0084616B"/>
    <w:rsid w:val="00853074"/>
    <w:rsid w:val="008555DE"/>
    <w:rsid w:val="0085785E"/>
    <w:rsid w:val="00861FE7"/>
    <w:rsid w:val="00862E9D"/>
    <w:rsid w:val="00866F51"/>
    <w:rsid w:val="0087324A"/>
    <w:rsid w:val="0087418A"/>
    <w:rsid w:val="0087575A"/>
    <w:rsid w:val="0088359D"/>
    <w:rsid w:val="00886FBB"/>
    <w:rsid w:val="00892269"/>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6665"/>
    <w:rsid w:val="00921568"/>
    <w:rsid w:val="00926994"/>
    <w:rsid w:val="00945E3B"/>
    <w:rsid w:val="009477BA"/>
    <w:rsid w:val="0095034A"/>
    <w:rsid w:val="009521DB"/>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3F9E"/>
    <w:rsid w:val="009A4317"/>
    <w:rsid w:val="009A505A"/>
    <w:rsid w:val="009B1F46"/>
    <w:rsid w:val="009B203D"/>
    <w:rsid w:val="009B2CDB"/>
    <w:rsid w:val="009B4055"/>
    <w:rsid w:val="009B553E"/>
    <w:rsid w:val="009B719A"/>
    <w:rsid w:val="009B7B32"/>
    <w:rsid w:val="009C136D"/>
    <w:rsid w:val="009C554A"/>
    <w:rsid w:val="009D1163"/>
    <w:rsid w:val="009D5A70"/>
    <w:rsid w:val="009D7FEC"/>
    <w:rsid w:val="009F186F"/>
    <w:rsid w:val="009F3E84"/>
    <w:rsid w:val="009F7FD1"/>
    <w:rsid w:val="00A055C0"/>
    <w:rsid w:val="00A068B3"/>
    <w:rsid w:val="00A078AC"/>
    <w:rsid w:val="00A07F74"/>
    <w:rsid w:val="00A158BF"/>
    <w:rsid w:val="00A17939"/>
    <w:rsid w:val="00A2064D"/>
    <w:rsid w:val="00A230C9"/>
    <w:rsid w:val="00A30F9D"/>
    <w:rsid w:val="00A326B6"/>
    <w:rsid w:val="00A401FA"/>
    <w:rsid w:val="00A41734"/>
    <w:rsid w:val="00A46CB7"/>
    <w:rsid w:val="00A51872"/>
    <w:rsid w:val="00A51FC4"/>
    <w:rsid w:val="00A52B75"/>
    <w:rsid w:val="00A57556"/>
    <w:rsid w:val="00A57B3B"/>
    <w:rsid w:val="00A60373"/>
    <w:rsid w:val="00A60DFE"/>
    <w:rsid w:val="00A700B0"/>
    <w:rsid w:val="00A70FD7"/>
    <w:rsid w:val="00A7132F"/>
    <w:rsid w:val="00A76CCA"/>
    <w:rsid w:val="00A779A7"/>
    <w:rsid w:val="00AA12F8"/>
    <w:rsid w:val="00AA4566"/>
    <w:rsid w:val="00AB6AAC"/>
    <w:rsid w:val="00AB772A"/>
    <w:rsid w:val="00AC7702"/>
    <w:rsid w:val="00AD7442"/>
    <w:rsid w:val="00AE03D3"/>
    <w:rsid w:val="00AE1648"/>
    <w:rsid w:val="00AE24A5"/>
    <w:rsid w:val="00AE7441"/>
    <w:rsid w:val="00AF0C8D"/>
    <w:rsid w:val="00AF1319"/>
    <w:rsid w:val="00AF28A5"/>
    <w:rsid w:val="00AF7F2C"/>
    <w:rsid w:val="00B026A8"/>
    <w:rsid w:val="00B03153"/>
    <w:rsid w:val="00B035F3"/>
    <w:rsid w:val="00B0541B"/>
    <w:rsid w:val="00B07406"/>
    <w:rsid w:val="00B1278B"/>
    <w:rsid w:val="00B145CC"/>
    <w:rsid w:val="00B1669A"/>
    <w:rsid w:val="00B217A5"/>
    <w:rsid w:val="00B24195"/>
    <w:rsid w:val="00B272D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329A4"/>
    <w:rsid w:val="00C35549"/>
    <w:rsid w:val="00C3570C"/>
    <w:rsid w:val="00C44778"/>
    <w:rsid w:val="00C46346"/>
    <w:rsid w:val="00C541A9"/>
    <w:rsid w:val="00C55872"/>
    <w:rsid w:val="00C567E4"/>
    <w:rsid w:val="00C609B5"/>
    <w:rsid w:val="00C767E1"/>
    <w:rsid w:val="00C822C2"/>
    <w:rsid w:val="00C8582E"/>
    <w:rsid w:val="00C860C6"/>
    <w:rsid w:val="00C86B0A"/>
    <w:rsid w:val="00C873A1"/>
    <w:rsid w:val="00C90D84"/>
    <w:rsid w:val="00C90F1A"/>
    <w:rsid w:val="00C92367"/>
    <w:rsid w:val="00C94049"/>
    <w:rsid w:val="00C94258"/>
    <w:rsid w:val="00C960E7"/>
    <w:rsid w:val="00CA043C"/>
    <w:rsid w:val="00CA6F6B"/>
    <w:rsid w:val="00CB11F7"/>
    <w:rsid w:val="00CC1FAA"/>
    <w:rsid w:val="00CE72B9"/>
    <w:rsid w:val="00CF07A9"/>
    <w:rsid w:val="00CF41C8"/>
    <w:rsid w:val="00D006B4"/>
    <w:rsid w:val="00D0217A"/>
    <w:rsid w:val="00D02406"/>
    <w:rsid w:val="00D03706"/>
    <w:rsid w:val="00D20820"/>
    <w:rsid w:val="00D25404"/>
    <w:rsid w:val="00D25C8F"/>
    <w:rsid w:val="00D25E9F"/>
    <w:rsid w:val="00D26449"/>
    <w:rsid w:val="00D266FC"/>
    <w:rsid w:val="00D32AFD"/>
    <w:rsid w:val="00D373DB"/>
    <w:rsid w:val="00D42141"/>
    <w:rsid w:val="00D4577F"/>
    <w:rsid w:val="00D5353F"/>
    <w:rsid w:val="00D55F4B"/>
    <w:rsid w:val="00D56B1D"/>
    <w:rsid w:val="00D56B90"/>
    <w:rsid w:val="00D64856"/>
    <w:rsid w:val="00D83829"/>
    <w:rsid w:val="00D93D36"/>
    <w:rsid w:val="00D94B1E"/>
    <w:rsid w:val="00DA1786"/>
    <w:rsid w:val="00DA1884"/>
    <w:rsid w:val="00DA22C7"/>
    <w:rsid w:val="00DA477A"/>
    <w:rsid w:val="00DA56C7"/>
    <w:rsid w:val="00DB10AA"/>
    <w:rsid w:val="00DB20C2"/>
    <w:rsid w:val="00DB32CD"/>
    <w:rsid w:val="00DB36DF"/>
    <w:rsid w:val="00DB6C4A"/>
    <w:rsid w:val="00DC138E"/>
    <w:rsid w:val="00DD408A"/>
    <w:rsid w:val="00DE44F9"/>
    <w:rsid w:val="00DE4DE1"/>
    <w:rsid w:val="00DF4032"/>
    <w:rsid w:val="00DF61ED"/>
    <w:rsid w:val="00E00A5F"/>
    <w:rsid w:val="00E029A9"/>
    <w:rsid w:val="00E04B80"/>
    <w:rsid w:val="00E04F71"/>
    <w:rsid w:val="00E06FA2"/>
    <w:rsid w:val="00E104CA"/>
    <w:rsid w:val="00E20028"/>
    <w:rsid w:val="00E2056F"/>
    <w:rsid w:val="00E22B42"/>
    <w:rsid w:val="00E3034B"/>
    <w:rsid w:val="00E33441"/>
    <w:rsid w:val="00E34EB1"/>
    <w:rsid w:val="00E34FAA"/>
    <w:rsid w:val="00E3729E"/>
    <w:rsid w:val="00E379FC"/>
    <w:rsid w:val="00E47FF7"/>
    <w:rsid w:val="00E5355B"/>
    <w:rsid w:val="00E53788"/>
    <w:rsid w:val="00E563D8"/>
    <w:rsid w:val="00E61AE2"/>
    <w:rsid w:val="00E7284D"/>
    <w:rsid w:val="00E73C97"/>
    <w:rsid w:val="00E74392"/>
    <w:rsid w:val="00E75627"/>
    <w:rsid w:val="00E86396"/>
    <w:rsid w:val="00E91749"/>
    <w:rsid w:val="00E93E23"/>
    <w:rsid w:val="00E96C4F"/>
    <w:rsid w:val="00EB3114"/>
    <w:rsid w:val="00EB4FA9"/>
    <w:rsid w:val="00EB7406"/>
    <w:rsid w:val="00EC1B2B"/>
    <w:rsid w:val="00EC451A"/>
    <w:rsid w:val="00EC7595"/>
    <w:rsid w:val="00ED447D"/>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43E28"/>
    <w:rsid w:val="00F547C9"/>
    <w:rsid w:val="00F5503D"/>
    <w:rsid w:val="00F559C3"/>
    <w:rsid w:val="00F56D6A"/>
    <w:rsid w:val="00F57602"/>
    <w:rsid w:val="00F617F1"/>
    <w:rsid w:val="00F61E75"/>
    <w:rsid w:val="00F632EC"/>
    <w:rsid w:val="00F63640"/>
    <w:rsid w:val="00F654E9"/>
    <w:rsid w:val="00F657AA"/>
    <w:rsid w:val="00F6753A"/>
    <w:rsid w:val="00F80935"/>
    <w:rsid w:val="00F81FA2"/>
    <w:rsid w:val="00F87F3E"/>
    <w:rsid w:val="00F95F95"/>
    <w:rsid w:val="00F9739C"/>
    <w:rsid w:val="00FA0CEB"/>
    <w:rsid w:val="00FA13DE"/>
    <w:rsid w:val="00FC2304"/>
    <w:rsid w:val="00FC4C04"/>
    <w:rsid w:val="00FC5120"/>
    <w:rsid w:val="00FC632E"/>
    <w:rsid w:val="00FE3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image" Target="media/image1.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chart" Target="charts/chart11.xml"/><Relationship Id="rId42" Type="http://schemas.openxmlformats.org/officeDocument/2006/relationships/chart" Target="charts/chart1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chart" Target="charts/chart3.xml"/><Relationship Id="rId33" Type="http://schemas.openxmlformats.org/officeDocument/2006/relationships/chart" Target="charts/chart10.xml"/><Relationship Id="rId38" Type="http://schemas.openxmlformats.org/officeDocument/2006/relationships/header" Target="header3.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chart" Target="charts/chart6.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2.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header" Target="header5.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3.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chart" Target="charts/chart8.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chart" Target="charts/chart1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package" Target="../embeddings/Hoja_de_c_lculo_de_Microsoft_Excel14.xlsx"/></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package" Target="../embeddings/Hoja_de_c_lculo_de_Microsoft_Excel15.xlsx"/></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package" Target="../embeddings/Hoja_de_c_lculo_de_Microsoft_Excel16.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Edad y comorbilidades</a:t>
            </a:r>
          </a:p>
        </c:rich>
      </c:tx>
      <c:layout>
        <c:manualLayout>
          <c:xMode val="edge"/>
          <c:yMode val="edge"/>
          <c:x val="0.34206526423003097"/>
          <c:y val="4.2681268250925053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5859246407758352"/>
          <c:y val="0.33119636096676214"/>
          <c:w val="0.71743448658352371"/>
          <c:h val="0.44882198548710822"/>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0.11380481985206395"/>
                  <c:y val="0.16358561062220164"/>
                </c:manualLayout>
              </c:layout>
              <c:showLegendKey val="0"/>
              <c:showVal val="1"/>
              <c:showCatName val="0"/>
              <c:showSerName val="0"/>
              <c:showPercent val="0"/>
              <c:showBubbleSize val="0"/>
            </c:dLbl>
            <c:dLbl>
              <c:idx val="1"/>
              <c:layout>
                <c:manualLayout>
                  <c:x val="-3.2996420901932715E-2"/>
                  <c:y val="-1.5686892079666514E-2"/>
                </c:manualLayout>
              </c:layout>
              <c:showLegendKey val="0"/>
              <c:showVal val="1"/>
              <c:showCatName val="0"/>
              <c:showSerName val="0"/>
              <c:showPercent val="0"/>
              <c:showBubbleSize val="0"/>
            </c:dLbl>
            <c:spPr>
              <a:solidFill>
                <a:schemeClr val="tx1"/>
              </a:solidFill>
            </c:spPr>
            <c:txPr>
              <a:bodyPr/>
              <a:lstStyle/>
              <a:p>
                <a:pPr>
                  <a:defRPr sz="850" baseline="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2458124552612741E-2"/>
                  <c:y val="-1.5312644742936544E-2"/>
                </c:manualLayout>
              </c:layout>
              <c:showLegendKey val="0"/>
              <c:showVal val="1"/>
              <c:showCatName val="0"/>
              <c:showSerName val="0"/>
              <c:showPercent val="0"/>
              <c:showBubbleSize val="0"/>
            </c:dLbl>
            <c:dLbl>
              <c:idx val="1"/>
              <c:layout>
                <c:manualLayout>
                  <c:x val="8.4175137198759242E-2"/>
                  <c:y val="0.2013073953991045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326413696"/>
        <c:axId val="464503936"/>
        <c:axId val="0"/>
      </c:bar3DChart>
      <c:catAx>
        <c:axId val="326413696"/>
        <c:scaling>
          <c:orientation val="minMax"/>
        </c:scaling>
        <c:delete val="0"/>
        <c:axPos val="b"/>
        <c:majorTickMark val="out"/>
        <c:minorTickMark val="none"/>
        <c:tickLblPos val="nextTo"/>
        <c:txPr>
          <a:bodyPr/>
          <a:lstStyle/>
          <a:p>
            <a:pPr>
              <a:defRPr sz="900"/>
            </a:pPr>
            <a:endParaRPr lang="es-ES"/>
          </a:p>
        </c:txPr>
        <c:crossAx val="464503936"/>
        <c:crosses val="autoZero"/>
        <c:auto val="1"/>
        <c:lblAlgn val="ctr"/>
        <c:lblOffset val="100"/>
        <c:noMultiLvlLbl val="0"/>
      </c:catAx>
      <c:valAx>
        <c:axId val="464503936"/>
        <c:scaling>
          <c:orientation val="minMax"/>
        </c:scaling>
        <c:delete val="0"/>
        <c:axPos val="l"/>
        <c:majorGridlines/>
        <c:numFmt formatCode="0.00%" sourceLinked="1"/>
        <c:majorTickMark val="out"/>
        <c:minorTickMark val="none"/>
        <c:tickLblPos val="nextTo"/>
        <c:crossAx val="326413696"/>
        <c:crosses val="autoZero"/>
        <c:crossBetween val="between"/>
      </c:valAx>
      <c:spPr>
        <a:ln w="25400">
          <a:noFill/>
        </a:ln>
      </c:spPr>
    </c:plotArea>
    <c:legend>
      <c:legendPos val="t"/>
      <c:layout>
        <c:manualLayout>
          <c:xMode val="edge"/>
          <c:yMode val="edge"/>
          <c:x val="3.36896239984543E-2"/>
          <c:y val="0.16474417168442179"/>
          <c:w val="0.9600343593414461"/>
          <c:h val="0.1799536822603057"/>
        </c:manualLayout>
      </c:layout>
      <c:overlay val="0"/>
      <c:txPr>
        <a:bodyPr/>
        <a:lstStyle/>
        <a:p>
          <a:pPr>
            <a:defRPr sz="900"/>
          </a:pPr>
          <a:endParaRPr lang="es-ES"/>
        </a:p>
      </c:txPr>
    </c:legend>
    <c:plotVisOnly val="1"/>
    <c:dispBlanksAs val="gap"/>
    <c:showDLblsOverMax val="0"/>
  </c:chart>
  <c:spPr>
    <a:ln>
      <a:gradFill flip="none" rotWithShape="1">
        <a:gsLst>
          <a:gs pos="0">
            <a:schemeClr val="accent1">
              <a:lumMod val="50000"/>
            </a:schemeClr>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30146215708801527"/>
          <c:y val="6.5722812800174764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40171277873"/>
          <c:y val="0.17440024261066403"/>
          <c:w val="0.52421105724773731"/>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474255744"/>
        <c:axId val="474257280"/>
        <c:axId val="0"/>
      </c:bar3DChart>
      <c:catAx>
        <c:axId val="474255744"/>
        <c:scaling>
          <c:orientation val="minMax"/>
        </c:scaling>
        <c:delete val="0"/>
        <c:axPos val="b"/>
        <c:majorTickMark val="out"/>
        <c:minorTickMark val="none"/>
        <c:tickLblPos val="nextTo"/>
        <c:txPr>
          <a:bodyPr/>
          <a:lstStyle/>
          <a:p>
            <a:pPr>
              <a:defRPr sz="900"/>
            </a:pPr>
            <a:endParaRPr lang="es-ES"/>
          </a:p>
        </c:txPr>
        <c:crossAx val="474257280"/>
        <c:crosses val="autoZero"/>
        <c:auto val="1"/>
        <c:lblAlgn val="ctr"/>
        <c:lblOffset val="100"/>
        <c:noMultiLvlLbl val="0"/>
      </c:catAx>
      <c:valAx>
        <c:axId val="474257280"/>
        <c:scaling>
          <c:orientation val="minMax"/>
        </c:scaling>
        <c:delete val="0"/>
        <c:axPos val="l"/>
        <c:majorGridlines/>
        <c:numFmt formatCode="0%" sourceLinked="1"/>
        <c:majorTickMark val="out"/>
        <c:minorTickMark val="none"/>
        <c:tickLblPos val="nextTo"/>
        <c:crossAx val="474255744"/>
        <c:crosses val="autoZero"/>
        <c:crossBetween val="between"/>
      </c:valAx>
    </c:plotArea>
    <c:legend>
      <c:legendPos val="r"/>
      <c:layout>
        <c:manualLayout>
          <c:xMode val="edge"/>
          <c:yMode val="edge"/>
          <c:x val="0.687220267679306"/>
          <c:y val="0.2032923628448883"/>
          <c:w val="0.30650955864559482"/>
          <c:h val="0.63053709749695919"/>
        </c:manualLayout>
      </c:layout>
      <c:overlay val="0"/>
      <c:txPr>
        <a:bodyPr/>
        <a:lstStyle/>
        <a:p>
          <a:pPr>
            <a:defRPr sz="900"/>
          </a:pPr>
          <a:endParaRPr lang="es-ES"/>
        </a:p>
      </c:txPr>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layout>
        <c:manualLayout>
          <c:xMode val="edge"/>
          <c:yMode val="edge"/>
          <c:x val="0.33958360187183007"/>
          <c:y val="4.2476794059279177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03232697051118"/>
          <c:y val="0.21338198578836182"/>
          <c:w val="0.50552861589479403"/>
          <c:h val="0.6386646181422444"/>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tx>
                <c:rich>
                  <a:bodyPr/>
                  <a:lstStyle/>
                  <a:p>
                    <a:r>
                      <a:rPr lang="en-US"/>
                      <a:t>44,4%</a:t>
                    </a:r>
                  </a:p>
                </c:rich>
              </c:tx>
              <c:showLegendKey val="0"/>
              <c:showVal val="1"/>
              <c:showCatName val="0"/>
              <c:showSerName val="0"/>
              <c:showPercent val="0"/>
              <c:showBubbleSize val="0"/>
            </c:dLbl>
            <c:dLbl>
              <c:idx val="1"/>
              <c:layout>
                <c:manualLayout>
                  <c:x val="-1.1525001682481998E-3"/>
                  <c:y val="0.2360296923237018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tx>
                <c:rich>
                  <a:bodyPr/>
                  <a:lstStyle/>
                  <a:p>
                    <a:r>
                      <a:rPr lang="en-US"/>
                      <a:t>55,6%</a:t>
                    </a:r>
                  </a:p>
                </c:rich>
              </c:tx>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474304896"/>
        <c:axId val="474306432"/>
        <c:axId val="0"/>
      </c:bar3DChart>
      <c:catAx>
        <c:axId val="474304896"/>
        <c:scaling>
          <c:orientation val="minMax"/>
        </c:scaling>
        <c:delete val="0"/>
        <c:axPos val="b"/>
        <c:majorTickMark val="out"/>
        <c:minorTickMark val="none"/>
        <c:tickLblPos val="nextTo"/>
        <c:txPr>
          <a:bodyPr/>
          <a:lstStyle/>
          <a:p>
            <a:pPr>
              <a:defRPr sz="900"/>
            </a:pPr>
            <a:endParaRPr lang="es-ES"/>
          </a:p>
        </c:txPr>
        <c:crossAx val="474306432"/>
        <c:crosses val="autoZero"/>
        <c:auto val="1"/>
        <c:lblAlgn val="ctr"/>
        <c:lblOffset val="100"/>
        <c:noMultiLvlLbl val="0"/>
      </c:catAx>
      <c:valAx>
        <c:axId val="474306432"/>
        <c:scaling>
          <c:orientation val="minMax"/>
        </c:scaling>
        <c:delete val="0"/>
        <c:axPos val="l"/>
        <c:majorGridlines/>
        <c:numFmt formatCode="0.0%" sourceLinked="0"/>
        <c:majorTickMark val="out"/>
        <c:minorTickMark val="none"/>
        <c:tickLblPos val="nextTo"/>
        <c:crossAx val="474304896"/>
        <c:crosses val="autoZero"/>
        <c:crossBetween val="between"/>
      </c:valAx>
    </c:plotArea>
    <c:legend>
      <c:legendPos val="r"/>
      <c:layout>
        <c:manualLayout>
          <c:xMode val="edge"/>
          <c:yMode val="edge"/>
          <c:x val="0.66096583196249159"/>
          <c:y val="0.24079956468856026"/>
          <c:w val="0.33198553638242029"/>
          <c:h val="0.58989181230394983"/>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layout>
        <c:manualLayout>
          <c:xMode val="edge"/>
          <c:yMode val="edge"/>
          <c:x val="0.30190308301014612"/>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485485956046539"/>
          <c:y val="0.12562982699788225"/>
          <c:w val="0.55185294002428797"/>
          <c:h val="0.70599945956476107"/>
        </c:manualLayout>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3.6882851475626616E-2"/>
                  <c:y val="0.26225270920889487"/>
                </c:manualLayout>
              </c:layout>
              <c:showLegendKey val="0"/>
              <c:showVal val="1"/>
              <c:showCatName val="0"/>
              <c:showSerName val="0"/>
              <c:showPercent val="0"/>
              <c:showBubbleSize val="0"/>
            </c:dLbl>
            <c:dLbl>
              <c:idx val="1"/>
              <c:layout>
                <c:manualLayout>
                  <c:x val="-8.9158702490432975E-3"/>
                  <c:y val="-6.357180812521134E-4"/>
                </c:manualLayout>
              </c:layout>
              <c:tx>
                <c:rich>
                  <a:bodyPr/>
                  <a:lstStyle/>
                  <a:p>
                    <a:r>
                      <a:rPr lang="en-US"/>
                      <a:t>17,9%</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4.5209673218328625E-2"/>
                  <c:y val="0.26462425325668654"/>
                </c:manualLayout>
              </c:layout>
              <c:showLegendKey val="0"/>
              <c:showVal val="1"/>
              <c:showCatName val="0"/>
              <c:showSerName val="0"/>
              <c:showPercent val="0"/>
              <c:showBubbleSize val="0"/>
            </c:dLbl>
            <c:dLbl>
              <c:idx val="1"/>
              <c:layout>
                <c:manualLayout>
                  <c:x val="3.8745366752820018E-2"/>
                  <c:y val="0.30264818124728282"/>
                </c:manualLayout>
              </c:layout>
              <c:tx>
                <c:rich>
                  <a:bodyPr/>
                  <a:lstStyle/>
                  <a:p>
                    <a:r>
                      <a:rPr lang="en-US"/>
                      <a:t>82,1%</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464572800"/>
        <c:axId val="464574336"/>
        <c:axId val="0"/>
      </c:bar3DChart>
      <c:catAx>
        <c:axId val="464572800"/>
        <c:scaling>
          <c:orientation val="minMax"/>
        </c:scaling>
        <c:delete val="0"/>
        <c:axPos val="b"/>
        <c:majorTickMark val="out"/>
        <c:minorTickMark val="none"/>
        <c:tickLblPos val="nextTo"/>
        <c:txPr>
          <a:bodyPr/>
          <a:lstStyle/>
          <a:p>
            <a:pPr>
              <a:defRPr sz="900"/>
            </a:pPr>
            <a:endParaRPr lang="es-ES"/>
          </a:p>
        </c:txPr>
        <c:crossAx val="464574336"/>
        <c:crosses val="autoZero"/>
        <c:auto val="1"/>
        <c:lblAlgn val="ctr"/>
        <c:lblOffset val="100"/>
        <c:noMultiLvlLbl val="0"/>
      </c:catAx>
      <c:valAx>
        <c:axId val="464574336"/>
        <c:scaling>
          <c:orientation val="minMax"/>
        </c:scaling>
        <c:delete val="0"/>
        <c:axPos val="l"/>
        <c:majorGridlines/>
        <c:numFmt formatCode="0%" sourceLinked="1"/>
        <c:majorTickMark val="out"/>
        <c:minorTickMark val="none"/>
        <c:tickLblPos val="nextTo"/>
        <c:txPr>
          <a:bodyPr/>
          <a:lstStyle/>
          <a:p>
            <a:pPr>
              <a:defRPr sz="1000"/>
            </a:pPr>
            <a:endParaRPr lang="es-ES"/>
          </a:p>
        </c:txPr>
        <c:crossAx val="464572800"/>
        <c:crosses val="autoZero"/>
        <c:crossBetween val="between"/>
      </c:valAx>
    </c:plotArea>
    <c:legend>
      <c:legendPos val="r"/>
      <c:layout>
        <c:manualLayout>
          <c:xMode val="edge"/>
          <c:yMode val="edge"/>
          <c:x val="0.72337094057272688"/>
          <c:y val="0.22037252326699386"/>
          <c:w val="0.26867208443864304"/>
          <c:h val="0.55255661904537379"/>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s-ES" sz="1600"/>
              <a:t>Tamaño</a:t>
            </a:r>
            <a:r>
              <a:rPr lang="es-ES" sz="1600" baseline="0"/>
              <a:t> y localización</a:t>
            </a:r>
            <a:endParaRPr lang="es-ES" sz="1600"/>
          </a:p>
        </c:rich>
      </c:tx>
      <c:overlay val="0"/>
    </c:title>
    <c:autoTitleDeleted val="0"/>
    <c:plotArea>
      <c:layout>
        <c:manualLayout>
          <c:layoutTarget val="inner"/>
          <c:xMode val="edge"/>
          <c:yMode val="edge"/>
          <c:x val="5.7665497959681573E-2"/>
          <c:y val="0.21271714453414842"/>
          <c:w val="0.93407122082712624"/>
          <c:h val="0.60581060278857546"/>
        </c:manualLayout>
      </c:layout>
      <c:lineChart>
        <c:grouping val="standard"/>
        <c:varyColors val="0"/>
        <c:ser>
          <c:idx val="0"/>
          <c:order val="0"/>
          <c:tx>
            <c:strRef>
              <c:f>Hoja1!$B$1</c:f>
              <c:strCache>
                <c:ptCount val="1"/>
                <c:pt idx="0">
                  <c:v>Menor o igual a 5mm</c:v>
                </c:pt>
              </c:strCache>
            </c:strRef>
          </c:tx>
          <c:marker>
            <c:symbol val="none"/>
          </c:marker>
          <c:dLbls>
            <c:dLbl>
              <c:idx val="1"/>
              <c:layout>
                <c:manualLayout>
                  <c:x val="0"/>
                  <c:y val="-4.7789725209080045E-3"/>
                </c:manualLayout>
              </c:layout>
              <c:showLegendKey val="0"/>
              <c:showVal val="1"/>
              <c:showCatName val="0"/>
              <c:showSerName val="0"/>
              <c:showPercent val="0"/>
              <c:showBubbleSize val="0"/>
            </c:dLbl>
            <c:dLbl>
              <c:idx val="2"/>
              <c:layout>
                <c:manualLayout>
                  <c:x val="-3.7037037037037035E-2"/>
                  <c:y val="-5.7347670250896057E-2"/>
                </c:manualLayout>
              </c:layout>
              <c:showLegendKey val="0"/>
              <c:showVal val="1"/>
              <c:showCatName val="0"/>
              <c:showSerName val="0"/>
              <c:showPercent val="0"/>
              <c:showBubbleSize val="0"/>
            </c:dLbl>
            <c:dLbl>
              <c:idx val="3"/>
              <c:layout>
                <c:manualLayout>
                  <c:x val="-8.6419753086419748E-2"/>
                  <c:y val="1.4336917562723928E-2"/>
                </c:manualLayout>
              </c:layout>
              <c:showLegendKey val="0"/>
              <c:showVal val="1"/>
              <c:showCatName val="0"/>
              <c:showSerName val="0"/>
              <c:showPercent val="0"/>
              <c:showBubbleSize val="0"/>
            </c:dLbl>
            <c:dLbl>
              <c:idx val="4"/>
              <c:layout>
                <c:manualLayout>
                  <c:x val="-3.7037037037037035E-2"/>
                  <c:y val="-6.2126642771804151E-2"/>
                </c:manualLayout>
              </c:layout>
              <c:showLegendKey val="0"/>
              <c:showVal val="1"/>
              <c:showCatName val="0"/>
              <c:showSerName val="0"/>
              <c:showPercent val="0"/>
              <c:showBubbleSize val="0"/>
            </c:dLbl>
            <c:dLbl>
              <c:idx val="5"/>
              <c:layout>
                <c:manualLayout>
                  <c:x val="-2.6748971193415638E-2"/>
                  <c:y val="-6.6905615292712148E-2"/>
                </c:manualLayout>
              </c:layout>
              <c:showLegendKey val="0"/>
              <c:showVal val="1"/>
              <c:showCatName val="0"/>
              <c:showSerName val="0"/>
              <c:showPercent val="0"/>
              <c:showBubbleSize val="0"/>
            </c:dLbl>
            <c:spPr>
              <a:solidFill>
                <a:schemeClr val="tx1"/>
              </a:solidFill>
              <a:ln>
                <a:solidFill>
                  <a:schemeClr val="accent1"/>
                </a:solidFill>
              </a:ln>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Hoja1!$B$2:$B$7</c:f>
              <c:numCache>
                <c:formatCode>0%</c:formatCode>
                <c:ptCount val="6"/>
                <c:pt idx="0">
                  <c:v>0.5</c:v>
                </c:pt>
                <c:pt idx="1">
                  <c:v>0</c:v>
                </c:pt>
                <c:pt idx="2" formatCode="0.00%">
                  <c:v>0.214</c:v>
                </c:pt>
                <c:pt idx="3" formatCode="0.00%">
                  <c:v>7.0999999999999994E-2</c:v>
                </c:pt>
                <c:pt idx="4" formatCode="0.00%">
                  <c:v>7.0999999999999994E-2</c:v>
                </c:pt>
                <c:pt idx="5" formatCode="0.00%">
                  <c:v>0.14299999999999999</c:v>
                </c:pt>
              </c:numCache>
            </c:numRef>
          </c:val>
          <c:smooth val="0"/>
        </c:ser>
        <c:ser>
          <c:idx val="1"/>
          <c:order val="1"/>
          <c:tx>
            <c:strRef>
              <c:f>Hoja1!$C$1</c:f>
              <c:strCache>
                <c:ptCount val="1"/>
                <c:pt idx="0">
                  <c:v>Mayor a 5mm</c:v>
                </c:pt>
              </c:strCache>
            </c:strRef>
          </c:tx>
          <c:spPr>
            <a:ln>
              <a:solidFill>
                <a:srgbClr val="9966FF"/>
              </a:solidFill>
            </a:ln>
          </c:spPr>
          <c:marker>
            <c:symbol val="none"/>
          </c:marker>
          <c:dLbls>
            <c:dLbl>
              <c:idx val="3"/>
              <c:layout>
                <c:manualLayout>
                  <c:x val="-1.2345679012345678E-2"/>
                  <c:y val="-6.212701906885295E-2"/>
                </c:manualLayout>
              </c:layout>
              <c:showLegendKey val="0"/>
              <c:showVal val="1"/>
              <c:showCatName val="0"/>
              <c:showSerName val="0"/>
              <c:showPercent val="0"/>
              <c:showBubbleSize val="0"/>
            </c:dLbl>
            <c:spPr>
              <a:solidFill>
                <a:schemeClr val="tx1"/>
              </a:solidFill>
              <a:ln>
                <a:solidFill>
                  <a:srgbClr val="9966FF"/>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Hoja1!$C$2:$C$7</c:f>
              <c:numCache>
                <c:formatCode>0.00%</c:formatCode>
                <c:ptCount val="6"/>
                <c:pt idx="0" formatCode="0%">
                  <c:v>0</c:v>
                </c:pt>
                <c:pt idx="1">
                  <c:v>0.214</c:v>
                </c:pt>
                <c:pt idx="2">
                  <c:v>0.64300000000000002</c:v>
                </c:pt>
                <c:pt idx="3">
                  <c:v>7.0999999999999994E-2</c:v>
                </c:pt>
                <c:pt idx="4" formatCode="0%">
                  <c:v>0</c:v>
                </c:pt>
                <c:pt idx="5">
                  <c:v>7.0999999999999994E-2</c:v>
                </c:pt>
              </c:numCache>
            </c:numRef>
          </c:val>
          <c:smooth val="0"/>
        </c:ser>
        <c:dLbls>
          <c:showLegendKey val="0"/>
          <c:showVal val="0"/>
          <c:showCatName val="0"/>
          <c:showSerName val="0"/>
          <c:showPercent val="0"/>
          <c:showBubbleSize val="0"/>
        </c:dLbls>
        <c:marker val="1"/>
        <c:smooth val="0"/>
        <c:axId val="474607616"/>
        <c:axId val="474609152"/>
      </c:lineChart>
      <c:catAx>
        <c:axId val="474607616"/>
        <c:scaling>
          <c:orientation val="minMax"/>
        </c:scaling>
        <c:delete val="0"/>
        <c:axPos val="b"/>
        <c:majorTickMark val="none"/>
        <c:minorTickMark val="none"/>
        <c:tickLblPos val="nextTo"/>
        <c:crossAx val="474609152"/>
        <c:crosses val="autoZero"/>
        <c:auto val="1"/>
        <c:lblAlgn val="ctr"/>
        <c:lblOffset val="100"/>
        <c:noMultiLvlLbl val="0"/>
      </c:catAx>
      <c:valAx>
        <c:axId val="474609152"/>
        <c:scaling>
          <c:orientation val="minMax"/>
        </c:scaling>
        <c:delete val="0"/>
        <c:axPos val="l"/>
        <c:majorGridlines/>
        <c:numFmt formatCode="0%" sourceLinked="1"/>
        <c:majorTickMark val="none"/>
        <c:minorTickMark val="none"/>
        <c:tickLblPos val="nextTo"/>
        <c:crossAx val="474607616"/>
        <c:crosses val="autoZero"/>
        <c:crossBetween val="between"/>
      </c:valAx>
    </c:plotArea>
    <c:legend>
      <c:legendPos val="r"/>
      <c:layout>
        <c:manualLayout>
          <c:xMode val="edge"/>
          <c:yMode val="edge"/>
          <c:x val="0.74478322154175169"/>
          <c:y val="3.2530879876574575E-2"/>
          <c:w val="0.24081348627717833"/>
          <c:h val="0.17283549233765133"/>
        </c:manualLayout>
      </c:layout>
      <c:overlay val="0"/>
    </c:legend>
    <c:plotVisOnly val="1"/>
    <c:dispBlanksAs val="zero"/>
    <c:showDLblsOverMax val="0"/>
  </c:chart>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Técnica</a:t>
            </a:r>
            <a:r>
              <a:rPr lang="es-ES" sz="1200" baseline="0"/>
              <a:t> deTEV y antiagregación</a:t>
            </a:r>
            <a:endParaRPr lang="es-ES" sz="1200"/>
          </a:p>
        </c:rich>
      </c:tx>
      <c:layout>
        <c:manualLayout>
          <c:xMode val="edge"/>
          <c:yMode val="edge"/>
          <c:x val="0.24541511258461113"/>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35304139614126"/>
          <c:y val="0.17285429141716566"/>
          <c:w val="0.62537219689644064"/>
          <c:h val="0.69156806218894773"/>
        </c:manualLayout>
      </c:layout>
      <c:bar3DChart>
        <c:barDir val="col"/>
        <c:grouping val="clustered"/>
        <c:varyColors val="0"/>
        <c:ser>
          <c:idx val="0"/>
          <c:order val="0"/>
          <c:tx>
            <c:strRef>
              <c:f>Hoja1!$B$1</c:f>
              <c:strCache>
                <c:ptCount val="1"/>
                <c:pt idx="0">
                  <c:v>Simple</c:v>
                </c:pt>
              </c:strCache>
            </c:strRef>
          </c:tx>
          <c:invertIfNegative val="0"/>
          <c:dLbls>
            <c:dLbl>
              <c:idx val="0"/>
              <c:layout>
                <c:manualLayout>
                  <c:x val="-4.574904098526146E-2"/>
                  <c:y val="-1.3873757583580741E-2"/>
                </c:manualLayout>
              </c:layout>
              <c:showLegendKey val="0"/>
              <c:showVal val="1"/>
              <c:showCatName val="0"/>
              <c:showSerName val="0"/>
              <c:showPercent val="0"/>
              <c:showBubbleSize val="0"/>
            </c:dLbl>
            <c:dLbl>
              <c:idx val="1"/>
              <c:layout>
                <c:manualLayout>
                  <c:x val="9.7614240527626357E-3"/>
                  <c:y val="0.40051059191371569"/>
                </c:manualLayout>
              </c:layout>
              <c:showLegendKey val="0"/>
              <c:showVal val="1"/>
              <c:showCatName val="0"/>
              <c:showSerName val="0"/>
              <c:showPercent val="0"/>
              <c:showBubbleSize val="0"/>
            </c:dLbl>
            <c:numFmt formatCode="0.0%" sourceLinked="0"/>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Remodeling + stent</c:v>
                </c:pt>
                <c:pt idx="1">
                  <c:v>Coils</c:v>
                </c:pt>
              </c:strCache>
            </c:strRef>
          </c:cat>
          <c:val>
            <c:numRef>
              <c:f>Hoja1!$B$2:$B$3</c:f>
              <c:numCache>
                <c:formatCode>0.00%</c:formatCode>
                <c:ptCount val="2"/>
                <c:pt idx="0">
                  <c:v>0.13</c:v>
                </c:pt>
                <c:pt idx="1">
                  <c:v>0.85699999999999998</c:v>
                </c:pt>
              </c:numCache>
            </c:numRef>
          </c:val>
        </c:ser>
        <c:ser>
          <c:idx val="1"/>
          <c:order val="1"/>
          <c:tx>
            <c:strRef>
              <c:f>Hoja1!$C$1</c:f>
              <c:strCache>
                <c:ptCount val="1"/>
                <c:pt idx="0">
                  <c:v>Doble</c:v>
                </c:pt>
              </c:strCache>
            </c:strRef>
          </c:tx>
          <c:invertIfNegative val="0"/>
          <c:dLbls>
            <c:dLbl>
              <c:idx val="0"/>
              <c:layout>
                <c:manualLayout>
                  <c:x val="4.0890705969446127E-2"/>
                  <c:y val="0.415474950877042"/>
                </c:manualLayout>
              </c:layout>
              <c:showLegendKey val="0"/>
              <c:showVal val="1"/>
              <c:showCatName val="0"/>
              <c:showSerName val="0"/>
              <c:showPercent val="0"/>
              <c:showBubbleSize val="0"/>
            </c:dLbl>
            <c:dLbl>
              <c:idx val="1"/>
              <c:layout>
                <c:manualLayout>
                  <c:x val="7.9532163742690148E-2"/>
                  <c:y val="0"/>
                </c:manualLayout>
              </c:layout>
              <c:showLegendKey val="0"/>
              <c:showVal val="1"/>
              <c:showCatName val="0"/>
              <c:showSerName val="0"/>
              <c:showPercent val="0"/>
              <c:showBubbleSize val="0"/>
            </c:dLbl>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Remodeling + stent</c:v>
                </c:pt>
                <c:pt idx="1">
                  <c:v>Coils</c:v>
                </c:pt>
              </c:strCache>
            </c:strRef>
          </c:cat>
          <c:val>
            <c:numRef>
              <c:f>Hoja1!$C$2:$C$3</c:f>
              <c:numCache>
                <c:formatCode>0.00%</c:formatCode>
                <c:ptCount val="2"/>
                <c:pt idx="0">
                  <c:v>0.87</c:v>
                </c:pt>
                <c:pt idx="1">
                  <c:v>0.14299999999999999</c:v>
                </c:pt>
              </c:numCache>
            </c:numRef>
          </c:val>
        </c:ser>
        <c:dLbls>
          <c:showLegendKey val="0"/>
          <c:showVal val="0"/>
          <c:showCatName val="0"/>
          <c:showSerName val="0"/>
          <c:showPercent val="0"/>
          <c:showBubbleSize val="0"/>
        </c:dLbls>
        <c:gapWidth val="150"/>
        <c:shape val="pyramid"/>
        <c:axId val="474767360"/>
        <c:axId val="474768896"/>
        <c:axId val="0"/>
      </c:bar3DChart>
      <c:catAx>
        <c:axId val="474767360"/>
        <c:scaling>
          <c:orientation val="minMax"/>
        </c:scaling>
        <c:delete val="0"/>
        <c:axPos val="b"/>
        <c:majorTickMark val="none"/>
        <c:minorTickMark val="none"/>
        <c:tickLblPos val="nextTo"/>
        <c:txPr>
          <a:bodyPr/>
          <a:lstStyle/>
          <a:p>
            <a:pPr>
              <a:defRPr sz="900"/>
            </a:pPr>
            <a:endParaRPr lang="es-ES"/>
          </a:p>
        </c:txPr>
        <c:crossAx val="474768896"/>
        <c:crosses val="autoZero"/>
        <c:auto val="1"/>
        <c:lblAlgn val="ctr"/>
        <c:lblOffset val="100"/>
        <c:noMultiLvlLbl val="0"/>
      </c:catAx>
      <c:valAx>
        <c:axId val="474768896"/>
        <c:scaling>
          <c:orientation val="minMax"/>
        </c:scaling>
        <c:delete val="0"/>
        <c:axPos val="l"/>
        <c:majorGridlines/>
        <c:numFmt formatCode="0.00%" sourceLinked="1"/>
        <c:majorTickMark val="none"/>
        <c:minorTickMark val="none"/>
        <c:tickLblPos val="nextTo"/>
        <c:txPr>
          <a:bodyPr/>
          <a:lstStyle/>
          <a:p>
            <a:pPr>
              <a:defRPr sz="900"/>
            </a:pPr>
            <a:endParaRPr lang="es-ES"/>
          </a:p>
        </c:txPr>
        <c:crossAx val="474767360"/>
        <c:crosses val="autoZero"/>
        <c:crossBetween val="between"/>
      </c:valAx>
    </c:plotArea>
    <c:legend>
      <c:legendPos val="r"/>
      <c:layout>
        <c:manualLayout>
          <c:xMode val="edge"/>
          <c:yMode val="edge"/>
          <c:x val="0.80942290867487721"/>
          <c:y val="0.31701332415415284"/>
          <c:w val="0.18953751084274159"/>
          <c:h val="0.2635032915967471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nchor="ctr" anchorCtr="0"/>
          <a:lstStyle/>
          <a:p>
            <a:pPr algn="l">
              <a:defRPr sz="1200">
                <a:solidFill>
                  <a:sysClr val="windowText" lastClr="000000"/>
                </a:solidFill>
              </a:defRPr>
            </a:pPr>
            <a:r>
              <a:rPr lang="es-ES" sz="1200">
                <a:solidFill>
                  <a:sysClr val="windowText" lastClr="000000"/>
                </a:solidFill>
              </a:rPr>
              <a:t>Historia</a:t>
            </a:r>
            <a:r>
              <a:rPr lang="es-ES" sz="1200" baseline="0">
                <a:solidFill>
                  <a:sysClr val="windowText" lastClr="000000"/>
                </a:solidFill>
              </a:rPr>
              <a:t> </a:t>
            </a:r>
            <a:r>
              <a:rPr lang="es-ES" sz="1200">
                <a:solidFill>
                  <a:sysClr val="windowText" lastClr="000000"/>
                </a:solidFill>
              </a:rPr>
              <a:t>de HSA y nº de</a:t>
            </a:r>
            <a:r>
              <a:rPr lang="es-ES" sz="1200" baseline="0">
                <a:solidFill>
                  <a:sysClr val="windowText" lastClr="000000"/>
                </a:solidFill>
              </a:rPr>
              <a:t> </a:t>
            </a:r>
            <a:r>
              <a:rPr lang="es-ES" sz="1200">
                <a:solidFill>
                  <a:sysClr val="windowText" lastClr="000000"/>
                </a:solidFill>
              </a:rPr>
              <a:t>intervenciones</a:t>
            </a:r>
          </a:p>
        </c:rich>
      </c:tx>
      <c:layout>
        <c:manualLayout>
          <c:xMode val="edge"/>
          <c:yMode val="edge"/>
          <c:x val="0.23321589608991183"/>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7850797496466789"/>
          <c:y val="0.15593821264145263"/>
          <c:w val="0.60063799717343036"/>
          <c:h val="0.7052519254765286"/>
        </c:manualLayout>
      </c:layout>
      <c:bar3DChart>
        <c:barDir val="col"/>
        <c:grouping val="clustered"/>
        <c:varyColors val="0"/>
        <c:ser>
          <c:idx val="0"/>
          <c:order val="0"/>
          <c:tx>
            <c:strRef>
              <c:f>Hoja1!$B$1</c:f>
              <c:strCache>
                <c:ptCount val="1"/>
                <c:pt idx="0">
                  <c:v>1 Intervención</c:v>
                </c:pt>
              </c:strCache>
            </c:strRef>
          </c:tx>
          <c:invertIfNegative val="0"/>
          <c:dLbls>
            <c:dLbl>
              <c:idx val="0"/>
              <c:layout>
                <c:manualLayout>
                  <c:x val="-7.2649572649572655E-2"/>
                  <c:y val="0.24772313296903448"/>
                </c:manualLayout>
              </c:layout>
              <c:showLegendKey val="0"/>
              <c:showVal val="1"/>
              <c:showCatName val="0"/>
              <c:showSerName val="0"/>
              <c:showPercent val="0"/>
              <c:showBubbleSize val="0"/>
            </c:dLbl>
            <c:dLbl>
              <c:idx val="1"/>
              <c:layout>
                <c:manualLayout>
                  <c:x val="2.564102564102564E-2"/>
                  <c:y val="0.28415300546448086"/>
                </c:manualLayout>
              </c:layout>
              <c:showLegendKey val="0"/>
              <c:showVal val="1"/>
              <c:showCatName val="0"/>
              <c:showSerName val="0"/>
              <c:showPercent val="0"/>
              <c:showBubbleSize val="0"/>
            </c:dLbl>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HSA</c:v>
                </c:pt>
                <c:pt idx="1">
                  <c:v>No HSA</c:v>
                </c:pt>
              </c:strCache>
            </c:strRef>
          </c:cat>
          <c:val>
            <c:numRef>
              <c:f>Hoja1!$B$2:$B$3</c:f>
              <c:numCache>
                <c:formatCode>0.00%</c:formatCode>
                <c:ptCount val="2"/>
                <c:pt idx="0">
                  <c:v>0.66700000000000004</c:v>
                </c:pt>
                <c:pt idx="1">
                  <c:v>0.96299999999999997</c:v>
                </c:pt>
              </c:numCache>
            </c:numRef>
          </c:val>
        </c:ser>
        <c:ser>
          <c:idx val="1"/>
          <c:order val="1"/>
          <c:tx>
            <c:strRef>
              <c:f>Hoja1!$C$1</c:f>
              <c:strCache>
                <c:ptCount val="1"/>
                <c:pt idx="0">
                  <c:v>&gt;1 Intervención</c:v>
                </c:pt>
              </c:strCache>
            </c:strRef>
          </c:tx>
          <c:invertIfNegative val="0"/>
          <c:dLbls>
            <c:dLbl>
              <c:idx val="0"/>
              <c:layout>
                <c:manualLayout>
                  <c:x val="3.8461538461538464E-2"/>
                  <c:y val="0"/>
                </c:manualLayout>
              </c:layout>
              <c:showLegendKey val="0"/>
              <c:showVal val="1"/>
              <c:showCatName val="0"/>
              <c:showSerName val="0"/>
              <c:showPercent val="0"/>
              <c:showBubbleSize val="0"/>
            </c:dLbl>
            <c:dLbl>
              <c:idx val="1"/>
              <c:layout>
                <c:manualLayout>
                  <c:x val="6.83760683760683E-2"/>
                  <c:y val="-2.185792349726776E-2"/>
                </c:manualLayout>
              </c:layout>
              <c:showLegendKey val="0"/>
              <c:showVal val="1"/>
              <c:showCatName val="0"/>
              <c:showSerName val="0"/>
              <c:showPercent val="0"/>
              <c:showBubbleSize val="0"/>
            </c:dLbl>
            <c:numFmt formatCode="0.0%" sourceLinked="0"/>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HSA</c:v>
                </c:pt>
                <c:pt idx="1">
                  <c:v>No HSA</c:v>
                </c:pt>
              </c:strCache>
            </c:strRef>
          </c:cat>
          <c:val>
            <c:numRef>
              <c:f>Hoja1!$C$2:$C$3</c:f>
              <c:numCache>
                <c:formatCode>0.00%</c:formatCode>
                <c:ptCount val="2"/>
                <c:pt idx="0">
                  <c:v>0.33300000000000002</c:v>
                </c:pt>
                <c:pt idx="1">
                  <c:v>3.6999999999999998E-2</c:v>
                </c:pt>
              </c:numCache>
            </c:numRef>
          </c:val>
        </c:ser>
        <c:dLbls>
          <c:showLegendKey val="0"/>
          <c:showVal val="0"/>
          <c:showCatName val="0"/>
          <c:showSerName val="0"/>
          <c:showPercent val="0"/>
          <c:showBubbleSize val="0"/>
        </c:dLbls>
        <c:gapWidth val="150"/>
        <c:shape val="pyramid"/>
        <c:axId val="474840448"/>
        <c:axId val="474850432"/>
        <c:axId val="0"/>
      </c:bar3DChart>
      <c:catAx>
        <c:axId val="474840448"/>
        <c:scaling>
          <c:orientation val="minMax"/>
        </c:scaling>
        <c:delete val="0"/>
        <c:axPos val="b"/>
        <c:majorTickMark val="none"/>
        <c:minorTickMark val="none"/>
        <c:tickLblPos val="nextTo"/>
        <c:txPr>
          <a:bodyPr/>
          <a:lstStyle/>
          <a:p>
            <a:pPr>
              <a:defRPr sz="900"/>
            </a:pPr>
            <a:endParaRPr lang="es-ES"/>
          </a:p>
        </c:txPr>
        <c:crossAx val="474850432"/>
        <c:crosses val="autoZero"/>
        <c:auto val="1"/>
        <c:lblAlgn val="ctr"/>
        <c:lblOffset val="100"/>
        <c:noMultiLvlLbl val="0"/>
      </c:catAx>
      <c:valAx>
        <c:axId val="474850432"/>
        <c:scaling>
          <c:orientation val="minMax"/>
        </c:scaling>
        <c:delete val="0"/>
        <c:axPos val="l"/>
        <c:majorGridlines/>
        <c:numFmt formatCode="0.00%" sourceLinked="1"/>
        <c:majorTickMark val="none"/>
        <c:minorTickMark val="none"/>
        <c:tickLblPos val="nextTo"/>
        <c:txPr>
          <a:bodyPr/>
          <a:lstStyle/>
          <a:p>
            <a:pPr>
              <a:defRPr sz="900"/>
            </a:pPr>
            <a:endParaRPr lang="es-ES"/>
          </a:p>
        </c:txPr>
        <c:crossAx val="474840448"/>
        <c:crosses val="autoZero"/>
        <c:crossBetween val="between"/>
      </c:valAx>
    </c:plotArea>
    <c:legend>
      <c:legendPos val="r"/>
      <c:layout>
        <c:manualLayout>
          <c:xMode val="edge"/>
          <c:yMode val="edge"/>
          <c:x val="0.69367602046776788"/>
          <c:y val="0.15076172855442249"/>
          <c:w val="0.30205060905848308"/>
          <c:h val="0.38736485808126442"/>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464334208"/>
        <c:axId val="464336000"/>
      </c:lineChart>
      <c:catAx>
        <c:axId val="464334208"/>
        <c:scaling>
          <c:orientation val="minMax"/>
        </c:scaling>
        <c:delete val="0"/>
        <c:axPos val="b"/>
        <c:majorTickMark val="out"/>
        <c:minorTickMark val="none"/>
        <c:tickLblPos val="nextTo"/>
        <c:crossAx val="464336000"/>
        <c:crosses val="autoZero"/>
        <c:auto val="1"/>
        <c:lblAlgn val="ctr"/>
        <c:lblOffset val="100"/>
        <c:noMultiLvlLbl val="0"/>
      </c:catAx>
      <c:valAx>
        <c:axId val="464336000"/>
        <c:scaling>
          <c:orientation val="minMax"/>
        </c:scaling>
        <c:delete val="0"/>
        <c:axPos val="l"/>
        <c:majorGridlines/>
        <c:numFmt formatCode="0%" sourceLinked="1"/>
        <c:majorTickMark val="out"/>
        <c:minorTickMark val="none"/>
        <c:tickLblPos val="nextTo"/>
        <c:crossAx val="464334208"/>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0130491639075"/>
          <c:y val="5.1467257164973634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sz="1200"/>
            </a:pPr>
            <a:r>
              <a:rPr lang="en-US" sz="1250"/>
              <a:t>Oclusión del aneurisma</a:t>
            </a:r>
          </a:p>
        </c:rich>
      </c:tx>
      <c:layout>
        <c:manualLayout>
          <c:xMode val="edge"/>
          <c:yMode val="edge"/>
          <c:x val="0.13314984709480121"/>
          <c:y val="0.13642090193271297"/>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30115545215938916"/>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1.6662091550482795E-2"/>
                  <c:y val="0.23484788833214029"/>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464466304"/>
        <c:axId val="464467840"/>
        <c:axId val="0"/>
      </c:bar3DChart>
      <c:catAx>
        <c:axId val="464466304"/>
        <c:scaling>
          <c:orientation val="minMax"/>
        </c:scaling>
        <c:delete val="0"/>
        <c:axPos val="b"/>
        <c:majorTickMark val="out"/>
        <c:minorTickMark val="none"/>
        <c:tickLblPos val="nextTo"/>
        <c:crossAx val="464467840"/>
        <c:crosses val="autoZero"/>
        <c:auto val="1"/>
        <c:lblAlgn val="ctr"/>
        <c:lblOffset val="100"/>
        <c:noMultiLvlLbl val="0"/>
      </c:catAx>
      <c:valAx>
        <c:axId val="464467840"/>
        <c:scaling>
          <c:orientation val="minMax"/>
        </c:scaling>
        <c:delete val="0"/>
        <c:axPos val="l"/>
        <c:majorGridlines/>
        <c:numFmt formatCode="0.00%" sourceLinked="1"/>
        <c:majorTickMark val="out"/>
        <c:minorTickMark val="none"/>
        <c:tickLblPos val="nextTo"/>
        <c:crossAx val="464466304"/>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dLbls>
            <c:dLbl>
              <c:idx val="0"/>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0"/>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ofPieChart>
    </c:plotArea>
    <c:legend>
      <c:legendPos val="b"/>
      <c:legendEntry>
        <c:idx val="0"/>
        <c:delete val="1"/>
      </c:legendEntry>
      <c:layout>
        <c:manualLayout>
          <c:xMode val="edge"/>
          <c:yMode val="edge"/>
          <c:x val="0"/>
          <c:y val="0.81412141736461774"/>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0.4</c:v>
                </c:pt>
                <c:pt idx="1">
                  <c:v>0.6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a:p xmlns:a="http://schemas.openxmlformats.org/drawingml/2006/main">
          <a:endParaRPr lang="es-ES" sz="1100" b="1" i="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cdr:y>
    </cdr:from>
    <cdr:to>
      <cdr:x>0.37294</cdr:x>
      <cdr:y>0.14375</cdr:y>
    </cdr:to>
    <cdr:sp macro="" textlink="">
      <cdr:nvSpPr>
        <cdr:cNvPr id="2" name="1 Cuadro de texto"/>
        <cdr:cNvSpPr txBox="1"/>
      </cdr:nvSpPr>
      <cdr:spPr>
        <a:xfrm xmlns:a="http://schemas.openxmlformats.org/drawingml/2006/main">
          <a:off x="0" y="0"/>
          <a:ext cx="781743" cy="2327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10</a:t>
          </a:r>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cdr:y>
    </cdr:from>
    <cdr:to>
      <cdr:x>0.2847</cdr:x>
      <cdr:y>0.15244</cdr:y>
    </cdr:to>
    <cdr:sp macro="" textlink="">
      <cdr:nvSpPr>
        <cdr:cNvPr id="2" name="1 Cuadro de texto"/>
        <cdr:cNvSpPr txBox="1"/>
      </cdr:nvSpPr>
      <cdr:spPr>
        <a:xfrm xmlns:a="http://schemas.openxmlformats.org/drawingml/2006/main">
          <a:off x="0" y="0"/>
          <a:ext cx="762000" cy="2372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0.00496</cdr:y>
    </cdr:from>
    <cdr:to>
      <cdr:x>0.3308</cdr:x>
      <cdr:y>0.19326</cdr:y>
    </cdr:to>
    <cdr:sp macro="" textlink="">
      <cdr:nvSpPr>
        <cdr:cNvPr id="2" name="1 Cuadro de texto"/>
        <cdr:cNvSpPr txBox="1"/>
      </cdr:nvSpPr>
      <cdr:spPr>
        <a:xfrm xmlns:a="http://schemas.openxmlformats.org/drawingml/2006/main">
          <a:off x="0" y="7748"/>
          <a:ext cx="885825" cy="2941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11</a:t>
          </a:r>
        </a:p>
      </cdr:txBody>
    </cdr:sp>
  </cdr:relSizeAnchor>
</c:userShapes>
</file>

<file path=word/drawings/drawing13.xml><?xml version="1.0" encoding="utf-8"?>
<c:userShapes xmlns:c="http://schemas.openxmlformats.org/drawingml/2006/chart">
  <cdr:relSizeAnchor xmlns:cdr="http://schemas.openxmlformats.org/drawingml/2006/chartDrawing">
    <cdr:from>
      <cdr:x>0</cdr:x>
      <cdr:y>0</cdr:y>
    </cdr:from>
    <cdr:to>
      <cdr:x>0.31716</cdr:x>
      <cdr:y>0.14964</cdr:y>
    </cdr:to>
    <cdr:sp macro="" textlink="">
      <cdr:nvSpPr>
        <cdr:cNvPr id="2" name="1 Cuadro de texto"/>
        <cdr:cNvSpPr txBox="1"/>
      </cdr:nvSpPr>
      <cdr:spPr>
        <a:xfrm xmlns:a="http://schemas.openxmlformats.org/drawingml/2006/main">
          <a:off x="0" y="0"/>
          <a:ext cx="809625" cy="2381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12</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cdr:txBody>
    </cdr:sp>
  </cdr:relSizeAnchor>
</c:userShapes>
</file>

<file path=word/drawings/drawing14.xml><?xml version="1.0" encoding="utf-8"?>
<c:userShapes xmlns:c="http://schemas.openxmlformats.org/drawingml/2006/chart">
  <cdr:relSizeAnchor xmlns:cdr="http://schemas.openxmlformats.org/drawingml/2006/chartDrawing">
    <cdr:from>
      <cdr:x>0.02099</cdr:x>
      <cdr:y>0.04219</cdr:y>
    </cdr:from>
    <cdr:to>
      <cdr:x>0.14243</cdr:x>
      <cdr:y>0.16034</cdr:y>
    </cdr:to>
    <cdr:sp macro="" textlink="">
      <cdr:nvSpPr>
        <cdr:cNvPr id="2" name="1 Cuadro de texto"/>
        <cdr:cNvSpPr txBox="1"/>
      </cdr:nvSpPr>
      <cdr:spPr>
        <a:xfrm xmlns:a="http://schemas.openxmlformats.org/drawingml/2006/main">
          <a:off x="133350" y="95250"/>
          <a:ext cx="7715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14</a:t>
          </a:r>
        </a:p>
      </cdr:txBody>
    </cdr:sp>
  </cdr:relSizeAnchor>
</c:userShapes>
</file>

<file path=word/drawings/drawing15.xml><?xml version="1.0" encoding="utf-8"?>
<c:userShapes xmlns:c="http://schemas.openxmlformats.org/drawingml/2006/chart">
  <cdr:relSizeAnchor xmlns:cdr="http://schemas.openxmlformats.org/drawingml/2006/chartDrawing">
    <cdr:from>
      <cdr:x>0</cdr:x>
      <cdr:y>0</cdr:y>
    </cdr:from>
    <cdr:to>
      <cdr:x>0.30877</cdr:x>
      <cdr:y>0.16766</cdr:y>
    </cdr:to>
    <cdr:sp macro="" textlink="">
      <cdr:nvSpPr>
        <cdr:cNvPr id="2" name="1 Cuadro de texto"/>
        <cdr:cNvSpPr txBox="1"/>
      </cdr:nvSpPr>
      <cdr:spPr>
        <a:xfrm xmlns:a="http://schemas.openxmlformats.org/drawingml/2006/main">
          <a:off x="0" y="0"/>
          <a:ext cx="838200"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solidFill>
                <a:sysClr val="windowText" lastClr="000000"/>
              </a:solidFill>
            </a:rPr>
            <a:t>Figura 15</a:t>
          </a:r>
        </a:p>
      </cdr:txBody>
    </cdr:sp>
  </cdr:relSizeAnchor>
</c:userShapes>
</file>

<file path=word/drawings/drawing16.xml><?xml version="1.0" encoding="utf-8"?>
<c:userShapes xmlns:c="http://schemas.openxmlformats.org/drawingml/2006/chart">
  <cdr:relSizeAnchor xmlns:cdr="http://schemas.openxmlformats.org/drawingml/2006/chartDrawing">
    <cdr:from>
      <cdr:x>0</cdr:x>
      <cdr:y>0</cdr:y>
    </cdr:from>
    <cdr:to>
      <cdr:x>0.26282</cdr:x>
      <cdr:y>0.15847</cdr:y>
    </cdr:to>
    <cdr:sp macro="" textlink="">
      <cdr:nvSpPr>
        <cdr:cNvPr id="2" name="1 Cuadro de texto"/>
        <cdr:cNvSpPr txBox="1"/>
      </cdr:nvSpPr>
      <cdr:spPr>
        <a:xfrm xmlns:a="http://schemas.openxmlformats.org/drawingml/2006/main">
          <a:off x="0" y="0"/>
          <a:ext cx="78105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16</a:t>
          </a:r>
        </a:p>
      </cdr:txBody>
    </cdr:sp>
  </cdr:relSizeAnchor>
</c:userShapes>
</file>

<file path=word/drawings/drawing2.xml><?xml version="1.0" encoding="utf-8"?>
<c:userShapes xmlns:c="http://schemas.openxmlformats.org/drawingml/2006/chart">
  <cdr:relSizeAnchor xmlns:cdr="http://schemas.openxmlformats.org/drawingml/2006/chartDrawing">
    <cdr:from>
      <cdr:x>0.67122</cdr:x>
      <cdr:y>0.73905</cdr:y>
    </cdr:from>
    <cdr:to>
      <cdr:x>0.9661</cdr:x>
      <cdr:y>0.96273</cdr:y>
    </cdr:to>
    <cdr:sp macro="" textlink="">
      <cdr:nvSpPr>
        <cdr:cNvPr id="2" name="1 Cuadro de texto"/>
        <cdr:cNvSpPr txBox="1"/>
      </cdr:nvSpPr>
      <cdr:spPr>
        <a:xfrm xmlns:a="http://schemas.openxmlformats.org/drawingml/2006/main">
          <a:off x="1760314" y="1133351"/>
          <a:ext cx="773338" cy="343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a:t>
          </a:r>
        </a:p>
      </cdr:txBody>
    </cdr:sp>
  </cdr:relSizeAnchor>
</c:userShapes>
</file>

<file path=word/drawings/drawing3.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4.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5.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6.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4</a:t>
          </a:r>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cdr:y>
    </cdr:from>
    <cdr:to>
      <cdr:x>0.35321</cdr:x>
      <cdr:y>0.16478</cdr:y>
    </cdr:to>
    <cdr:sp macro="" textlink="">
      <cdr:nvSpPr>
        <cdr:cNvPr id="2" name="1 Cuadro de texto"/>
        <cdr:cNvSpPr txBox="1"/>
      </cdr:nvSpPr>
      <cdr:spPr>
        <a:xfrm xmlns:a="http://schemas.openxmlformats.org/drawingml/2006/main">
          <a:off x="0" y="0"/>
          <a:ext cx="733425" cy="2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8.</a:t>
          </a:r>
        </a:p>
        <a:p xmlns:a="http://schemas.openxmlformats.org/drawingml/2006/main">
          <a:endParaRPr lang="es-ES" sz="1100" b="1" i="1"/>
        </a:p>
      </cdr:txBody>
    </cdr:sp>
  </cdr:relSizeAnchor>
</c:userShapes>
</file>

<file path=word/drawings/drawing8.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9.</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89F28-63DA-4DEA-AC5D-057C0637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15782</TotalTime>
  <Pages>23</Pages>
  <Words>12094</Words>
  <Characters>66522</Characters>
  <Application>Microsoft Office Word</Application>
  <DocSecurity>0</DocSecurity>
  <Lines>554</Lines>
  <Paragraphs>156</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101</cp:revision>
  <dcterms:created xsi:type="dcterms:W3CDTF">2009-12-19T20:05:00Z</dcterms:created>
  <dcterms:modified xsi:type="dcterms:W3CDTF">2018-04-18T17:17:00Z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