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drawings/drawing3.xml" ContentType="application/vnd.openxmlformats-officedocument.drawingml.chartshapes+xml"/>
  <Override PartName="/word/charts/chart4.xml" ContentType="application/vnd.openxmlformats-officedocument.drawingml.chart+xml"/>
  <Override PartName="/word/drawings/drawing4.xml" ContentType="application/vnd.openxmlformats-officedocument.drawingml.chartshapes+xml"/>
  <Override PartName="/word/charts/chart5.xml" ContentType="application/vnd.openxmlformats-officedocument.drawingml.chart+xml"/>
  <Override PartName="/word/drawings/drawing5.xml" ContentType="application/vnd.openxmlformats-officedocument.drawingml.chartshapes+xml"/>
  <Override PartName="/word/charts/chart6.xml" ContentType="application/vnd.openxmlformats-officedocument.drawingml.chart+xml"/>
  <Override PartName="/word/drawings/drawing6.xml" ContentType="application/vnd.openxmlformats-officedocument.drawingml.chartshapes+xml"/>
  <Override PartName="/word/charts/chart7.xml" ContentType="application/vnd.openxmlformats-officedocument.drawingml.chart+xml"/>
  <Override PartName="/word/drawings/drawing7.xml" ContentType="application/vnd.openxmlformats-officedocument.drawingml.chartshapes+xml"/>
  <Override PartName="/word/charts/chart8.xml" ContentType="application/vnd.openxmlformats-officedocument.drawingml.chart+xml"/>
  <Override PartName="/word/drawings/drawing8.xml" ContentType="application/vnd.openxmlformats-officedocument.drawingml.chartshapes+xml"/>
  <Override PartName="/word/charts/chart9.xml" ContentType="application/vnd.openxmlformats-officedocument.drawingml.chart+xml"/>
  <Override PartName="/word/drawings/drawing9.xml" ContentType="application/vnd.openxmlformats-officedocument.drawingml.chartshapes+xml"/>
  <Override PartName="/word/charts/chart10.xml" ContentType="application/vnd.openxmlformats-officedocument.drawingml.chart+xml"/>
  <Override PartName="/word/drawings/drawing10.xml" ContentType="application/vnd.openxmlformats-officedocument.drawingml.chartshapes+xml"/>
  <Override PartName="/word/charts/chart11.xml" ContentType="application/vnd.openxmlformats-officedocument.drawingml.chart+xml"/>
  <Override PartName="/word/drawings/drawing11.xml" ContentType="application/vnd.openxmlformats-officedocument.drawingml.chartshapes+xml"/>
  <Override PartName="/word/charts/chart12.xml" ContentType="application/vnd.openxmlformats-officedocument.drawingml.chart+xml"/>
  <Override PartName="/word/drawings/drawing12.xml" ContentType="application/vnd.openxmlformats-officedocument.drawingml.chartshapes+xml"/>
  <Override PartName="/word/charts/chart13.xml" ContentType="application/vnd.openxmlformats-officedocument.drawingml.chart+xml"/>
  <Override PartName="/word/drawings/drawing13.xml" ContentType="application/vnd.openxmlformats-officedocument.drawingml.chartshapes+xml"/>
  <Override PartName="/word/charts/chart14.xml" ContentType="application/vnd.openxmlformats-officedocument.drawingml.chart+xml"/>
  <Override PartName="/word/drawings/drawing14.xml" ContentType="application/vnd.openxmlformats-officedocument.drawingml.chartshapes+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charts/chart15.xml" ContentType="application/vnd.openxmlformats-officedocument.drawingml.chart+xml"/>
  <Override PartName="/word/drawings/drawing15.xml" ContentType="application/vnd.openxmlformats-officedocument.drawingml.chartshapes+xml"/>
  <Override PartName="/word/charts/chart16.xml" ContentType="application/vnd.openxmlformats-officedocument.drawingml.chart+xml"/>
  <Override PartName="/word/drawings/drawing16.xml" ContentType="application/vnd.openxmlformats-officedocument.drawingml.chartshap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0E8E" w:rsidRDefault="00900E8E" w:rsidP="00900E8E">
      <w:pPr>
        <w:pStyle w:val="Ttulo"/>
      </w:pPr>
      <w:r>
        <w:t>Resumen</w:t>
      </w:r>
    </w:p>
    <w:p w:rsidR="00900E8E" w:rsidRDefault="007B2621" w:rsidP="00900E8E">
      <w:r>
        <w:t>Un texto breve (una cara a</w:t>
      </w:r>
      <w:r w:rsidR="0095034A">
        <w:t>proximadamente) que describa qué</w:t>
      </w:r>
      <w:r>
        <w:t xml:space="preserve"> se ha hecho en el proyecto, sus principales objetivos, la utilidad que se le quiere dar, si está destinado a algún cliente real, aspectos sobre la tecnología usada y cosas similares que permitan hacerse una idea rápida del trabajo realizado. </w:t>
      </w:r>
    </w:p>
    <w:p w:rsidR="007B2621" w:rsidRDefault="007B2621" w:rsidP="00900E8E">
      <w:r>
        <w:t>Se trata de describir brevemente todos los aspectos más importantes del proyecto destacando en lo posible sus puntos fuertes para permitir comprenderlo fácilmente en una lectura rápida sin tener más referencias del mismo. Por tanto, no debe ser un texto demasiado largo ni complejo.</w:t>
      </w:r>
    </w:p>
    <w:p w:rsidR="006B4F6F" w:rsidRDefault="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F632EC" w:rsidRPr="006B4F6F" w:rsidRDefault="00F632EC" w:rsidP="006B4F6F">
      <w:pPr>
        <w:tabs>
          <w:tab w:val="left" w:pos="1080"/>
        </w:tabs>
        <w:sectPr w:rsidR="00F632EC" w:rsidRPr="006B4F6F" w:rsidSect="0090528B">
          <w:headerReference w:type="even" r:id="rId9"/>
          <w:footerReference w:type="even" r:id="rId10"/>
          <w:footerReference w:type="default" r:id="rId11"/>
          <w:headerReference w:type="first" r:id="rId12"/>
          <w:footerReference w:type="first" r:id="rId13"/>
          <w:type w:val="oddPage"/>
          <w:pgSz w:w="11906" w:h="16838" w:code="9"/>
          <w:pgMar w:top="1134" w:right="1134" w:bottom="1134" w:left="1134" w:header="567" w:footer="567" w:gutter="1134"/>
          <w:cols w:space="708"/>
          <w:titlePg/>
          <w:docGrid w:linePitch="360"/>
        </w:sectPr>
      </w:pPr>
    </w:p>
    <w:p w:rsidR="007E5172" w:rsidRDefault="007E5172" w:rsidP="007E5172">
      <w:pPr>
        <w:pStyle w:val="Ttulo"/>
      </w:pPr>
      <w:r>
        <w:lastRenderedPageBreak/>
        <w:t>Palabras clave</w:t>
      </w:r>
    </w:p>
    <w:p w:rsidR="00AE1648" w:rsidRDefault="007E5172" w:rsidP="00AE1648">
      <w:pPr>
        <w:pStyle w:val="Prrafodelista"/>
        <w:numPr>
          <w:ilvl w:val="0"/>
          <w:numId w:val="4"/>
        </w:numPr>
        <w:jc w:val="left"/>
      </w:pPr>
      <w:r>
        <w:t>HSA: Hemorragia Subaracnoidea</w:t>
      </w:r>
    </w:p>
    <w:p w:rsidR="00AE1648" w:rsidRDefault="007E5172" w:rsidP="00AE1648">
      <w:pPr>
        <w:pStyle w:val="Prrafodelista"/>
        <w:numPr>
          <w:ilvl w:val="0"/>
          <w:numId w:val="4"/>
        </w:numPr>
        <w:jc w:val="left"/>
      </w:pPr>
      <w:r>
        <w:t>ACI: Arteria Carótida Interna</w:t>
      </w:r>
    </w:p>
    <w:p w:rsidR="00AE1648" w:rsidRDefault="008428FC" w:rsidP="00AE1648">
      <w:pPr>
        <w:pStyle w:val="Prrafodelista"/>
        <w:numPr>
          <w:ilvl w:val="0"/>
          <w:numId w:val="4"/>
        </w:numPr>
        <w:jc w:val="left"/>
      </w:pPr>
      <w:r>
        <w:t>TC: Tomografía Computarizada</w:t>
      </w:r>
    </w:p>
    <w:p w:rsidR="00AE1648" w:rsidRDefault="008428FC" w:rsidP="00AE1648">
      <w:pPr>
        <w:pStyle w:val="Prrafodelista"/>
        <w:numPr>
          <w:ilvl w:val="0"/>
          <w:numId w:val="4"/>
        </w:numPr>
        <w:jc w:val="left"/>
      </w:pPr>
      <w:r>
        <w:t>AAS: Ácido Acetilsalic</w:t>
      </w:r>
      <w:r w:rsidR="004A4BEC">
        <w:t>ílico</w:t>
      </w:r>
    </w:p>
    <w:p w:rsidR="00AE1648" w:rsidRDefault="004A4BEC" w:rsidP="00AE1648">
      <w:pPr>
        <w:pStyle w:val="Prrafodelista"/>
        <w:numPr>
          <w:ilvl w:val="0"/>
          <w:numId w:val="4"/>
        </w:numPr>
        <w:jc w:val="left"/>
      </w:pPr>
      <w:r>
        <w:t>DM: Diabetes Mellitus</w:t>
      </w:r>
    </w:p>
    <w:p w:rsidR="004A4BEC" w:rsidRDefault="004A4BEC" w:rsidP="00AE1648">
      <w:pPr>
        <w:pStyle w:val="Prrafodelista"/>
        <w:numPr>
          <w:ilvl w:val="0"/>
          <w:numId w:val="4"/>
        </w:numPr>
        <w:jc w:val="left"/>
      </w:pPr>
      <w:r>
        <w:t>HPBM</w:t>
      </w:r>
      <w:r w:rsidR="00AE1648">
        <w:t>: Heparina</w:t>
      </w:r>
      <w:r>
        <w:t xml:space="preserve"> de Bajo Peso Molecular</w:t>
      </w:r>
    </w:p>
    <w:p w:rsidR="00F632EC" w:rsidRDefault="00F632EC" w:rsidP="00AE1648">
      <w:pPr>
        <w:pStyle w:val="Prrafodelista"/>
        <w:numPr>
          <w:ilvl w:val="0"/>
          <w:numId w:val="4"/>
        </w:numPr>
        <w:jc w:val="left"/>
      </w:pPr>
      <w:r>
        <w:t>TEV: Tratamiento endovascular</w:t>
      </w:r>
    </w:p>
    <w:p w:rsidR="005B305F" w:rsidRDefault="0080226F" w:rsidP="005B305F">
      <w:pPr>
        <w:pStyle w:val="Prrafodelista"/>
        <w:numPr>
          <w:ilvl w:val="0"/>
          <w:numId w:val="4"/>
        </w:numPr>
        <w:jc w:val="left"/>
      </w:pPr>
      <w:proofErr w:type="spellStart"/>
      <w:r>
        <w:t>ACoA</w:t>
      </w:r>
      <w:proofErr w:type="spellEnd"/>
      <w:r>
        <w:t>: Arteria Comunicante Anterior</w:t>
      </w:r>
    </w:p>
    <w:p w:rsidR="005B305F" w:rsidRPr="007E5172" w:rsidRDefault="005B305F" w:rsidP="005B305F">
      <w:pPr>
        <w:pStyle w:val="Prrafodelista"/>
        <w:numPr>
          <w:ilvl w:val="0"/>
          <w:numId w:val="4"/>
        </w:numPr>
        <w:jc w:val="left"/>
        <w:sectPr w:rsidR="005B305F" w:rsidRPr="007E5172" w:rsidSect="0090528B">
          <w:type w:val="oddPage"/>
          <w:pgSz w:w="11906" w:h="16838" w:code="9"/>
          <w:pgMar w:top="1134" w:right="1134" w:bottom="1134" w:left="1134" w:header="567" w:footer="567" w:gutter="1134"/>
          <w:cols w:space="708"/>
          <w:titlePg/>
          <w:docGrid w:linePitch="360"/>
        </w:sectPr>
      </w:pPr>
      <w:r>
        <w:t>IC: Intervalo de Confianza</w:t>
      </w:r>
    </w:p>
    <w:p w:rsidR="00900E8E" w:rsidRPr="00087411" w:rsidRDefault="00900E8E" w:rsidP="00900E8E">
      <w:pPr>
        <w:pStyle w:val="Ttulo"/>
        <w:rPr>
          <w:i/>
        </w:rPr>
      </w:pPr>
      <w:proofErr w:type="spellStart"/>
      <w:r w:rsidRPr="00087411">
        <w:rPr>
          <w:i/>
        </w:rPr>
        <w:lastRenderedPageBreak/>
        <w:t>Abstract</w:t>
      </w:r>
      <w:proofErr w:type="spellEnd"/>
    </w:p>
    <w:p w:rsidR="00900E8E" w:rsidRDefault="00CE72B9" w:rsidP="00900E8E">
      <w:r>
        <w:t>Traducción al inglés del resumen anterior. Conviene hacerlo una vez se tenga la versión definitiva de dicho resumen.</w:t>
      </w:r>
      <w:r w:rsidR="0004146D">
        <w:t xml:space="preserve"> Se recomienda consultar al director del proyecto acerca de si considera adecuado que aparezca esta sección.</w:t>
      </w:r>
    </w:p>
    <w:p w:rsidR="00816CDF" w:rsidRDefault="00816CDF">
      <w:pPr>
        <w:sectPr w:rsidR="00816CDF" w:rsidSect="0090528B">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proofErr w:type="spellStart"/>
      <w:r w:rsidRPr="00087411">
        <w:rPr>
          <w:i/>
        </w:rPr>
        <w:lastRenderedPageBreak/>
        <w:t>Keywords</w:t>
      </w:r>
      <w:proofErr w:type="spellEnd"/>
    </w:p>
    <w:p w:rsidR="00816CDF" w:rsidRDefault="00816CDF">
      <w:pPr>
        <w:sectPr w:rsidR="00816CDF" w:rsidSect="0090528B">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General</w:t>
      </w:r>
    </w:p>
    <w:p w:rsidR="00E507AF" w:rsidRDefault="001E752C">
      <w:pPr>
        <w:pStyle w:val="TDC1"/>
        <w:tabs>
          <w:tab w:val="right" w:leader="dot" w:pos="8494"/>
        </w:tabs>
        <w:rPr>
          <w:rFonts w:eastAsiaTheme="minorEastAsia"/>
          <w:b w:val="0"/>
          <w:bCs w:val="0"/>
          <w:caps w:val="0"/>
          <w:noProof/>
          <w:sz w:val="22"/>
          <w:szCs w:val="22"/>
          <w:lang w:eastAsia="es-ES"/>
        </w:rPr>
      </w:pPr>
      <w:r>
        <w:fldChar w:fldCharType="begin"/>
      </w:r>
      <w:r w:rsidR="00DB36DF">
        <w:instrText xml:space="preserve"> TOC \o "1-3" \h \z \u </w:instrText>
      </w:r>
      <w:r>
        <w:fldChar w:fldCharType="separate"/>
      </w:r>
      <w:hyperlink w:anchor="_Toc512441287" w:history="1">
        <w:r w:rsidR="00E507AF" w:rsidRPr="006C7487">
          <w:rPr>
            <w:rStyle w:val="Hipervnculo"/>
            <w:noProof/>
          </w:rPr>
          <w:t>Introducción</w:t>
        </w:r>
        <w:r w:rsidR="00E507AF">
          <w:rPr>
            <w:noProof/>
            <w:webHidden/>
          </w:rPr>
          <w:tab/>
        </w:r>
        <w:r w:rsidR="00E507AF">
          <w:rPr>
            <w:noProof/>
            <w:webHidden/>
          </w:rPr>
          <w:fldChar w:fldCharType="begin"/>
        </w:r>
        <w:r w:rsidR="00E507AF">
          <w:rPr>
            <w:noProof/>
            <w:webHidden/>
          </w:rPr>
          <w:instrText xml:space="preserve"> PAGEREF _Toc512441287 \h </w:instrText>
        </w:r>
        <w:r w:rsidR="00E507AF">
          <w:rPr>
            <w:noProof/>
            <w:webHidden/>
          </w:rPr>
        </w:r>
        <w:r w:rsidR="00E507AF">
          <w:rPr>
            <w:noProof/>
            <w:webHidden/>
          </w:rPr>
          <w:fldChar w:fldCharType="separate"/>
        </w:r>
        <w:r w:rsidR="00E507AF">
          <w:rPr>
            <w:noProof/>
            <w:webHidden/>
          </w:rPr>
          <w:t>11</w:t>
        </w:r>
        <w:r w:rsidR="00E507AF">
          <w:rPr>
            <w:noProof/>
            <w:webHidden/>
          </w:rPr>
          <w:fldChar w:fldCharType="end"/>
        </w:r>
      </w:hyperlink>
    </w:p>
    <w:p w:rsidR="00E507AF" w:rsidRDefault="00E507AF">
      <w:pPr>
        <w:pStyle w:val="TDC2"/>
        <w:rPr>
          <w:rFonts w:eastAsiaTheme="minorEastAsia"/>
          <w:smallCaps w:val="0"/>
          <w:noProof/>
          <w:sz w:val="22"/>
          <w:szCs w:val="22"/>
          <w:lang w:eastAsia="es-ES"/>
        </w:rPr>
      </w:pPr>
      <w:hyperlink w:anchor="_Toc512441288" w:history="1">
        <w:r w:rsidRPr="006C7487">
          <w:rPr>
            <w:rStyle w:val="Hipervnculo"/>
            <w:noProof/>
          </w:rPr>
          <w:t>Definición de aneurisma incidental</w:t>
        </w:r>
        <w:r>
          <w:rPr>
            <w:noProof/>
            <w:webHidden/>
          </w:rPr>
          <w:tab/>
        </w:r>
        <w:r>
          <w:rPr>
            <w:noProof/>
            <w:webHidden/>
          </w:rPr>
          <w:fldChar w:fldCharType="begin"/>
        </w:r>
        <w:r>
          <w:rPr>
            <w:noProof/>
            <w:webHidden/>
          </w:rPr>
          <w:instrText xml:space="preserve"> PAGEREF _Toc512441288 \h </w:instrText>
        </w:r>
        <w:r>
          <w:rPr>
            <w:noProof/>
            <w:webHidden/>
          </w:rPr>
        </w:r>
        <w:r>
          <w:rPr>
            <w:noProof/>
            <w:webHidden/>
          </w:rPr>
          <w:fldChar w:fldCharType="separate"/>
        </w:r>
        <w:r>
          <w:rPr>
            <w:noProof/>
            <w:webHidden/>
          </w:rPr>
          <w:t>11</w:t>
        </w:r>
        <w:r>
          <w:rPr>
            <w:noProof/>
            <w:webHidden/>
          </w:rPr>
          <w:fldChar w:fldCharType="end"/>
        </w:r>
      </w:hyperlink>
    </w:p>
    <w:p w:rsidR="00E507AF" w:rsidRDefault="00E507AF">
      <w:pPr>
        <w:pStyle w:val="TDC2"/>
        <w:rPr>
          <w:rFonts w:eastAsiaTheme="minorEastAsia"/>
          <w:smallCaps w:val="0"/>
          <w:noProof/>
          <w:sz w:val="22"/>
          <w:szCs w:val="22"/>
          <w:lang w:eastAsia="es-ES"/>
        </w:rPr>
      </w:pPr>
      <w:hyperlink w:anchor="_Toc512441289" w:history="1">
        <w:r w:rsidRPr="006C7487">
          <w:rPr>
            <w:rStyle w:val="Hipervnculo"/>
            <w:noProof/>
          </w:rPr>
          <w:t>Epidemiología</w:t>
        </w:r>
        <w:r>
          <w:rPr>
            <w:noProof/>
            <w:webHidden/>
          </w:rPr>
          <w:tab/>
        </w:r>
        <w:r>
          <w:rPr>
            <w:noProof/>
            <w:webHidden/>
          </w:rPr>
          <w:fldChar w:fldCharType="begin"/>
        </w:r>
        <w:r>
          <w:rPr>
            <w:noProof/>
            <w:webHidden/>
          </w:rPr>
          <w:instrText xml:space="preserve"> PAGEREF _Toc512441289 \h </w:instrText>
        </w:r>
        <w:r>
          <w:rPr>
            <w:noProof/>
            <w:webHidden/>
          </w:rPr>
        </w:r>
        <w:r>
          <w:rPr>
            <w:noProof/>
            <w:webHidden/>
          </w:rPr>
          <w:fldChar w:fldCharType="separate"/>
        </w:r>
        <w:r>
          <w:rPr>
            <w:noProof/>
            <w:webHidden/>
          </w:rPr>
          <w:t>11</w:t>
        </w:r>
        <w:r>
          <w:rPr>
            <w:noProof/>
            <w:webHidden/>
          </w:rPr>
          <w:fldChar w:fldCharType="end"/>
        </w:r>
      </w:hyperlink>
    </w:p>
    <w:p w:rsidR="00E507AF" w:rsidRDefault="00E507AF">
      <w:pPr>
        <w:pStyle w:val="TDC2"/>
        <w:rPr>
          <w:rFonts w:eastAsiaTheme="minorEastAsia"/>
          <w:smallCaps w:val="0"/>
          <w:noProof/>
          <w:sz w:val="22"/>
          <w:szCs w:val="22"/>
          <w:lang w:eastAsia="es-ES"/>
        </w:rPr>
      </w:pPr>
      <w:hyperlink w:anchor="_Toc512441290" w:history="1">
        <w:r w:rsidRPr="006C7487">
          <w:rPr>
            <w:rStyle w:val="Hipervnculo"/>
            <w:noProof/>
          </w:rPr>
          <w:t>Historia natural del aneurisma</w:t>
        </w:r>
        <w:r>
          <w:rPr>
            <w:noProof/>
            <w:webHidden/>
          </w:rPr>
          <w:tab/>
        </w:r>
        <w:r>
          <w:rPr>
            <w:noProof/>
            <w:webHidden/>
          </w:rPr>
          <w:fldChar w:fldCharType="begin"/>
        </w:r>
        <w:r>
          <w:rPr>
            <w:noProof/>
            <w:webHidden/>
          </w:rPr>
          <w:instrText xml:space="preserve"> PAGEREF _Toc512441290 \h </w:instrText>
        </w:r>
        <w:r>
          <w:rPr>
            <w:noProof/>
            <w:webHidden/>
          </w:rPr>
        </w:r>
        <w:r>
          <w:rPr>
            <w:noProof/>
            <w:webHidden/>
          </w:rPr>
          <w:fldChar w:fldCharType="separate"/>
        </w:r>
        <w:r>
          <w:rPr>
            <w:noProof/>
            <w:webHidden/>
          </w:rPr>
          <w:t>11</w:t>
        </w:r>
        <w:r>
          <w:rPr>
            <w:noProof/>
            <w:webHidden/>
          </w:rPr>
          <w:fldChar w:fldCharType="end"/>
        </w:r>
      </w:hyperlink>
    </w:p>
    <w:p w:rsidR="00E507AF" w:rsidRDefault="00E507AF">
      <w:pPr>
        <w:pStyle w:val="TDC3"/>
        <w:tabs>
          <w:tab w:val="right" w:leader="dot" w:pos="8494"/>
        </w:tabs>
        <w:rPr>
          <w:rFonts w:eastAsiaTheme="minorEastAsia"/>
          <w:i w:val="0"/>
          <w:iCs w:val="0"/>
          <w:noProof/>
          <w:sz w:val="22"/>
          <w:szCs w:val="22"/>
          <w:lang w:eastAsia="es-ES"/>
        </w:rPr>
      </w:pPr>
      <w:hyperlink w:anchor="_Toc512441291" w:history="1">
        <w:r w:rsidRPr="006C7487">
          <w:rPr>
            <w:rStyle w:val="Hipervnculo"/>
            <w:noProof/>
          </w:rPr>
          <w:t>Hemorragia Subaracnoidea (HSA)</w:t>
        </w:r>
        <w:r>
          <w:rPr>
            <w:noProof/>
            <w:webHidden/>
          </w:rPr>
          <w:tab/>
        </w:r>
        <w:r>
          <w:rPr>
            <w:noProof/>
            <w:webHidden/>
          </w:rPr>
          <w:fldChar w:fldCharType="begin"/>
        </w:r>
        <w:r>
          <w:rPr>
            <w:noProof/>
            <w:webHidden/>
          </w:rPr>
          <w:instrText xml:space="preserve"> PAGEREF _Toc512441291 \h </w:instrText>
        </w:r>
        <w:r>
          <w:rPr>
            <w:noProof/>
            <w:webHidden/>
          </w:rPr>
        </w:r>
        <w:r>
          <w:rPr>
            <w:noProof/>
            <w:webHidden/>
          </w:rPr>
          <w:fldChar w:fldCharType="separate"/>
        </w:r>
        <w:r>
          <w:rPr>
            <w:noProof/>
            <w:webHidden/>
          </w:rPr>
          <w:t>12</w:t>
        </w:r>
        <w:r>
          <w:rPr>
            <w:noProof/>
            <w:webHidden/>
          </w:rPr>
          <w:fldChar w:fldCharType="end"/>
        </w:r>
      </w:hyperlink>
    </w:p>
    <w:p w:rsidR="00E507AF" w:rsidRDefault="00E507AF">
      <w:pPr>
        <w:pStyle w:val="TDC3"/>
        <w:tabs>
          <w:tab w:val="right" w:leader="dot" w:pos="8494"/>
        </w:tabs>
        <w:rPr>
          <w:rFonts w:eastAsiaTheme="minorEastAsia"/>
          <w:i w:val="0"/>
          <w:iCs w:val="0"/>
          <w:noProof/>
          <w:sz w:val="22"/>
          <w:szCs w:val="22"/>
          <w:lang w:eastAsia="es-ES"/>
        </w:rPr>
      </w:pPr>
      <w:hyperlink w:anchor="_Toc512441292" w:history="1">
        <w:r w:rsidRPr="006C7487">
          <w:rPr>
            <w:rStyle w:val="Hipervnculo"/>
            <w:noProof/>
          </w:rPr>
          <w:t>Factores pronósticos y factores de riesgo de ruptura aneurismática</w:t>
        </w:r>
        <w:r>
          <w:rPr>
            <w:noProof/>
            <w:webHidden/>
          </w:rPr>
          <w:tab/>
        </w:r>
        <w:r>
          <w:rPr>
            <w:noProof/>
            <w:webHidden/>
          </w:rPr>
          <w:fldChar w:fldCharType="begin"/>
        </w:r>
        <w:r>
          <w:rPr>
            <w:noProof/>
            <w:webHidden/>
          </w:rPr>
          <w:instrText xml:space="preserve"> PAGEREF _Toc512441292 \h </w:instrText>
        </w:r>
        <w:r>
          <w:rPr>
            <w:noProof/>
            <w:webHidden/>
          </w:rPr>
        </w:r>
        <w:r>
          <w:rPr>
            <w:noProof/>
            <w:webHidden/>
          </w:rPr>
          <w:fldChar w:fldCharType="separate"/>
        </w:r>
        <w:r>
          <w:rPr>
            <w:noProof/>
            <w:webHidden/>
          </w:rPr>
          <w:t>13</w:t>
        </w:r>
        <w:r>
          <w:rPr>
            <w:noProof/>
            <w:webHidden/>
          </w:rPr>
          <w:fldChar w:fldCharType="end"/>
        </w:r>
      </w:hyperlink>
    </w:p>
    <w:p w:rsidR="00E507AF" w:rsidRDefault="00E507AF">
      <w:pPr>
        <w:pStyle w:val="TDC2"/>
        <w:rPr>
          <w:rFonts w:eastAsiaTheme="minorEastAsia"/>
          <w:smallCaps w:val="0"/>
          <w:noProof/>
          <w:sz w:val="22"/>
          <w:szCs w:val="22"/>
          <w:lang w:eastAsia="es-ES"/>
        </w:rPr>
      </w:pPr>
      <w:hyperlink w:anchor="_Toc512441293" w:history="1">
        <w:r w:rsidRPr="006C7487">
          <w:rPr>
            <w:rStyle w:val="Hipervnculo"/>
            <w:noProof/>
          </w:rPr>
          <w:t>Tratamiento de los aneurismas incidentales</w:t>
        </w:r>
        <w:r>
          <w:rPr>
            <w:noProof/>
            <w:webHidden/>
          </w:rPr>
          <w:tab/>
        </w:r>
        <w:r>
          <w:rPr>
            <w:noProof/>
            <w:webHidden/>
          </w:rPr>
          <w:fldChar w:fldCharType="begin"/>
        </w:r>
        <w:r>
          <w:rPr>
            <w:noProof/>
            <w:webHidden/>
          </w:rPr>
          <w:instrText xml:space="preserve"> PAGEREF _Toc512441293 \h </w:instrText>
        </w:r>
        <w:r>
          <w:rPr>
            <w:noProof/>
            <w:webHidden/>
          </w:rPr>
        </w:r>
        <w:r>
          <w:rPr>
            <w:noProof/>
            <w:webHidden/>
          </w:rPr>
          <w:fldChar w:fldCharType="separate"/>
        </w:r>
        <w:r>
          <w:rPr>
            <w:noProof/>
            <w:webHidden/>
          </w:rPr>
          <w:t>14</w:t>
        </w:r>
        <w:r>
          <w:rPr>
            <w:noProof/>
            <w:webHidden/>
          </w:rPr>
          <w:fldChar w:fldCharType="end"/>
        </w:r>
      </w:hyperlink>
    </w:p>
    <w:p w:rsidR="00E507AF" w:rsidRDefault="00E507AF">
      <w:pPr>
        <w:pStyle w:val="TDC3"/>
        <w:tabs>
          <w:tab w:val="right" w:leader="dot" w:pos="8494"/>
        </w:tabs>
        <w:rPr>
          <w:rFonts w:eastAsiaTheme="minorEastAsia"/>
          <w:i w:val="0"/>
          <w:iCs w:val="0"/>
          <w:noProof/>
          <w:sz w:val="22"/>
          <w:szCs w:val="22"/>
          <w:lang w:eastAsia="es-ES"/>
        </w:rPr>
      </w:pPr>
      <w:hyperlink w:anchor="_Toc512441294" w:history="1">
        <w:r w:rsidRPr="006C7487">
          <w:rPr>
            <w:rStyle w:val="Hipervnculo"/>
            <w:noProof/>
          </w:rPr>
          <w:t>Tratamiento quirúrgico</w:t>
        </w:r>
        <w:r>
          <w:rPr>
            <w:noProof/>
            <w:webHidden/>
          </w:rPr>
          <w:tab/>
        </w:r>
        <w:r>
          <w:rPr>
            <w:noProof/>
            <w:webHidden/>
          </w:rPr>
          <w:fldChar w:fldCharType="begin"/>
        </w:r>
        <w:r>
          <w:rPr>
            <w:noProof/>
            <w:webHidden/>
          </w:rPr>
          <w:instrText xml:space="preserve"> PAGEREF _Toc512441294 \h </w:instrText>
        </w:r>
        <w:r>
          <w:rPr>
            <w:noProof/>
            <w:webHidden/>
          </w:rPr>
        </w:r>
        <w:r>
          <w:rPr>
            <w:noProof/>
            <w:webHidden/>
          </w:rPr>
          <w:fldChar w:fldCharType="separate"/>
        </w:r>
        <w:r>
          <w:rPr>
            <w:noProof/>
            <w:webHidden/>
          </w:rPr>
          <w:t>14</w:t>
        </w:r>
        <w:r>
          <w:rPr>
            <w:noProof/>
            <w:webHidden/>
          </w:rPr>
          <w:fldChar w:fldCharType="end"/>
        </w:r>
      </w:hyperlink>
    </w:p>
    <w:p w:rsidR="00E507AF" w:rsidRDefault="00E507AF">
      <w:pPr>
        <w:pStyle w:val="TDC3"/>
        <w:tabs>
          <w:tab w:val="right" w:leader="dot" w:pos="8494"/>
        </w:tabs>
        <w:rPr>
          <w:rFonts w:eastAsiaTheme="minorEastAsia"/>
          <w:i w:val="0"/>
          <w:iCs w:val="0"/>
          <w:noProof/>
          <w:sz w:val="22"/>
          <w:szCs w:val="22"/>
          <w:lang w:eastAsia="es-ES"/>
        </w:rPr>
      </w:pPr>
      <w:hyperlink w:anchor="_Toc512441295" w:history="1">
        <w:r w:rsidRPr="006C7487">
          <w:rPr>
            <w:rStyle w:val="Hipervnculo"/>
            <w:noProof/>
          </w:rPr>
          <w:t>Tratamiento endovascular</w:t>
        </w:r>
        <w:r>
          <w:rPr>
            <w:noProof/>
            <w:webHidden/>
          </w:rPr>
          <w:tab/>
        </w:r>
        <w:r>
          <w:rPr>
            <w:noProof/>
            <w:webHidden/>
          </w:rPr>
          <w:fldChar w:fldCharType="begin"/>
        </w:r>
        <w:r>
          <w:rPr>
            <w:noProof/>
            <w:webHidden/>
          </w:rPr>
          <w:instrText xml:space="preserve"> PAGEREF _Toc512441295 \h </w:instrText>
        </w:r>
        <w:r>
          <w:rPr>
            <w:noProof/>
            <w:webHidden/>
          </w:rPr>
        </w:r>
        <w:r>
          <w:rPr>
            <w:noProof/>
            <w:webHidden/>
          </w:rPr>
          <w:fldChar w:fldCharType="separate"/>
        </w:r>
        <w:r>
          <w:rPr>
            <w:noProof/>
            <w:webHidden/>
          </w:rPr>
          <w:t>15</w:t>
        </w:r>
        <w:r>
          <w:rPr>
            <w:noProof/>
            <w:webHidden/>
          </w:rPr>
          <w:fldChar w:fldCharType="end"/>
        </w:r>
      </w:hyperlink>
    </w:p>
    <w:p w:rsidR="00E507AF" w:rsidRDefault="00E507AF">
      <w:pPr>
        <w:pStyle w:val="TDC1"/>
        <w:tabs>
          <w:tab w:val="right" w:leader="dot" w:pos="8494"/>
        </w:tabs>
        <w:rPr>
          <w:rFonts w:eastAsiaTheme="minorEastAsia"/>
          <w:b w:val="0"/>
          <w:bCs w:val="0"/>
          <w:caps w:val="0"/>
          <w:noProof/>
          <w:sz w:val="22"/>
          <w:szCs w:val="22"/>
          <w:lang w:eastAsia="es-ES"/>
        </w:rPr>
      </w:pPr>
      <w:hyperlink w:anchor="_Toc512441296" w:history="1">
        <w:r w:rsidRPr="006C7487">
          <w:rPr>
            <w:rStyle w:val="Hipervnculo"/>
            <w:noProof/>
          </w:rPr>
          <w:t>Justificación del Proyecto</w:t>
        </w:r>
        <w:r>
          <w:rPr>
            <w:noProof/>
            <w:webHidden/>
          </w:rPr>
          <w:tab/>
        </w:r>
        <w:r>
          <w:rPr>
            <w:noProof/>
            <w:webHidden/>
          </w:rPr>
          <w:fldChar w:fldCharType="begin"/>
        </w:r>
        <w:r>
          <w:rPr>
            <w:noProof/>
            <w:webHidden/>
          </w:rPr>
          <w:instrText xml:space="preserve"> PAGEREF _Toc512441296 \h </w:instrText>
        </w:r>
        <w:r>
          <w:rPr>
            <w:noProof/>
            <w:webHidden/>
          </w:rPr>
        </w:r>
        <w:r>
          <w:rPr>
            <w:noProof/>
            <w:webHidden/>
          </w:rPr>
          <w:fldChar w:fldCharType="separate"/>
        </w:r>
        <w:r>
          <w:rPr>
            <w:noProof/>
            <w:webHidden/>
          </w:rPr>
          <w:t>16</w:t>
        </w:r>
        <w:r>
          <w:rPr>
            <w:noProof/>
            <w:webHidden/>
          </w:rPr>
          <w:fldChar w:fldCharType="end"/>
        </w:r>
      </w:hyperlink>
    </w:p>
    <w:p w:rsidR="00E507AF" w:rsidRDefault="00E507AF">
      <w:pPr>
        <w:pStyle w:val="TDC1"/>
        <w:tabs>
          <w:tab w:val="right" w:leader="dot" w:pos="8494"/>
        </w:tabs>
        <w:rPr>
          <w:rFonts w:eastAsiaTheme="minorEastAsia"/>
          <w:b w:val="0"/>
          <w:bCs w:val="0"/>
          <w:caps w:val="0"/>
          <w:noProof/>
          <w:sz w:val="22"/>
          <w:szCs w:val="22"/>
          <w:lang w:eastAsia="es-ES"/>
        </w:rPr>
      </w:pPr>
      <w:hyperlink w:anchor="_Toc512441297" w:history="1">
        <w:r w:rsidRPr="006C7487">
          <w:rPr>
            <w:rStyle w:val="Hipervnculo"/>
            <w:noProof/>
          </w:rPr>
          <w:t>Objetivos</w:t>
        </w:r>
        <w:r>
          <w:rPr>
            <w:noProof/>
            <w:webHidden/>
          </w:rPr>
          <w:tab/>
        </w:r>
        <w:r>
          <w:rPr>
            <w:noProof/>
            <w:webHidden/>
          </w:rPr>
          <w:fldChar w:fldCharType="begin"/>
        </w:r>
        <w:r>
          <w:rPr>
            <w:noProof/>
            <w:webHidden/>
          </w:rPr>
          <w:instrText xml:space="preserve"> PAGEREF _Toc512441297 \h </w:instrText>
        </w:r>
        <w:r>
          <w:rPr>
            <w:noProof/>
            <w:webHidden/>
          </w:rPr>
        </w:r>
        <w:r>
          <w:rPr>
            <w:noProof/>
            <w:webHidden/>
          </w:rPr>
          <w:fldChar w:fldCharType="separate"/>
        </w:r>
        <w:r>
          <w:rPr>
            <w:noProof/>
            <w:webHidden/>
          </w:rPr>
          <w:t>16</w:t>
        </w:r>
        <w:r>
          <w:rPr>
            <w:noProof/>
            <w:webHidden/>
          </w:rPr>
          <w:fldChar w:fldCharType="end"/>
        </w:r>
      </w:hyperlink>
    </w:p>
    <w:p w:rsidR="00E507AF" w:rsidRDefault="00E507AF">
      <w:pPr>
        <w:pStyle w:val="TDC1"/>
        <w:tabs>
          <w:tab w:val="right" w:leader="dot" w:pos="8494"/>
        </w:tabs>
        <w:rPr>
          <w:rFonts w:eastAsiaTheme="minorEastAsia"/>
          <w:b w:val="0"/>
          <w:bCs w:val="0"/>
          <w:caps w:val="0"/>
          <w:noProof/>
          <w:sz w:val="22"/>
          <w:szCs w:val="22"/>
          <w:lang w:eastAsia="es-ES"/>
        </w:rPr>
      </w:pPr>
      <w:hyperlink w:anchor="_Toc512441298" w:history="1">
        <w:r w:rsidRPr="006C7487">
          <w:rPr>
            <w:rStyle w:val="Hipervnculo"/>
            <w:noProof/>
          </w:rPr>
          <w:t>Material y métodos</w:t>
        </w:r>
        <w:r>
          <w:rPr>
            <w:noProof/>
            <w:webHidden/>
          </w:rPr>
          <w:tab/>
        </w:r>
        <w:r>
          <w:rPr>
            <w:noProof/>
            <w:webHidden/>
          </w:rPr>
          <w:fldChar w:fldCharType="begin"/>
        </w:r>
        <w:r>
          <w:rPr>
            <w:noProof/>
            <w:webHidden/>
          </w:rPr>
          <w:instrText xml:space="preserve"> PAGEREF _Toc512441298 \h </w:instrText>
        </w:r>
        <w:r>
          <w:rPr>
            <w:noProof/>
            <w:webHidden/>
          </w:rPr>
        </w:r>
        <w:r>
          <w:rPr>
            <w:noProof/>
            <w:webHidden/>
          </w:rPr>
          <w:fldChar w:fldCharType="separate"/>
        </w:r>
        <w:r>
          <w:rPr>
            <w:noProof/>
            <w:webHidden/>
          </w:rPr>
          <w:t>17</w:t>
        </w:r>
        <w:r>
          <w:rPr>
            <w:noProof/>
            <w:webHidden/>
          </w:rPr>
          <w:fldChar w:fldCharType="end"/>
        </w:r>
      </w:hyperlink>
    </w:p>
    <w:p w:rsidR="00E507AF" w:rsidRDefault="00E507AF">
      <w:pPr>
        <w:pStyle w:val="TDC2"/>
        <w:rPr>
          <w:rFonts w:eastAsiaTheme="minorEastAsia"/>
          <w:smallCaps w:val="0"/>
          <w:noProof/>
          <w:sz w:val="22"/>
          <w:szCs w:val="22"/>
          <w:lang w:eastAsia="es-ES"/>
        </w:rPr>
      </w:pPr>
      <w:hyperlink w:anchor="_Toc512441299" w:history="1">
        <w:r w:rsidRPr="006C7487">
          <w:rPr>
            <w:rStyle w:val="Hipervnculo"/>
            <w:noProof/>
          </w:rPr>
          <w:t>Criterios de inclusión</w:t>
        </w:r>
        <w:r>
          <w:rPr>
            <w:noProof/>
            <w:webHidden/>
          </w:rPr>
          <w:tab/>
        </w:r>
        <w:r>
          <w:rPr>
            <w:noProof/>
            <w:webHidden/>
          </w:rPr>
          <w:fldChar w:fldCharType="begin"/>
        </w:r>
        <w:r>
          <w:rPr>
            <w:noProof/>
            <w:webHidden/>
          </w:rPr>
          <w:instrText xml:space="preserve"> PAGEREF _Toc512441299 \h </w:instrText>
        </w:r>
        <w:r>
          <w:rPr>
            <w:noProof/>
            <w:webHidden/>
          </w:rPr>
        </w:r>
        <w:r>
          <w:rPr>
            <w:noProof/>
            <w:webHidden/>
          </w:rPr>
          <w:fldChar w:fldCharType="separate"/>
        </w:r>
        <w:r>
          <w:rPr>
            <w:noProof/>
            <w:webHidden/>
          </w:rPr>
          <w:t>17</w:t>
        </w:r>
        <w:r>
          <w:rPr>
            <w:noProof/>
            <w:webHidden/>
          </w:rPr>
          <w:fldChar w:fldCharType="end"/>
        </w:r>
      </w:hyperlink>
    </w:p>
    <w:p w:rsidR="00E507AF" w:rsidRDefault="00E507AF">
      <w:pPr>
        <w:pStyle w:val="TDC2"/>
        <w:rPr>
          <w:rFonts w:eastAsiaTheme="minorEastAsia"/>
          <w:smallCaps w:val="0"/>
          <w:noProof/>
          <w:sz w:val="22"/>
          <w:szCs w:val="22"/>
          <w:lang w:eastAsia="es-ES"/>
        </w:rPr>
      </w:pPr>
      <w:hyperlink w:anchor="_Toc512441300" w:history="1">
        <w:r w:rsidRPr="006C7487">
          <w:rPr>
            <w:rStyle w:val="Hipervnculo"/>
            <w:noProof/>
          </w:rPr>
          <w:t>Datos recogidos</w:t>
        </w:r>
        <w:r>
          <w:rPr>
            <w:noProof/>
            <w:webHidden/>
          </w:rPr>
          <w:tab/>
        </w:r>
        <w:r>
          <w:rPr>
            <w:noProof/>
            <w:webHidden/>
          </w:rPr>
          <w:fldChar w:fldCharType="begin"/>
        </w:r>
        <w:r>
          <w:rPr>
            <w:noProof/>
            <w:webHidden/>
          </w:rPr>
          <w:instrText xml:space="preserve"> PAGEREF _Toc512441300 \h </w:instrText>
        </w:r>
        <w:r>
          <w:rPr>
            <w:noProof/>
            <w:webHidden/>
          </w:rPr>
        </w:r>
        <w:r>
          <w:rPr>
            <w:noProof/>
            <w:webHidden/>
          </w:rPr>
          <w:fldChar w:fldCharType="separate"/>
        </w:r>
        <w:r>
          <w:rPr>
            <w:noProof/>
            <w:webHidden/>
          </w:rPr>
          <w:t>17</w:t>
        </w:r>
        <w:r>
          <w:rPr>
            <w:noProof/>
            <w:webHidden/>
          </w:rPr>
          <w:fldChar w:fldCharType="end"/>
        </w:r>
      </w:hyperlink>
    </w:p>
    <w:p w:rsidR="00E507AF" w:rsidRDefault="00E507AF">
      <w:pPr>
        <w:pStyle w:val="TDC2"/>
        <w:rPr>
          <w:rFonts w:eastAsiaTheme="minorEastAsia"/>
          <w:smallCaps w:val="0"/>
          <w:noProof/>
          <w:sz w:val="22"/>
          <w:szCs w:val="22"/>
          <w:lang w:eastAsia="es-ES"/>
        </w:rPr>
      </w:pPr>
      <w:hyperlink w:anchor="_Toc512441301" w:history="1">
        <w:r w:rsidRPr="006C7487">
          <w:rPr>
            <w:rStyle w:val="Hipervnculo"/>
            <w:noProof/>
          </w:rPr>
          <w:t>Análisis estadístico</w:t>
        </w:r>
        <w:r>
          <w:rPr>
            <w:noProof/>
            <w:webHidden/>
          </w:rPr>
          <w:tab/>
        </w:r>
        <w:r>
          <w:rPr>
            <w:noProof/>
            <w:webHidden/>
          </w:rPr>
          <w:fldChar w:fldCharType="begin"/>
        </w:r>
        <w:r>
          <w:rPr>
            <w:noProof/>
            <w:webHidden/>
          </w:rPr>
          <w:instrText xml:space="preserve"> PAGEREF _Toc512441301 \h </w:instrText>
        </w:r>
        <w:r>
          <w:rPr>
            <w:noProof/>
            <w:webHidden/>
          </w:rPr>
        </w:r>
        <w:r>
          <w:rPr>
            <w:noProof/>
            <w:webHidden/>
          </w:rPr>
          <w:fldChar w:fldCharType="separate"/>
        </w:r>
        <w:r>
          <w:rPr>
            <w:noProof/>
            <w:webHidden/>
          </w:rPr>
          <w:t>17</w:t>
        </w:r>
        <w:r>
          <w:rPr>
            <w:noProof/>
            <w:webHidden/>
          </w:rPr>
          <w:fldChar w:fldCharType="end"/>
        </w:r>
      </w:hyperlink>
    </w:p>
    <w:p w:rsidR="00E507AF" w:rsidRDefault="00E507AF">
      <w:pPr>
        <w:pStyle w:val="TDC3"/>
        <w:tabs>
          <w:tab w:val="right" w:leader="dot" w:pos="8494"/>
        </w:tabs>
        <w:rPr>
          <w:rFonts w:eastAsiaTheme="minorEastAsia"/>
          <w:i w:val="0"/>
          <w:iCs w:val="0"/>
          <w:noProof/>
          <w:sz w:val="22"/>
          <w:szCs w:val="22"/>
          <w:lang w:eastAsia="es-ES"/>
        </w:rPr>
      </w:pPr>
      <w:hyperlink w:anchor="_Toc512441302" w:history="1">
        <w:r w:rsidRPr="006C7487">
          <w:rPr>
            <w:rStyle w:val="Hipervnculo"/>
            <w:noProof/>
          </w:rPr>
          <w:t>Descriptivo</w:t>
        </w:r>
        <w:r>
          <w:rPr>
            <w:noProof/>
            <w:webHidden/>
          </w:rPr>
          <w:tab/>
        </w:r>
        <w:r>
          <w:rPr>
            <w:noProof/>
            <w:webHidden/>
          </w:rPr>
          <w:fldChar w:fldCharType="begin"/>
        </w:r>
        <w:r>
          <w:rPr>
            <w:noProof/>
            <w:webHidden/>
          </w:rPr>
          <w:instrText xml:space="preserve"> PAGEREF _Toc512441302 \h </w:instrText>
        </w:r>
        <w:r>
          <w:rPr>
            <w:noProof/>
            <w:webHidden/>
          </w:rPr>
        </w:r>
        <w:r>
          <w:rPr>
            <w:noProof/>
            <w:webHidden/>
          </w:rPr>
          <w:fldChar w:fldCharType="separate"/>
        </w:r>
        <w:r>
          <w:rPr>
            <w:noProof/>
            <w:webHidden/>
          </w:rPr>
          <w:t>18</w:t>
        </w:r>
        <w:r>
          <w:rPr>
            <w:noProof/>
            <w:webHidden/>
          </w:rPr>
          <w:fldChar w:fldCharType="end"/>
        </w:r>
      </w:hyperlink>
    </w:p>
    <w:p w:rsidR="00E507AF" w:rsidRDefault="00E507AF">
      <w:pPr>
        <w:pStyle w:val="TDC3"/>
        <w:tabs>
          <w:tab w:val="right" w:leader="dot" w:pos="8494"/>
        </w:tabs>
        <w:rPr>
          <w:rFonts w:eastAsiaTheme="minorEastAsia"/>
          <w:i w:val="0"/>
          <w:iCs w:val="0"/>
          <w:noProof/>
          <w:sz w:val="22"/>
          <w:szCs w:val="22"/>
          <w:lang w:eastAsia="es-ES"/>
        </w:rPr>
      </w:pPr>
      <w:hyperlink w:anchor="_Toc512441303" w:history="1">
        <w:r w:rsidRPr="006C7487">
          <w:rPr>
            <w:rStyle w:val="Hipervnculo"/>
            <w:rFonts w:eastAsia="ArialMT"/>
            <w:noProof/>
          </w:rPr>
          <w:t>Analítico</w:t>
        </w:r>
        <w:r>
          <w:rPr>
            <w:noProof/>
            <w:webHidden/>
          </w:rPr>
          <w:tab/>
        </w:r>
        <w:r>
          <w:rPr>
            <w:noProof/>
            <w:webHidden/>
          </w:rPr>
          <w:fldChar w:fldCharType="begin"/>
        </w:r>
        <w:r>
          <w:rPr>
            <w:noProof/>
            <w:webHidden/>
          </w:rPr>
          <w:instrText xml:space="preserve"> PAGEREF _Toc512441303 \h </w:instrText>
        </w:r>
        <w:r>
          <w:rPr>
            <w:noProof/>
            <w:webHidden/>
          </w:rPr>
        </w:r>
        <w:r>
          <w:rPr>
            <w:noProof/>
            <w:webHidden/>
          </w:rPr>
          <w:fldChar w:fldCharType="separate"/>
        </w:r>
        <w:r>
          <w:rPr>
            <w:noProof/>
            <w:webHidden/>
          </w:rPr>
          <w:t>18</w:t>
        </w:r>
        <w:r>
          <w:rPr>
            <w:noProof/>
            <w:webHidden/>
          </w:rPr>
          <w:fldChar w:fldCharType="end"/>
        </w:r>
      </w:hyperlink>
    </w:p>
    <w:p w:rsidR="00E507AF" w:rsidRDefault="00E507AF">
      <w:pPr>
        <w:pStyle w:val="TDC1"/>
        <w:tabs>
          <w:tab w:val="right" w:leader="dot" w:pos="8494"/>
        </w:tabs>
        <w:rPr>
          <w:rFonts w:eastAsiaTheme="minorEastAsia"/>
          <w:b w:val="0"/>
          <w:bCs w:val="0"/>
          <w:caps w:val="0"/>
          <w:noProof/>
          <w:sz w:val="22"/>
          <w:szCs w:val="22"/>
          <w:lang w:eastAsia="es-ES"/>
        </w:rPr>
      </w:pPr>
      <w:hyperlink w:anchor="_Toc512441304" w:history="1">
        <w:r w:rsidRPr="006C7487">
          <w:rPr>
            <w:rStyle w:val="Hipervnculo"/>
            <w:noProof/>
          </w:rPr>
          <w:t>Resultados</w:t>
        </w:r>
        <w:r>
          <w:rPr>
            <w:noProof/>
            <w:webHidden/>
          </w:rPr>
          <w:tab/>
        </w:r>
        <w:r>
          <w:rPr>
            <w:noProof/>
            <w:webHidden/>
          </w:rPr>
          <w:fldChar w:fldCharType="begin"/>
        </w:r>
        <w:r>
          <w:rPr>
            <w:noProof/>
            <w:webHidden/>
          </w:rPr>
          <w:instrText xml:space="preserve"> PAGEREF _Toc512441304 \h </w:instrText>
        </w:r>
        <w:r>
          <w:rPr>
            <w:noProof/>
            <w:webHidden/>
          </w:rPr>
        </w:r>
        <w:r>
          <w:rPr>
            <w:noProof/>
            <w:webHidden/>
          </w:rPr>
          <w:fldChar w:fldCharType="separate"/>
        </w:r>
        <w:r>
          <w:rPr>
            <w:noProof/>
            <w:webHidden/>
          </w:rPr>
          <w:t>18</w:t>
        </w:r>
        <w:r>
          <w:rPr>
            <w:noProof/>
            <w:webHidden/>
          </w:rPr>
          <w:fldChar w:fldCharType="end"/>
        </w:r>
      </w:hyperlink>
    </w:p>
    <w:p w:rsidR="00E507AF" w:rsidRDefault="00E507AF">
      <w:pPr>
        <w:pStyle w:val="TDC2"/>
        <w:rPr>
          <w:rFonts w:eastAsiaTheme="minorEastAsia"/>
          <w:smallCaps w:val="0"/>
          <w:noProof/>
          <w:sz w:val="22"/>
          <w:szCs w:val="22"/>
          <w:lang w:eastAsia="es-ES"/>
        </w:rPr>
      </w:pPr>
      <w:hyperlink w:anchor="_Toc512441305" w:history="1">
        <w:r w:rsidRPr="006C7487">
          <w:rPr>
            <w:rStyle w:val="Hipervnculo"/>
            <w:noProof/>
          </w:rPr>
          <w:t>Descripción de la muestra</w:t>
        </w:r>
        <w:r>
          <w:rPr>
            <w:noProof/>
            <w:webHidden/>
          </w:rPr>
          <w:tab/>
        </w:r>
        <w:r>
          <w:rPr>
            <w:noProof/>
            <w:webHidden/>
          </w:rPr>
          <w:fldChar w:fldCharType="begin"/>
        </w:r>
        <w:r>
          <w:rPr>
            <w:noProof/>
            <w:webHidden/>
          </w:rPr>
          <w:instrText xml:space="preserve"> PAGEREF _Toc512441305 \h </w:instrText>
        </w:r>
        <w:r>
          <w:rPr>
            <w:noProof/>
            <w:webHidden/>
          </w:rPr>
        </w:r>
        <w:r>
          <w:rPr>
            <w:noProof/>
            <w:webHidden/>
          </w:rPr>
          <w:fldChar w:fldCharType="separate"/>
        </w:r>
        <w:r>
          <w:rPr>
            <w:noProof/>
            <w:webHidden/>
          </w:rPr>
          <w:t>18</w:t>
        </w:r>
        <w:r>
          <w:rPr>
            <w:noProof/>
            <w:webHidden/>
          </w:rPr>
          <w:fldChar w:fldCharType="end"/>
        </w:r>
      </w:hyperlink>
    </w:p>
    <w:p w:rsidR="00E507AF" w:rsidRDefault="00E507AF">
      <w:pPr>
        <w:pStyle w:val="TDC2"/>
        <w:rPr>
          <w:rFonts w:eastAsiaTheme="minorEastAsia"/>
          <w:smallCaps w:val="0"/>
          <w:noProof/>
          <w:sz w:val="22"/>
          <w:szCs w:val="22"/>
          <w:lang w:eastAsia="es-ES"/>
        </w:rPr>
      </w:pPr>
      <w:hyperlink w:anchor="_Toc512441306" w:history="1">
        <w:r w:rsidRPr="006C7487">
          <w:rPr>
            <w:rStyle w:val="Hipervnculo"/>
            <w:noProof/>
          </w:rPr>
          <w:t>Descripción de las complicaciones</w:t>
        </w:r>
        <w:r>
          <w:rPr>
            <w:noProof/>
            <w:webHidden/>
          </w:rPr>
          <w:tab/>
        </w:r>
        <w:r>
          <w:rPr>
            <w:noProof/>
            <w:webHidden/>
          </w:rPr>
          <w:fldChar w:fldCharType="begin"/>
        </w:r>
        <w:r>
          <w:rPr>
            <w:noProof/>
            <w:webHidden/>
          </w:rPr>
          <w:instrText xml:space="preserve"> PAGEREF _Toc512441306 \h </w:instrText>
        </w:r>
        <w:r>
          <w:rPr>
            <w:noProof/>
            <w:webHidden/>
          </w:rPr>
        </w:r>
        <w:r>
          <w:rPr>
            <w:noProof/>
            <w:webHidden/>
          </w:rPr>
          <w:fldChar w:fldCharType="separate"/>
        </w:r>
        <w:r>
          <w:rPr>
            <w:noProof/>
            <w:webHidden/>
          </w:rPr>
          <w:t>20</w:t>
        </w:r>
        <w:r>
          <w:rPr>
            <w:noProof/>
            <w:webHidden/>
          </w:rPr>
          <w:fldChar w:fldCharType="end"/>
        </w:r>
      </w:hyperlink>
    </w:p>
    <w:p w:rsidR="00E507AF" w:rsidRDefault="00E507AF">
      <w:pPr>
        <w:pStyle w:val="TDC2"/>
        <w:rPr>
          <w:rFonts w:eastAsiaTheme="minorEastAsia"/>
          <w:smallCaps w:val="0"/>
          <w:noProof/>
          <w:sz w:val="22"/>
          <w:szCs w:val="22"/>
          <w:lang w:eastAsia="es-ES"/>
        </w:rPr>
      </w:pPr>
      <w:hyperlink w:anchor="_Toc512441307" w:history="1">
        <w:r w:rsidRPr="006C7487">
          <w:rPr>
            <w:rStyle w:val="Hipervnculo"/>
            <w:noProof/>
          </w:rPr>
          <w:t>Relaciones entre variables</w:t>
        </w:r>
        <w:r>
          <w:rPr>
            <w:noProof/>
            <w:webHidden/>
          </w:rPr>
          <w:tab/>
        </w:r>
        <w:r>
          <w:rPr>
            <w:noProof/>
            <w:webHidden/>
          </w:rPr>
          <w:fldChar w:fldCharType="begin"/>
        </w:r>
        <w:r>
          <w:rPr>
            <w:noProof/>
            <w:webHidden/>
          </w:rPr>
          <w:instrText xml:space="preserve"> PAGEREF _Toc512441307 \h </w:instrText>
        </w:r>
        <w:r>
          <w:rPr>
            <w:noProof/>
            <w:webHidden/>
          </w:rPr>
        </w:r>
        <w:r>
          <w:rPr>
            <w:noProof/>
            <w:webHidden/>
          </w:rPr>
          <w:fldChar w:fldCharType="separate"/>
        </w:r>
        <w:r>
          <w:rPr>
            <w:noProof/>
            <w:webHidden/>
          </w:rPr>
          <w:t>21</w:t>
        </w:r>
        <w:r>
          <w:rPr>
            <w:noProof/>
            <w:webHidden/>
          </w:rPr>
          <w:fldChar w:fldCharType="end"/>
        </w:r>
      </w:hyperlink>
    </w:p>
    <w:p w:rsidR="00E507AF" w:rsidRDefault="00E507AF">
      <w:pPr>
        <w:pStyle w:val="TDC1"/>
        <w:tabs>
          <w:tab w:val="right" w:leader="dot" w:pos="8494"/>
        </w:tabs>
        <w:rPr>
          <w:rFonts w:eastAsiaTheme="minorEastAsia"/>
          <w:b w:val="0"/>
          <w:bCs w:val="0"/>
          <w:caps w:val="0"/>
          <w:noProof/>
          <w:sz w:val="22"/>
          <w:szCs w:val="22"/>
          <w:lang w:eastAsia="es-ES"/>
        </w:rPr>
      </w:pPr>
      <w:hyperlink w:anchor="_Toc512441308" w:history="1">
        <w:r w:rsidRPr="006C7487">
          <w:rPr>
            <w:rStyle w:val="Hipervnculo"/>
            <w:noProof/>
          </w:rPr>
          <w:t>Discusión</w:t>
        </w:r>
        <w:r>
          <w:rPr>
            <w:noProof/>
            <w:webHidden/>
          </w:rPr>
          <w:tab/>
        </w:r>
        <w:r>
          <w:rPr>
            <w:noProof/>
            <w:webHidden/>
          </w:rPr>
          <w:fldChar w:fldCharType="begin"/>
        </w:r>
        <w:r>
          <w:rPr>
            <w:noProof/>
            <w:webHidden/>
          </w:rPr>
          <w:instrText xml:space="preserve"> PAGEREF _Toc512441308 \h </w:instrText>
        </w:r>
        <w:r>
          <w:rPr>
            <w:noProof/>
            <w:webHidden/>
          </w:rPr>
        </w:r>
        <w:r>
          <w:rPr>
            <w:noProof/>
            <w:webHidden/>
          </w:rPr>
          <w:fldChar w:fldCharType="separate"/>
        </w:r>
        <w:r>
          <w:rPr>
            <w:noProof/>
            <w:webHidden/>
          </w:rPr>
          <w:t>23</w:t>
        </w:r>
        <w:r>
          <w:rPr>
            <w:noProof/>
            <w:webHidden/>
          </w:rPr>
          <w:fldChar w:fldCharType="end"/>
        </w:r>
      </w:hyperlink>
    </w:p>
    <w:p w:rsidR="00E507AF" w:rsidRDefault="00E507AF">
      <w:pPr>
        <w:pStyle w:val="TDC1"/>
        <w:tabs>
          <w:tab w:val="right" w:leader="dot" w:pos="8494"/>
        </w:tabs>
        <w:rPr>
          <w:rFonts w:eastAsiaTheme="minorEastAsia"/>
          <w:b w:val="0"/>
          <w:bCs w:val="0"/>
          <w:caps w:val="0"/>
          <w:noProof/>
          <w:sz w:val="22"/>
          <w:szCs w:val="22"/>
          <w:lang w:eastAsia="es-ES"/>
        </w:rPr>
      </w:pPr>
      <w:hyperlink w:anchor="_Toc512441309" w:history="1">
        <w:r w:rsidRPr="006C7487">
          <w:rPr>
            <w:rStyle w:val="Hipervnculo"/>
            <w:noProof/>
          </w:rPr>
          <w:t>Conclusiones</w:t>
        </w:r>
        <w:r>
          <w:rPr>
            <w:noProof/>
            <w:webHidden/>
          </w:rPr>
          <w:tab/>
        </w:r>
        <w:r>
          <w:rPr>
            <w:noProof/>
            <w:webHidden/>
          </w:rPr>
          <w:fldChar w:fldCharType="begin"/>
        </w:r>
        <w:r>
          <w:rPr>
            <w:noProof/>
            <w:webHidden/>
          </w:rPr>
          <w:instrText xml:space="preserve"> PAGEREF _Toc512441309 \h </w:instrText>
        </w:r>
        <w:r>
          <w:rPr>
            <w:noProof/>
            <w:webHidden/>
          </w:rPr>
        </w:r>
        <w:r>
          <w:rPr>
            <w:noProof/>
            <w:webHidden/>
          </w:rPr>
          <w:fldChar w:fldCharType="separate"/>
        </w:r>
        <w:r>
          <w:rPr>
            <w:noProof/>
            <w:webHidden/>
          </w:rPr>
          <w:t>23</w:t>
        </w:r>
        <w:r>
          <w:rPr>
            <w:noProof/>
            <w:webHidden/>
          </w:rPr>
          <w:fldChar w:fldCharType="end"/>
        </w:r>
      </w:hyperlink>
    </w:p>
    <w:p w:rsidR="00E507AF" w:rsidRDefault="00E507AF">
      <w:pPr>
        <w:pStyle w:val="TDC1"/>
        <w:tabs>
          <w:tab w:val="right" w:leader="dot" w:pos="8494"/>
        </w:tabs>
        <w:rPr>
          <w:rFonts w:eastAsiaTheme="minorEastAsia"/>
          <w:b w:val="0"/>
          <w:bCs w:val="0"/>
          <w:caps w:val="0"/>
          <w:noProof/>
          <w:sz w:val="22"/>
          <w:szCs w:val="22"/>
          <w:lang w:eastAsia="es-ES"/>
        </w:rPr>
      </w:pPr>
      <w:hyperlink w:anchor="_Toc512441310" w:history="1">
        <w:r w:rsidRPr="006C7487">
          <w:rPr>
            <w:rStyle w:val="Hipervnculo"/>
            <w:noProof/>
          </w:rPr>
          <w:t>Bibliografía</w:t>
        </w:r>
        <w:r>
          <w:rPr>
            <w:noProof/>
            <w:webHidden/>
          </w:rPr>
          <w:tab/>
        </w:r>
        <w:r>
          <w:rPr>
            <w:noProof/>
            <w:webHidden/>
          </w:rPr>
          <w:fldChar w:fldCharType="begin"/>
        </w:r>
        <w:r>
          <w:rPr>
            <w:noProof/>
            <w:webHidden/>
          </w:rPr>
          <w:instrText xml:space="preserve"> PAGEREF _Toc512441310 \h </w:instrText>
        </w:r>
        <w:r>
          <w:rPr>
            <w:noProof/>
            <w:webHidden/>
          </w:rPr>
        </w:r>
        <w:r>
          <w:rPr>
            <w:noProof/>
            <w:webHidden/>
          </w:rPr>
          <w:fldChar w:fldCharType="separate"/>
        </w:r>
        <w:r>
          <w:rPr>
            <w:noProof/>
            <w:webHidden/>
          </w:rPr>
          <w:t>23</w:t>
        </w:r>
        <w:r>
          <w:rPr>
            <w:noProof/>
            <w:webHidden/>
          </w:rPr>
          <w:fldChar w:fldCharType="end"/>
        </w:r>
      </w:hyperlink>
    </w:p>
    <w:p w:rsidR="00CE72B9" w:rsidRDefault="001E752C" w:rsidP="00900E8E">
      <w:r>
        <w:fldChar w:fldCharType="end"/>
      </w:r>
    </w:p>
    <w:p w:rsidR="00900E8E" w:rsidRDefault="00900E8E" w:rsidP="00900E8E"/>
    <w:p w:rsidR="00816CDF" w:rsidRDefault="00816CDF">
      <w:pPr>
        <w:sectPr w:rsidR="00816CDF" w:rsidSect="0090528B">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de Figuras</w:t>
      </w:r>
    </w:p>
    <w:p w:rsidR="00E507AF" w:rsidRDefault="001E752C">
      <w:pPr>
        <w:pStyle w:val="Tabladeilustraciones"/>
        <w:tabs>
          <w:tab w:val="right" w:leader="dot" w:pos="8494"/>
        </w:tabs>
        <w:rPr>
          <w:rFonts w:eastAsiaTheme="minorEastAsia"/>
          <w:b w:val="0"/>
          <w:bCs w:val="0"/>
          <w:noProof/>
          <w:sz w:val="22"/>
          <w:szCs w:val="22"/>
          <w:lang w:eastAsia="es-ES"/>
        </w:rPr>
      </w:pPr>
      <w:r>
        <w:fldChar w:fldCharType="begin"/>
      </w:r>
      <w:r w:rsidR="00BE2B5B">
        <w:instrText xml:space="preserve"> TOC \h \z \t "Epígrafe" \c </w:instrText>
      </w:r>
      <w:r>
        <w:fldChar w:fldCharType="separate"/>
      </w:r>
      <w:hyperlink r:id="rId14" w:anchor="_Toc512441272" w:history="1">
        <w:r w:rsidR="00E507AF" w:rsidRPr="00E72855">
          <w:rPr>
            <w:rStyle w:val="Hipervnculo"/>
            <w:noProof/>
          </w:rPr>
          <w:t>Figura 1. Proporción de hombres y mujeres en la muestra.</w:t>
        </w:r>
        <w:r w:rsidR="00E507AF">
          <w:rPr>
            <w:noProof/>
            <w:webHidden/>
          </w:rPr>
          <w:tab/>
        </w:r>
        <w:r w:rsidR="00E507AF">
          <w:rPr>
            <w:noProof/>
            <w:webHidden/>
          </w:rPr>
          <w:fldChar w:fldCharType="begin"/>
        </w:r>
        <w:r w:rsidR="00E507AF">
          <w:rPr>
            <w:noProof/>
            <w:webHidden/>
          </w:rPr>
          <w:instrText xml:space="preserve"> PAGEREF _Toc512441272 \h </w:instrText>
        </w:r>
        <w:r w:rsidR="00E507AF">
          <w:rPr>
            <w:noProof/>
            <w:webHidden/>
          </w:rPr>
        </w:r>
        <w:r w:rsidR="00E507AF">
          <w:rPr>
            <w:noProof/>
            <w:webHidden/>
          </w:rPr>
          <w:fldChar w:fldCharType="separate"/>
        </w:r>
        <w:r w:rsidR="00E507AF">
          <w:rPr>
            <w:noProof/>
            <w:webHidden/>
          </w:rPr>
          <w:t>18</w:t>
        </w:r>
        <w:r w:rsidR="00E507AF">
          <w:rPr>
            <w:noProof/>
            <w:webHidden/>
          </w:rPr>
          <w:fldChar w:fldCharType="end"/>
        </w:r>
      </w:hyperlink>
    </w:p>
    <w:p w:rsidR="00E507AF" w:rsidRDefault="00E507AF">
      <w:pPr>
        <w:pStyle w:val="Tabladeilustraciones"/>
        <w:tabs>
          <w:tab w:val="right" w:leader="dot" w:pos="8494"/>
        </w:tabs>
        <w:rPr>
          <w:rFonts w:eastAsiaTheme="minorEastAsia"/>
          <w:b w:val="0"/>
          <w:bCs w:val="0"/>
          <w:noProof/>
          <w:sz w:val="22"/>
          <w:szCs w:val="22"/>
          <w:lang w:eastAsia="es-ES"/>
        </w:rPr>
      </w:pPr>
      <w:hyperlink r:id="rId15" w:anchor="_Toc512441273" w:history="1">
        <w:r w:rsidRPr="00E72855">
          <w:rPr>
            <w:rStyle w:val="Hipervnculo"/>
            <w:noProof/>
          </w:rPr>
          <w:t>Figura 2. Proporción de pacientes mayores y menores de 60 años.</w:t>
        </w:r>
        <w:r>
          <w:rPr>
            <w:noProof/>
            <w:webHidden/>
          </w:rPr>
          <w:tab/>
        </w:r>
        <w:r>
          <w:rPr>
            <w:noProof/>
            <w:webHidden/>
          </w:rPr>
          <w:fldChar w:fldCharType="begin"/>
        </w:r>
        <w:r>
          <w:rPr>
            <w:noProof/>
            <w:webHidden/>
          </w:rPr>
          <w:instrText xml:space="preserve"> PAGEREF _Toc512441273 \h </w:instrText>
        </w:r>
        <w:r>
          <w:rPr>
            <w:noProof/>
            <w:webHidden/>
          </w:rPr>
        </w:r>
        <w:r>
          <w:rPr>
            <w:noProof/>
            <w:webHidden/>
          </w:rPr>
          <w:fldChar w:fldCharType="separate"/>
        </w:r>
        <w:r>
          <w:rPr>
            <w:noProof/>
            <w:webHidden/>
          </w:rPr>
          <w:t>18</w:t>
        </w:r>
        <w:r>
          <w:rPr>
            <w:noProof/>
            <w:webHidden/>
          </w:rPr>
          <w:fldChar w:fldCharType="end"/>
        </w:r>
      </w:hyperlink>
    </w:p>
    <w:p w:rsidR="00E507AF" w:rsidRDefault="00E507AF">
      <w:pPr>
        <w:pStyle w:val="Tabladeilustraciones"/>
        <w:tabs>
          <w:tab w:val="right" w:leader="dot" w:pos="8494"/>
        </w:tabs>
        <w:rPr>
          <w:rFonts w:eastAsiaTheme="minorEastAsia"/>
          <w:b w:val="0"/>
          <w:bCs w:val="0"/>
          <w:noProof/>
          <w:sz w:val="22"/>
          <w:szCs w:val="22"/>
          <w:lang w:eastAsia="es-ES"/>
        </w:rPr>
      </w:pPr>
      <w:hyperlink r:id="rId16" w:anchor="_Toc512441274" w:history="1">
        <w:r w:rsidRPr="00E72855">
          <w:rPr>
            <w:rStyle w:val="Hipervnculo"/>
            <w:noProof/>
          </w:rPr>
          <w:t>Figura 3. Proporción de pacientes que presentan algún tipo de comorbilidad.</w:t>
        </w:r>
        <w:r>
          <w:rPr>
            <w:noProof/>
            <w:webHidden/>
          </w:rPr>
          <w:tab/>
        </w:r>
        <w:r>
          <w:rPr>
            <w:noProof/>
            <w:webHidden/>
          </w:rPr>
          <w:fldChar w:fldCharType="begin"/>
        </w:r>
        <w:r>
          <w:rPr>
            <w:noProof/>
            <w:webHidden/>
          </w:rPr>
          <w:instrText xml:space="preserve"> PAGEREF _Toc512441274 \h </w:instrText>
        </w:r>
        <w:r>
          <w:rPr>
            <w:noProof/>
            <w:webHidden/>
          </w:rPr>
        </w:r>
        <w:r>
          <w:rPr>
            <w:noProof/>
            <w:webHidden/>
          </w:rPr>
          <w:fldChar w:fldCharType="separate"/>
        </w:r>
        <w:r>
          <w:rPr>
            <w:noProof/>
            <w:webHidden/>
          </w:rPr>
          <w:t>18</w:t>
        </w:r>
        <w:r>
          <w:rPr>
            <w:noProof/>
            <w:webHidden/>
          </w:rPr>
          <w:fldChar w:fldCharType="end"/>
        </w:r>
      </w:hyperlink>
    </w:p>
    <w:p w:rsidR="00E507AF" w:rsidRDefault="00E507AF">
      <w:pPr>
        <w:pStyle w:val="Tabladeilustraciones"/>
        <w:tabs>
          <w:tab w:val="right" w:leader="dot" w:pos="8494"/>
        </w:tabs>
        <w:rPr>
          <w:rFonts w:eastAsiaTheme="minorEastAsia"/>
          <w:b w:val="0"/>
          <w:bCs w:val="0"/>
          <w:noProof/>
          <w:sz w:val="22"/>
          <w:szCs w:val="22"/>
          <w:lang w:eastAsia="es-ES"/>
        </w:rPr>
      </w:pPr>
      <w:hyperlink r:id="rId17" w:anchor="_Toc512441275" w:history="1">
        <w:r w:rsidRPr="00E72855">
          <w:rPr>
            <w:rStyle w:val="Hipervnculo"/>
            <w:noProof/>
          </w:rPr>
          <w:t>Figura 7. Localizaciones de los aneurismas</w:t>
        </w:r>
        <w:r>
          <w:rPr>
            <w:noProof/>
            <w:webHidden/>
          </w:rPr>
          <w:tab/>
        </w:r>
        <w:r>
          <w:rPr>
            <w:noProof/>
            <w:webHidden/>
          </w:rPr>
          <w:fldChar w:fldCharType="begin"/>
        </w:r>
        <w:r>
          <w:rPr>
            <w:noProof/>
            <w:webHidden/>
          </w:rPr>
          <w:instrText xml:space="preserve"> PAGEREF _Toc512441275 \h </w:instrText>
        </w:r>
        <w:r>
          <w:rPr>
            <w:noProof/>
            <w:webHidden/>
          </w:rPr>
        </w:r>
        <w:r>
          <w:rPr>
            <w:noProof/>
            <w:webHidden/>
          </w:rPr>
          <w:fldChar w:fldCharType="separate"/>
        </w:r>
        <w:r>
          <w:rPr>
            <w:noProof/>
            <w:webHidden/>
          </w:rPr>
          <w:t>20</w:t>
        </w:r>
        <w:r>
          <w:rPr>
            <w:noProof/>
            <w:webHidden/>
          </w:rPr>
          <w:fldChar w:fldCharType="end"/>
        </w:r>
      </w:hyperlink>
    </w:p>
    <w:p w:rsidR="00E507AF" w:rsidRDefault="00E507AF">
      <w:pPr>
        <w:pStyle w:val="Tabladeilustraciones"/>
        <w:tabs>
          <w:tab w:val="right" w:leader="dot" w:pos="8494"/>
        </w:tabs>
        <w:rPr>
          <w:rFonts w:eastAsiaTheme="minorEastAsia"/>
          <w:b w:val="0"/>
          <w:bCs w:val="0"/>
          <w:noProof/>
          <w:sz w:val="22"/>
          <w:szCs w:val="22"/>
          <w:lang w:eastAsia="es-ES"/>
        </w:rPr>
      </w:pPr>
      <w:hyperlink r:id="rId18" w:anchor="_Toc512441276" w:history="1">
        <w:r w:rsidRPr="00E72855">
          <w:rPr>
            <w:rStyle w:val="Hipervnculo"/>
            <w:noProof/>
          </w:rPr>
          <w:t>Figura 8. Porcentajes de oclusión de los aneurismas</w:t>
        </w:r>
        <w:r>
          <w:rPr>
            <w:noProof/>
            <w:webHidden/>
          </w:rPr>
          <w:tab/>
        </w:r>
        <w:r>
          <w:rPr>
            <w:noProof/>
            <w:webHidden/>
          </w:rPr>
          <w:fldChar w:fldCharType="begin"/>
        </w:r>
        <w:r>
          <w:rPr>
            <w:noProof/>
            <w:webHidden/>
          </w:rPr>
          <w:instrText xml:space="preserve"> PAGEREF _Toc512441276 \h </w:instrText>
        </w:r>
        <w:r>
          <w:rPr>
            <w:noProof/>
            <w:webHidden/>
          </w:rPr>
        </w:r>
        <w:r>
          <w:rPr>
            <w:noProof/>
            <w:webHidden/>
          </w:rPr>
          <w:fldChar w:fldCharType="separate"/>
        </w:r>
        <w:r>
          <w:rPr>
            <w:noProof/>
            <w:webHidden/>
          </w:rPr>
          <w:t>20</w:t>
        </w:r>
        <w:r>
          <w:rPr>
            <w:noProof/>
            <w:webHidden/>
          </w:rPr>
          <w:fldChar w:fldCharType="end"/>
        </w:r>
      </w:hyperlink>
    </w:p>
    <w:p w:rsidR="00E507AF" w:rsidRDefault="00E507AF">
      <w:pPr>
        <w:pStyle w:val="Tabladeilustraciones"/>
        <w:tabs>
          <w:tab w:val="right" w:leader="dot" w:pos="8494"/>
        </w:tabs>
        <w:rPr>
          <w:rFonts w:eastAsiaTheme="minorEastAsia"/>
          <w:b w:val="0"/>
          <w:bCs w:val="0"/>
          <w:noProof/>
          <w:sz w:val="22"/>
          <w:szCs w:val="22"/>
          <w:lang w:eastAsia="es-ES"/>
        </w:rPr>
      </w:pPr>
      <w:hyperlink r:id="rId19" w:anchor="_Toc512441277" w:history="1">
        <w:r w:rsidRPr="00E72855">
          <w:rPr>
            <w:rStyle w:val="Hipervnculo"/>
            <w:noProof/>
          </w:rPr>
          <w:t>Figura 9. Proporción de complicaciones</w:t>
        </w:r>
        <w:r>
          <w:rPr>
            <w:noProof/>
            <w:webHidden/>
          </w:rPr>
          <w:tab/>
        </w:r>
        <w:r>
          <w:rPr>
            <w:noProof/>
            <w:webHidden/>
          </w:rPr>
          <w:fldChar w:fldCharType="begin"/>
        </w:r>
        <w:r>
          <w:rPr>
            <w:noProof/>
            <w:webHidden/>
          </w:rPr>
          <w:instrText xml:space="preserve"> PAGEREF _Toc512441277 \h </w:instrText>
        </w:r>
        <w:r>
          <w:rPr>
            <w:noProof/>
            <w:webHidden/>
          </w:rPr>
        </w:r>
        <w:r>
          <w:rPr>
            <w:noProof/>
            <w:webHidden/>
          </w:rPr>
          <w:fldChar w:fldCharType="separate"/>
        </w:r>
        <w:r>
          <w:rPr>
            <w:noProof/>
            <w:webHidden/>
          </w:rPr>
          <w:t>20</w:t>
        </w:r>
        <w:r>
          <w:rPr>
            <w:noProof/>
            <w:webHidden/>
          </w:rPr>
          <w:fldChar w:fldCharType="end"/>
        </w:r>
      </w:hyperlink>
    </w:p>
    <w:p w:rsidR="00E507AF" w:rsidRDefault="00E507AF">
      <w:pPr>
        <w:pStyle w:val="Tabladeilustraciones"/>
        <w:tabs>
          <w:tab w:val="right" w:leader="dot" w:pos="8494"/>
        </w:tabs>
        <w:rPr>
          <w:rFonts w:eastAsiaTheme="minorEastAsia"/>
          <w:b w:val="0"/>
          <w:bCs w:val="0"/>
          <w:noProof/>
          <w:sz w:val="22"/>
          <w:szCs w:val="22"/>
          <w:lang w:eastAsia="es-ES"/>
        </w:rPr>
      </w:pPr>
      <w:hyperlink r:id="rId20" w:anchor="_Toc512441278" w:history="1">
        <w:r w:rsidRPr="00E72855">
          <w:rPr>
            <w:rStyle w:val="Hipervnculo"/>
            <w:noProof/>
          </w:rPr>
          <w:t>Tabla 1. Tabla cruzada entre hábito tabáquico y la edad.</w:t>
        </w:r>
        <w:r>
          <w:rPr>
            <w:noProof/>
            <w:webHidden/>
          </w:rPr>
          <w:tab/>
        </w:r>
        <w:r>
          <w:rPr>
            <w:noProof/>
            <w:webHidden/>
          </w:rPr>
          <w:fldChar w:fldCharType="begin"/>
        </w:r>
        <w:r>
          <w:rPr>
            <w:noProof/>
            <w:webHidden/>
          </w:rPr>
          <w:instrText xml:space="preserve"> PAGEREF _Toc512441278 \h </w:instrText>
        </w:r>
        <w:r>
          <w:rPr>
            <w:noProof/>
            <w:webHidden/>
          </w:rPr>
        </w:r>
        <w:r>
          <w:rPr>
            <w:noProof/>
            <w:webHidden/>
          </w:rPr>
          <w:fldChar w:fldCharType="separate"/>
        </w:r>
        <w:r>
          <w:rPr>
            <w:noProof/>
            <w:webHidden/>
          </w:rPr>
          <w:t>21</w:t>
        </w:r>
        <w:r>
          <w:rPr>
            <w:noProof/>
            <w:webHidden/>
          </w:rPr>
          <w:fldChar w:fldCharType="end"/>
        </w:r>
      </w:hyperlink>
    </w:p>
    <w:p w:rsidR="00E507AF" w:rsidRDefault="00E507AF">
      <w:pPr>
        <w:pStyle w:val="Tabladeilustraciones"/>
        <w:tabs>
          <w:tab w:val="right" w:leader="dot" w:pos="8494"/>
        </w:tabs>
        <w:rPr>
          <w:rFonts w:eastAsiaTheme="minorEastAsia"/>
          <w:b w:val="0"/>
          <w:bCs w:val="0"/>
          <w:noProof/>
          <w:sz w:val="22"/>
          <w:szCs w:val="22"/>
          <w:lang w:eastAsia="es-ES"/>
        </w:rPr>
      </w:pPr>
      <w:hyperlink r:id="rId21" w:anchor="_Toc512441279" w:history="1">
        <w:r w:rsidRPr="00E72855">
          <w:rPr>
            <w:rStyle w:val="Hipervnculo"/>
            <w:noProof/>
          </w:rPr>
          <w:t>Figura 10. Diagrama de barras: Relación entre edad y presencia de comorbilidades.</w:t>
        </w:r>
        <w:r>
          <w:rPr>
            <w:noProof/>
            <w:webHidden/>
          </w:rPr>
          <w:tab/>
        </w:r>
        <w:r>
          <w:rPr>
            <w:noProof/>
            <w:webHidden/>
          </w:rPr>
          <w:fldChar w:fldCharType="begin"/>
        </w:r>
        <w:r>
          <w:rPr>
            <w:noProof/>
            <w:webHidden/>
          </w:rPr>
          <w:instrText xml:space="preserve"> PAGEREF _Toc512441279 \h </w:instrText>
        </w:r>
        <w:r>
          <w:rPr>
            <w:noProof/>
            <w:webHidden/>
          </w:rPr>
        </w:r>
        <w:r>
          <w:rPr>
            <w:noProof/>
            <w:webHidden/>
          </w:rPr>
          <w:fldChar w:fldCharType="separate"/>
        </w:r>
        <w:r>
          <w:rPr>
            <w:noProof/>
            <w:webHidden/>
          </w:rPr>
          <w:t>21</w:t>
        </w:r>
        <w:r>
          <w:rPr>
            <w:noProof/>
            <w:webHidden/>
          </w:rPr>
          <w:fldChar w:fldCharType="end"/>
        </w:r>
      </w:hyperlink>
    </w:p>
    <w:p w:rsidR="00E507AF" w:rsidRDefault="00E507AF">
      <w:pPr>
        <w:pStyle w:val="Tabladeilustraciones"/>
        <w:tabs>
          <w:tab w:val="right" w:leader="dot" w:pos="8494"/>
        </w:tabs>
        <w:rPr>
          <w:rFonts w:eastAsiaTheme="minorEastAsia"/>
          <w:b w:val="0"/>
          <w:bCs w:val="0"/>
          <w:noProof/>
          <w:sz w:val="22"/>
          <w:szCs w:val="22"/>
          <w:lang w:eastAsia="es-ES"/>
        </w:rPr>
      </w:pPr>
      <w:hyperlink r:id="rId22" w:anchor="_Toc512441280" w:history="1">
        <w:r w:rsidRPr="00E72855">
          <w:rPr>
            <w:rStyle w:val="Hipervnculo"/>
            <w:noProof/>
          </w:rPr>
          <w:t>Figura 11. Diagrama de barras que representa la relación entre el sexo y la presencia de clínica neurológica al diagnóstico.</w:t>
        </w:r>
        <w:r>
          <w:rPr>
            <w:noProof/>
            <w:webHidden/>
          </w:rPr>
          <w:tab/>
        </w:r>
        <w:r>
          <w:rPr>
            <w:noProof/>
            <w:webHidden/>
          </w:rPr>
          <w:fldChar w:fldCharType="begin"/>
        </w:r>
        <w:r>
          <w:rPr>
            <w:noProof/>
            <w:webHidden/>
          </w:rPr>
          <w:instrText xml:space="preserve"> PAGEREF _Toc512441280 \h </w:instrText>
        </w:r>
        <w:r>
          <w:rPr>
            <w:noProof/>
            <w:webHidden/>
          </w:rPr>
        </w:r>
        <w:r>
          <w:rPr>
            <w:noProof/>
            <w:webHidden/>
          </w:rPr>
          <w:fldChar w:fldCharType="separate"/>
        </w:r>
        <w:r>
          <w:rPr>
            <w:noProof/>
            <w:webHidden/>
          </w:rPr>
          <w:t>21</w:t>
        </w:r>
        <w:r>
          <w:rPr>
            <w:noProof/>
            <w:webHidden/>
          </w:rPr>
          <w:fldChar w:fldCharType="end"/>
        </w:r>
      </w:hyperlink>
    </w:p>
    <w:p w:rsidR="00E507AF" w:rsidRDefault="00E507AF">
      <w:pPr>
        <w:pStyle w:val="Tabladeilustraciones"/>
        <w:tabs>
          <w:tab w:val="right" w:leader="dot" w:pos="8494"/>
        </w:tabs>
        <w:rPr>
          <w:rFonts w:eastAsiaTheme="minorEastAsia"/>
          <w:b w:val="0"/>
          <w:bCs w:val="0"/>
          <w:noProof/>
          <w:sz w:val="22"/>
          <w:szCs w:val="22"/>
          <w:lang w:eastAsia="es-ES"/>
        </w:rPr>
      </w:pPr>
      <w:hyperlink r:id="rId23" w:anchor="_Toc512441281" w:history="1">
        <w:r w:rsidRPr="00E72855">
          <w:rPr>
            <w:rStyle w:val="Hipervnculo"/>
            <w:noProof/>
          </w:rPr>
          <w:t>Figura 12. Diagrama de barras que representa la relación entre el consumo de alcohol y la presencia de clínica neurológica al diagnóstico.</w:t>
        </w:r>
        <w:r>
          <w:rPr>
            <w:noProof/>
            <w:webHidden/>
          </w:rPr>
          <w:tab/>
        </w:r>
        <w:r>
          <w:rPr>
            <w:noProof/>
            <w:webHidden/>
          </w:rPr>
          <w:fldChar w:fldCharType="begin"/>
        </w:r>
        <w:r>
          <w:rPr>
            <w:noProof/>
            <w:webHidden/>
          </w:rPr>
          <w:instrText xml:space="preserve"> PAGEREF _Toc512441281 \h </w:instrText>
        </w:r>
        <w:r>
          <w:rPr>
            <w:noProof/>
            <w:webHidden/>
          </w:rPr>
        </w:r>
        <w:r>
          <w:rPr>
            <w:noProof/>
            <w:webHidden/>
          </w:rPr>
          <w:fldChar w:fldCharType="separate"/>
        </w:r>
        <w:r>
          <w:rPr>
            <w:noProof/>
            <w:webHidden/>
          </w:rPr>
          <w:t>21</w:t>
        </w:r>
        <w:r>
          <w:rPr>
            <w:noProof/>
            <w:webHidden/>
          </w:rPr>
          <w:fldChar w:fldCharType="end"/>
        </w:r>
      </w:hyperlink>
    </w:p>
    <w:p w:rsidR="00E507AF" w:rsidRDefault="00E507AF">
      <w:pPr>
        <w:pStyle w:val="Tabladeilustraciones"/>
        <w:tabs>
          <w:tab w:val="right" w:leader="dot" w:pos="8494"/>
        </w:tabs>
        <w:rPr>
          <w:rFonts w:eastAsiaTheme="minorEastAsia"/>
          <w:b w:val="0"/>
          <w:bCs w:val="0"/>
          <w:noProof/>
          <w:sz w:val="22"/>
          <w:szCs w:val="22"/>
          <w:lang w:eastAsia="es-ES"/>
        </w:rPr>
      </w:pPr>
      <w:hyperlink r:id="rId24" w:anchor="_Toc512441282" w:history="1">
        <w:r w:rsidRPr="00E72855">
          <w:rPr>
            <w:rStyle w:val="Hipervnculo"/>
            <w:noProof/>
          </w:rPr>
          <w:t>Figura 13. Diagrama de barras que representa la relación entre el sexo y el consumo de alcohol.</w:t>
        </w:r>
        <w:r>
          <w:rPr>
            <w:noProof/>
            <w:webHidden/>
          </w:rPr>
          <w:tab/>
        </w:r>
        <w:r>
          <w:rPr>
            <w:noProof/>
            <w:webHidden/>
          </w:rPr>
          <w:fldChar w:fldCharType="begin"/>
        </w:r>
        <w:r>
          <w:rPr>
            <w:noProof/>
            <w:webHidden/>
          </w:rPr>
          <w:instrText xml:space="preserve"> PAGEREF _Toc512441282 \h </w:instrText>
        </w:r>
        <w:r>
          <w:rPr>
            <w:noProof/>
            <w:webHidden/>
          </w:rPr>
        </w:r>
        <w:r>
          <w:rPr>
            <w:noProof/>
            <w:webHidden/>
          </w:rPr>
          <w:fldChar w:fldCharType="separate"/>
        </w:r>
        <w:r>
          <w:rPr>
            <w:noProof/>
            <w:webHidden/>
          </w:rPr>
          <w:t>21</w:t>
        </w:r>
        <w:r>
          <w:rPr>
            <w:noProof/>
            <w:webHidden/>
          </w:rPr>
          <w:fldChar w:fldCharType="end"/>
        </w:r>
      </w:hyperlink>
    </w:p>
    <w:p w:rsidR="00E507AF" w:rsidRDefault="00E507AF">
      <w:pPr>
        <w:pStyle w:val="Tabladeilustraciones"/>
        <w:tabs>
          <w:tab w:val="right" w:leader="dot" w:pos="8494"/>
        </w:tabs>
        <w:rPr>
          <w:rFonts w:eastAsiaTheme="minorEastAsia"/>
          <w:b w:val="0"/>
          <w:bCs w:val="0"/>
          <w:noProof/>
          <w:sz w:val="22"/>
          <w:szCs w:val="22"/>
          <w:lang w:eastAsia="es-ES"/>
        </w:rPr>
      </w:pPr>
      <w:hyperlink r:id="rId25" w:anchor="_Toc512441283" w:history="1">
        <w:r w:rsidRPr="00E72855">
          <w:rPr>
            <w:rStyle w:val="Hipervnculo"/>
            <w:noProof/>
          </w:rPr>
          <w:t>Figura 14. Distribución de las localizaciones de los aneurismas según su tamaño</w:t>
        </w:r>
        <w:r>
          <w:rPr>
            <w:noProof/>
            <w:webHidden/>
          </w:rPr>
          <w:tab/>
        </w:r>
        <w:r>
          <w:rPr>
            <w:noProof/>
            <w:webHidden/>
          </w:rPr>
          <w:fldChar w:fldCharType="begin"/>
        </w:r>
        <w:r>
          <w:rPr>
            <w:noProof/>
            <w:webHidden/>
          </w:rPr>
          <w:instrText xml:space="preserve"> PAGEREF _Toc512441283 \h </w:instrText>
        </w:r>
        <w:r>
          <w:rPr>
            <w:noProof/>
            <w:webHidden/>
          </w:rPr>
        </w:r>
        <w:r>
          <w:rPr>
            <w:noProof/>
            <w:webHidden/>
          </w:rPr>
          <w:fldChar w:fldCharType="separate"/>
        </w:r>
        <w:r>
          <w:rPr>
            <w:noProof/>
            <w:webHidden/>
          </w:rPr>
          <w:t>22</w:t>
        </w:r>
        <w:r>
          <w:rPr>
            <w:noProof/>
            <w:webHidden/>
          </w:rPr>
          <w:fldChar w:fldCharType="end"/>
        </w:r>
      </w:hyperlink>
    </w:p>
    <w:p w:rsidR="00E507AF" w:rsidRDefault="00E507AF">
      <w:pPr>
        <w:pStyle w:val="Tabladeilustraciones"/>
        <w:tabs>
          <w:tab w:val="right" w:leader="dot" w:pos="8494"/>
        </w:tabs>
        <w:rPr>
          <w:rFonts w:eastAsiaTheme="minorEastAsia"/>
          <w:b w:val="0"/>
          <w:bCs w:val="0"/>
          <w:noProof/>
          <w:sz w:val="22"/>
          <w:szCs w:val="22"/>
          <w:lang w:eastAsia="es-ES"/>
        </w:rPr>
      </w:pPr>
      <w:hyperlink r:id="rId26" w:anchor="_Toc512441284" w:history="1">
        <w:r w:rsidRPr="00E72855">
          <w:rPr>
            <w:rStyle w:val="Hipervnculo"/>
            <w:noProof/>
          </w:rPr>
          <w:t>Tabla 2.  Estimación de riesgo  para número de aneurismas y tamaño</w:t>
        </w:r>
        <w:r>
          <w:rPr>
            <w:noProof/>
            <w:webHidden/>
          </w:rPr>
          <w:tab/>
        </w:r>
        <w:r>
          <w:rPr>
            <w:noProof/>
            <w:webHidden/>
          </w:rPr>
          <w:fldChar w:fldCharType="begin"/>
        </w:r>
        <w:r>
          <w:rPr>
            <w:noProof/>
            <w:webHidden/>
          </w:rPr>
          <w:instrText xml:space="preserve"> PAGEREF _Toc512441284 \h </w:instrText>
        </w:r>
        <w:r>
          <w:rPr>
            <w:noProof/>
            <w:webHidden/>
          </w:rPr>
        </w:r>
        <w:r>
          <w:rPr>
            <w:noProof/>
            <w:webHidden/>
          </w:rPr>
          <w:fldChar w:fldCharType="separate"/>
        </w:r>
        <w:r>
          <w:rPr>
            <w:noProof/>
            <w:webHidden/>
          </w:rPr>
          <w:t>22</w:t>
        </w:r>
        <w:r>
          <w:rPr>
            <w:noProof/>
            <w:webHidden/>
          </w:rPr>
          <w:fldChar w:fldCharType="end"/>
        </w:r>
      </w:hyperlink>
    </w:p>
    <w:p w:rsidR="00E507AF" w:rsidRDefault="00E507AF">
      <w:pPr>
        <w:pStyle w:val="Tabladeilustraciones"/>
        <w:tabs>
          <w:tab w:val="right" w:leader="dot" w:pos="8494"/>
        </w:tabs>
        <w:rPr>
          <w:rFonts w:eastAsiaTheme="minorEastAsia"/>
          <w:b w:val="0"/>
          <w:bCs w:val="0"/>
          <w:noProof/>
          <w:sz w:val="22"/>
          <w:szCs w:val="22"/>
          <w:lang w:eastAsia="es-ES"/>
        </w:rPr>
      </w:pPr>
      <w:hyperlink r:id="rId27" w:anchor="_Toc512441285" w:history="1">
        <w:r w:rsidRPr="00E72855">
          <w:rPr>
            <w:rStyle w:val="Hipervnculo"/>
            <w:noProof/>
          </w:rPr>
          <w:t>Figura 15. Diagrama de barras que relaciona la técnica del TEV con el tipo de antiagregación.</w:t>
        </w:r>
        <w:r>
          <w:rPr>
            <w:noProof/>
            <w:webHidden/>
          </w:rPr>
          <w:tab/>
        </w:r>
        <w:r>
          <w:rPr>
            <w:noProof/>
            <w:webHidden/>
          </w:rPr>
          <w:fldChar w:fldCharType="begin"/>
        </w:r>
        <w:r>
          <w:rPr>
            <w:noProof/>
            <w:webHidden/>
          </w:rPr>
          <w:instrText xml:space="preserve"> PAGEREF _Toc512441285 \h </w:instrText>
        </w:r>
        <w:r>
          <w:rPr>
            <w:noProof/>
            <w:webHidden/>
          </w:rPr>
        </w:r>
        <w:r>
          <w:rPr>
            <w:noProof/>
            <w:webHidden/>
          </w:rPr>
          <w:fldChar w:fldCharType="separate"/>
        </w:r>
        <w:r>
          <w:rPr>
            <w:noProof/>
            <w:webHidden/>
          </w:rPr>
          <w:t>23</w:t>
        </w:r>
        <w:r>
          <w:rPr>
            <w:noProof/>
            <w:webHidden/>
          </w:rPr>
          <w:fldChar w:fldCharType="end"/>
        </w:r>
      </w:hyperlink>
    </w:p>
    <w:p w:rsidR="00E507AF" w:rsidRDefault="00E507AF">
      <w:pPr>
        <w:pStyle w:val="Tabladeilustraciones"/>
        <w:tabs>
          <w:tab w:val="right" w:leader="dot" w:pos="8494"/>
        </w:tabs>
        <w:rPr>
          <w:rFonts w:eastAsiaTheme="minorEastAsia"/>
          <w:b w:val="0"/>
          <w:bCs w:val="0"/>
          <w:noProof/>
          <w:sz w:val="22"/>
          <w:szCs w:val="22"/>
          <w:lang w:eastAsia="es-ES"/>
        </w:rPr>
      </w:pPr>
      <w:hyperlink r:id="rId28" w:anchor="_Toc512441286" w:history="1">
        <w:r w:rsidRPr="00E72855">
          <w:rPr>
            <w:rStyle w:val="Hipervnculo"/>
            <w:noProof/>
          </w:rPr>
          <w:t>Figura 16.Diagrama de barras que relaciona los antecedentes de HSA y el número de intervenciones realizadas.</w:t>
        </w:r>
        <w:r>
          <w:rPr>
            <w:noProof/>
            <w:webHidden/>
          </w:rPr>
          <w:tab/>
        </w:r>
        <w:r>
          <w:rPr>
            <w:noProof/>
            <w:webHidden/>
          </w:rPr>
          <w:fldChar w:fldCharType="begin"/>
        </w:r>
        <w:r>
          <w:rPr>
            <w:noProof/>
            <w:webHidden/>
          </w:rPr>
          <w:instrText xml:space="preserve"> PAGEREF _Toc512441286 \h </w:instrText>
        </w:r>
        <w:r>
          <w:rPr>
            <w:noProof/>
            <w:webHidden/>
          </w:rPr>
        </w:r>
        <w:r>
          <w:rPr>
            <w:noProof/>
            <w:webHidden/>
          </w:rPr>
          <w:fldChar w:fldCharType="separate"/>
        </w:r>
        <w:r>
          <w:rPr>
            <w:noProof/>
            <w:webHidden/>
          </w:rPr>
          <w:t>23</w:t>
        </w:r>
        <w:r>
          <w:rPr>
            <w:noProof/>
            <w:webHidden/>
          </w:rPr>
          <w:fldChar w:fldCharType="end"/>
        </w:r>
      </w:hyperlink>
    </w:p>
    <w:p w:rsidR="00900E8E" w:rsidRDefault="001E752C" w:rsidP="00900E8E">
      <w:r>
        <w:fldChar w:fldCharType="end"/>
      </w:r>
    </w:p>
    <w:p w:rsidR="007C3483" w:rsidRDefault="007C3483" w:rsidP="00900E8E"/>
    <w:p w:rsidR="00900E8E" w:rsidRDefault="00900E8E" w:rsidP="00900E8E"/>
    <w:p w:rsidR="00900E8E" w:rsidRDefault="00900E8E">
      <w:r>
        <w:br w:type="page"/>
      </w:r>
    </w:p>
    <w:p w:rsidR="004D03C8" w:rsidRDefault="004D03C8" w:rsidP="004D03C8">
      <w:pPr>
        <w:pStyle w:val="Ttulo1"/>
      </w:pPr>
      <w:bookmarkStart w:id="0" w:name="_Toc512441287"/>
      <w:r>
        <w:lastRenderedPageBreak/>
        <w:t>Introducción</w:t>
      </w:r>
      <w:bookmarkEnd w:id="0"/>
    </w:p>
    <w:p w:rsidR="00F308D9" w:rsidRDefault="00F308D9" w:rsidP="00F308D9">
      <w:pPr>
        <w:pStyle w:val="Ttulo2"/>
        <w:numPr>
          <w:ilvl w:val="1"/>
          <w:numId w:val="0"/>
        </w:numPr>
        <w:ind w:left="576" w:hanging="576"/>
      </w:pPr>
      <w:bookmarkStart w:id="1" w:name="_Toc512441288"/>
      <w:r>
        <w:t>Definición de aneurisma incidental</w:t>
      </w:r>
      <w:bookmarkEnd w:id="1"/>
    </w:p>
    <w:p w:rsidR="00F308D9" w:rsidRDefault="00F308D9" w:rsidP="00F308D9">
      <w:r>
        <w:t>Un aneurisma es la dilatación permanente de una arteria, aumentando su diámetro intraluminal al menos un 50%, comparado con el diámetro normal de dicha arteria</w:t>
      </w:r>
      <w:r w:rsidR="00121126">
        <w:t xml:space="preserve">. </w:t>
      </w:r>
      <w:r>
        <w:t>Los aneurismas se producen por el adelgazamiento de la túnica media del vaso, que sumado a la presión que ejerce la sangre que circula en su interior, provocan el abombamiento del vaso, es decir, el aneurisma. Por esto, los aneurismas suelen encontrarse normalmente en zonas de bifurcación, donde el impacto del flujo sanguíneo es mayor. Si el hallazgo del aneurisma se produce de manera casual, pasamos a denominarlo aneurisma incidental</w:t>
      </w:r>
      <w:r w:rsidR="00121126">
        <w:fldChar w:fldCharType="begin"/>
      </w:r>
      <w:r w:rsidR="00121126">
        <w:instrText xml:space="preserve"> ADDIN ZOTERO_ITEM CSL_CITATION {"citationID":"igmKiufa","properties":{"formattedCitation":"(1)","plainCitation":"(1)","noteIndex":0},"citationItems":[{"id":76,"uris":["http://zotero.org/users/local/I8IXatSK/items/6S4I2H3I"],"uri":["http://zotero.org/users/local/I8IXatSK/items/6S4I2H3I"],"itemData":{"id":76,"type":"book","title":"Farreras Rozman. Medicina interna","publisher":"Elsevier","publisher-place":"Barcelona","number-of-volumes":"2","edition":"18. ed","source":"Open WorldCat","event-place":"Barcelona","URL":"http://public.eblib.com/choice/publicfullrecord.aspx?p=4626743","ISBN":"978-84-9022-997-2","note":"OCLC: 957127414","language":"Spanish","author":[{"family":"Rozman Borstnar","given":"Ciril"},{"family":"Cardellach","given":"Francesc"}],"issued":{"date-parts":[["2016"]]},"accessed":{"date-parts":[["2018",3,12]]}},"locator":"567-569","label":"page"}],"schema":"https://github.com/citation-style-language/schema/raw/master/csl-citation.json"} </w:instrText>
      </w:r>
      <w:r w:rsidR="00121126">
        <w:fldChar w:fldCharType="separate"/>
      </w:r>
      <w:r w:rsidR="00121126" w:rsidRPr="00C20DA7">
        <w:rPr>
          <w:rFonts w:ascii="Calibri Light" w:hAnsi="Calibri Light" w:cs="Calibri Light"/>
        </w:rPr>
        <w:t>(1)</w:t>
      </w:r>
      <w:r w:rsidR="00121126">
        <w:fldChar w:fldCharType="end"/>
      </w:r>
      <w:r w:rsidR="00121126">
        <w:t>.</w:t>
      </w:r>
    </w:p>
    <w:p w:rsidR="00F308D9" w:rsidRDefault="00F308D9" w:rsidP="00F308D9">
      <w:r>
        <w:t>Los aneurismas pueden dar clínica por dos mecanismos principalmente. El primero es por la presión que pudiera ejercer en los tejidos que le rodean, es decir, por efecto masa. En el caso de los aneurismas intracraneales esto podría dar desde cefaleas hasta déficits focales. El segundo mecanismo sería por la propia rotura del aneurisma, lo que provocaría sangrado.</w:t>
      </w:r>
    </w:p>
    <w:p w:rsidR="00F308D9" w:rsidRDefault="00F308D9" w:rsidP="00F308D9">
      <w:r>
        <w:t xml:space="preserve">Existen distintos tipos de aneurismas, según su forma pueden ser: saculares, unidos al vaso por un cuello o pedúnculo, o fusiformes, con ensanchamiento de toda la circunferencia. También pueden clasificarse según su etiología: micóticos, la pared se debilita por una infección bacteriana; secundarios a un traumatismo; arterioesclerótico o hipertensivo; de origen idiopático o genético; o asociados a ciertas enfermedades como la poliquistosis renal, y sobre todo a enfermedades del tejido conectivo: enfermedad de </w:t>
      </w:r>
      <w:proofErr w:type="spellStart"/>
      <w:r>
        <w:t>Ehlers-Danlos</w:t>
      </w:r>
      <w:proofErr w:type="spellEnd"/>
      <w:r>
        <w:t xml:space="preserve">, enfermedad de </w:t>
      </w:r>
      <w:proofErr w:type="spellStart"/>
      <w:r>
        <w:t>Marfan</w:t>
      </w:r>
      <w:proofErr w:type="spellEnd"/>
      <w:r>
        <w:t>, coartación de aorta, síndrome de Oler-Weber-</w:t>
      </w:r>
      <w:proofErr w:type="spellStart"/>
      <w:r>
        <w:t>Redu</w:t>
      </w:r>
      <w:proofErr w:type="spellEnd"/>
      <w:r>
        <w:fldChar w:fldCharType="begin"/>
      </w:r>
      <w:r>
        <w:instrText xml:space="preserve"> ADDIN ZOTERO_ITEM CSL_CITATION {"citationID":"4nMK31Gp","properties":{"formattedCitation":"(2)","plainCitation":"(2)","noteIndex":0},"citationItems":[{"id":81,"uris":["http://zotero.org/users/local/I8IXatSK/items/HL7RQRZE"],"uri":["http://zotero.org/users/local/I8IXatSK/items/HL7RQRZE"],"itemData":{"id":81,"type":"book","title":"Syllabus de neurocirugía","publisher":"Ediciones de la Universidad de Oviedo","publisher-place":"Oviedo","source":"Open WorldCat","event-place":"Oviedo","ISBN":"978-84-16664-04-7","note":"OCLC: 948790365","language":"Spanish","author":[{"family":"Álvarez Vega","given":"Marco Antonio"},{"family":"Antuña Ramos","given":"Aida"}],"issued":{"date-parts":[["2016"]]}},"locator":"6","label":"page"}],"schema":"https://github.com/citation-style-language/schema/raw/master/csl-citation.json"} </w:instrText>
      </w:r>
      <w:r>
        <w:fldChar w:fldCharType="separate"/>
      </w:r>
      <w:r w:rsidR="00C20DA7" w:rsidRPr="00C20DA7">
        <w:rPr>
          <w:rFonts w:ascii="Calibri Light" w:hAnsi="Calibri Light" w:cs="Calibri Light"/>
        </w:rPr>
        <w:t>(2)</w:t>
      </w:r>
      <w:r>
        <w:fldChar w:fldCharType="end"/>
      </w:r>
      <w:r>
        <w:t>.</w:t>
      </w:r>
    </w:p>
    <w:p w:rsidR="00F308D9" w:rsidRDefault="00F308D9" w:rsidP="00F308D9">
      <w:pPr>
        <w:pStyle w:val="Ttulo2"/>
        <w:numPr>
          <w:ilvl w:val="1"/>
          <w:numId w:val="0"/>
        </w:numPr>
        <w:ind w:left="576" w:hanging="576"/>
      </w:pPr>
      <w:bookmarkStart w:id="2" w:name="_Toc512441289"/>
      <w:r>
        <w:t>Epidemiología</w:t>
      </w:r>
      <w:bookmarkEnd w:id="2"/>
    </w:p>
    <w:p w:rsidR="00F308D9" w:rsidRPr="00B33078" w:rsidRDefault="00F308D9" w:rsidP="00F308D9">
      <w:r w:rsidRPr="00B33078">
        <w:t>Debido a los avances conseguidos en técnicas de imagen y al aumento de su uso en las últimas décadas, se ha descubierto una mayor prevalencia de aneurismas intracraneales asintomáticos. Este aumento de la sensibilidad y especificidad en las pruebas ha significado un aumento en el número de aneurismas incidentales</w:t>
      </w:r>
      <w:r w:rsidRPr="00B33078">
        <w:fldChar w:fldCharType="begin"/>
      </w:r>
      <w:r w:rsidRPr="00B33078">
        <w:instrText xml:space="preserve"> ADDIN ZOTERO_ITEM CSL_CITATION {"citationID":"uprLMXMr","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Pr="00B33078">
        <w:fldChar w:fldCharType="end"/>
      </w:r>
      <w:r w:rsidRPr="00B33078">
        <w:t>. Se estima que la prevalencia de aneurismas en la población adulta es de 3-5% (aunque varía dependiendo de si el estudio es an</w:t>
      </w:r>
      <w:r w:rsidR="00C90D84">
        <w:t>giográfico o mediante autopsia)</w:t>
      </w:r>
      <w:r w:rsidRPr="00B33078">
        <w:t xml:space="preserve">, con un riesgo de ruptura total del 1.8%/año. </w:t>
      </w:r>
    </w:p>
    <w:p w:rsidR="00F308D9" w:rsidRPr="00B33078" w:rsidRDefault="00F308D9" w:rsidP="00F308D9">
      <w:r w:rsidRPr="00B33078">
        <w:t>Los más frecuentes son los aneurismas saculares, que representan el 50-70% de los mismos, localizados en áreas de bifurcación de grandes arterias. Los aneurismas saculares son múltiples hasta en un 30% de los casos</w:t>
      </w:r>
      <w:r w:rsidR="00B33078" w:rsidRPr="00B33078">
        <w:fldChar w:fldCharType="begin"/>
      </w:r>
      <w:r w:rsidR="00B33078" w:rsidRPr="00B33078">
        <w:instrText xml:space="preserve"> ADDIN ZOTERO_ITEM CSL_CITATION {"citationID":"aqdmkmtpgb","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00B33078" w:rsidRPr="00B33078">
        <w:fldChar w:fldCharType="separate"/>
      </w:r>
      <w:r w:rsidR="00B33078" w:rsidRPr="00B33078">
        <w:rPr>
          <w:rFonts w:ascii="Calibri" w:hAnsi="Calibri" w:cs="Calibri"/>
        </w:rPr>
        <w:t>(3)</w:t>
      </w:r>
      <w:r w:rsidR="00B33078" w:rsidRPr="00B33078">
        <w:fldChar w:fldCharType="end"/>
      </w:r>
      <w:r w:rsidRPr="00B33078">
        <w:t>.</w:t>
      </w:r>
    </w:p>
    <w:p w:rsidR="00F308D9" w:rsidRDefault="00F308D9" w:rsidP="00F308D9">
      <w:pPr>
        <w:pStyle w:val="Ttulo2"/>
        <w:numPr>
          <w:ilvl w:val="1"/>
          <w:numId w:val="0"/>
        </w:numPr>
        <w:ind w:left="576" w:hanging="576"/>
      </w:pPr>
      <w:bookmarkStart w:id="3" w:name="_Toc512441290"/>
      <w:r>
        <w:t>Historia natural del aneurisma</w:t>
      </w:r>
      <w:bookmarkEnd w:id="3"/>
    </w:p>
    <w:p w:rsidR="00F308D9" w:rsidRDefault="00F308D9" w:rsidP="00F308D9">
      <w:r>
        <w:t>La historia natural del aneurisma es un tema controvertido, puesto que depende tanto de las características intrínsecas del aneurisma como de las características del paciente. Además, los aneurismas que son observados para conocer su historia natural, son aneurismas para los que se decide tratamiento conservador, lo que puede significar un comportamiento más benigno que los aneurismas que sí son tratados</w:t>
      </w:r>
      <w:r w:rsidR="00121126">
        <w:t xml:space="preserve">. </w:t>
      </w:r>
      <w:r>
        <w:t xml:space="preserve">Lo que hace no podamos predecir cuál es el riesgo ruptura de una manera clara, si no que según el contexto que le acompañe se decidirá una vía </w:t>
      </w:r>
      <w:r>
        <w:lastRenderedPageBreak/>
        <w:t>de actuación. La evolución natural del aneurisma es su ruptura</w:t>
      </w:r>
      <w:r w:rsidR="00B33078">
        <w:t>(con un riesgo de ruptura de 1-2%/año)</w:t>
      </w:r>
      <w:r>
        <w:t>, originándo</w:t>
      </w:r>
      <w:r w:rsidR="00121126">
        <w:t>se una hemorragia subaracnoidea</w:t>
      </w:r>
      <w:r w:rsidR="00121126">
        <w:fldChar w:fldCharType="begin"/>
      </w:r>
      <w:r w:rsidR="00121126">
        <w:instrText xml:space="preserve"> ADDIN ZOTERO_ITEM CSL_CITATION {"citationID":"as115vv0","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00121126">
        <w:fldChar w:fldCharType="separate"/>
      </w:r>
      <w:r w:rsidR="00121126" w:rsidRPr="00C20DA7">
        <w:rPr>
          <w:rFonts w:ascii="Calibri Light" w:hAnsi="Calibri Light" w:cs="Calibri Light"/>
        </w:rPr>
        <w:t>(3)</w:t>
      </w:r>
      <w:r w:rsidR="00121126">
        <w:fldChar w:fldCharType="end"/>
      </w:r>
      <w:r w:rsidR="00121126">
        <w:t>.</w:t>
      </w:r>
    </w:p>
    <w:p w:rsidR="00F308D9" w:rsidRDefault="00F308D9" w:rsidP="00F308D9">
      <w:pPr>
        <w:pStyle w:val="Ttulo3"/>
        <w:numPr>
          <w:ilvl w:val="2"/>
          <w:numId w:val="0"/>
        </w:numPr>
        <w:ind w:left="1428" w:hanging="720"/>
      </w:pPr>
      <w:bookmarkStart w:id="4" w:name="_Toc512441291"/>
      <w:r>
        <w:t>Hemorragia Subaracnoidea (HSA)</w:t>
      </w:r>
      <w:bookmarkEnd w:id="4"/>
      <w:r>
        <w:t xml:space="preserve"> </w:t>
      </w:r>
    </w:p>
    <w:p w:rsidR="00F308D9" w:rsidRDefault="00F308D9" w:rsidP="00F308D9">
      <w:r>
        <w:t>La HSA una extravasación de sangre en el espacio subaracnoideo, donde se encuentra el líquido cefalorraquídeo. Las HSA causadas por aneurismas serían primarias, ya que el sangrado tiene origen en el mismo espacio subaracnoideo</w:t>
      </w:r>
      <w:r w:rsidR="00121126">
        <w:t xml:space="preserve">. </w:t>
      </w:r>
      <w:r>
        <w:t>La mayoría de las HSA son de causa traumática y dentro de las causas espontáneas no traumáticas, la ruptura de aneurismas es la más frecuente</w:t>
      </w:r>
      <w:r w:rsidR="00121126">
        <w:fldChar w:fldCharType="begin"/>
      </w:r>
      <w:r w:rsidR="00121126">
        <w:instrText xml:space="preserve"> ADDIN ZOTERO_ITEM CSL_CITATION {"citationID":"bdm1lDzx","properties":{"formattedCitation":"(1)","plainCitation":"(1)","noteIndex":0},"citationItems":[{"id":76,"uris":["http://zotero.org/users/local/I8IXatSK/items/6S4I2H3I"],"uri":["http://zotero.org/users/local/I8IXatSK/items/6S4I2H3I"],"itemData":{"id":76,"type":"book","title":"Farreras Rozman. Medicina interna","publisher":"Elsevier","publisher-place":"Barcelona","number-of-volumes":"2","edition":"18. ed","source":"Open WorldCat","event-place":"Barcelona","URL":"http://public.eblib.com/choice/publicfullrecord.aspx?p=4626743","ISBN":"978-84-9022-997-2","note":"OCLC: 957127414","language":"Spanish","author":[{"family":"Rozman Borstnar","given":"Ciril"},{"family":"Cardellach","given":"Francesc"}],"issued":{"date-parts":[["2016"]]},"accessed":{"date-parts":[["2018",3,12]]}},"locator":"1373-1375","label":"page"}],"schema":"https://github.com/citation-style-language/schema/raw/master/csl-citation.json"} </w:instrText>
      </w:r>
      <w:r w:rsidR="00121126">
        <w:fldChar w:fldCharType="separate"/>
      </w:r>
      <w:r w:rsidR="00121126" w:rsidRPr="00C20DA7">
        <w:rPr>
          <w:rFonts w:ascii="Calibri Light" w:hAnsi="Calibri Light" w:cs="Calibri Light"/>
        </w:rPr>
        <w:t>(1)</w:t>
      </w:r>
      <w:r w:rsidR="00121126">
        <w:fldChar w:fldCharType="end"/>
      </w:r>
      <w:r w:rsidR="00121126">
        <w:t>.</w:t>
      </w:r>
    </w:p>
    <w:p w:rsidR="00F308D9" w:rsidRDefault="00F308D9" w:rsidP="00F308D9">
      <w:r>
        <w:t xml:space="preserve">La clínica que da esta hemorragia se debe principalmente a la irritación meníngea  por la presencia de sangre. El síntoma inicial más frecuente y que debe hacernos sospechar una HSA es una cefalea brusca, muy intensa, referida por los pacientes como el peor dolor de cabeza que hayan tenido nunca. Se acompaña frecuentemente de náuseas,  vómitos, fotofobia, y también puede seguirse de raquialgia (por irritación de las raíces lumbares), disminución del nivel de conciencia, crisis epilépticas y síntomas focales como afectación de los pares craneales o afasia. Debido a dicha irritación meníngea también hay signos de meningismo, como los de </w:t>
      </w:r>
      <w:proofErr w:type="spellStart"/>
      <w:r>
        <w:t>Kernig</w:t>
      </w:r>
      <w:proofErr w:type="spellEnd"/>
      <w:r>
        <w:t xml:space="preserve"> y </w:t>
      </w:r>
      <w:proofErr w:type="spellStart"/>
      <w:r>
        <w:t>Brudzinski</w:t>
      </w:r>
      <w:proofErr w:type="spellEnd"/>
      <w:r>
        <w:t xml:space="preserve">. Existen unas escalas de clasificación clínica de la HSA, como la escala de </w:t>
      </w:r>
      <w:proofErr w:type="spellStart"/>
      <w:r>
        <w:t>Hunt</w:t>
      </w:r>
      <w:proofErr w:type="spellEnd"/>
      <w:r>
        <w:t xml:space="preserve"> y </w:t>
      </w:r>
      <w:proofErr w:type="spellStart"/>
      <w:r>
        <w:t>Hess</w:t>
      </w:r>
      <w:proofErr w:type="spellEnd"/>
      <w:r>
        <w:t xml:space="preserve"> o la WFNS, que  la organizan en 5 grados progresivos según la gravedad</w:t>
      </w:r>
      <w:r>
        <w:fldChar w:fldCharType="begin"/>
      </w:r>
      <w:r>
        <w:instrText xml:space="preserve"> ADDIN ZOTERO_ITEM CSL_CITATION {"citationID":"C9LZzNAP","properties":{"formattedCitation":"(2)","plainCitation":"(2)","noteIndex":0},"citationItems":[{"id":81,"uris":["http://zotero.org/users/local/I8IXatSK/items/HL7RQRZE"],"uri":["http://zotero.org/users/local/I8IXatSK/items/HL7RQRZE"],"itemData":{"id":81,"type":"book","title":"Syllabus de neurocirugía","publisher":"Ediciones de la Universidad de Oviedo","publisher-place":"Oviedo","source":"Open WorldCat","event-place":"Oviedo","ISBN":"978-84-16664-04-7","note":"OCLC: 948790365","language":"Spanish","author":[{"family":"Álvarez Vega","given":"Marco Antonio"},{"family":"Antuña Ramos","given":"Aida"}],"issued":{"date-parts":[["2016"]]}},"locator":"5","label":"page"}],"schema":"https://github.com/citation-style-language/schema/raw/master/csl-citation.json"} </w:instrText>
      </w:r>
      <w:r>
        <w:fldChar w:fldCharType="separate"/>
      </w:r>
      <w:r w:rsidR="00C20DA7" w:rsidRPr="00C20DA7">
        <w:rPr>
          <w:rFonts w:ascii="Calibri Light" w:hAnsi="Calibri Light" w:cs="Calibri Light"/>
        </w:rPr>
        <w:t>(2)</w:t>
      </w:r>
      <w:r>
        <w:fldChar w:fldCharType="end"/>
      </w:r>
      <w:r>
        <w:t>.</w:t>
      </w:r>
    </w:p>
    <w:p w:rsidR="00F308D9" w:rsidRDefault="00F308D9" w:rsidP="00F308D9">
      <w:r>
        <w:t>El pronóstico de la HSA depende principalmente de su etiología. El origen aneurismático es el que peor pronóstico tiene debido a una mayor incidencia de complicaciones. En general, el pronóstico global de la HSA es malo, con una mortalidad global del 50%</w:t>
      </w:r>
      <w:r w:rsidR="00121126">
        <w:t xml:space="preserve">. </w:t>
      </w:r>
      <w:r>
        <w:t>Sólo el 10 % fallece en la primera hemorragia, produciéndose la mayoría de los exitus por resangrado o por vasoespasmo. Hasta un 20% de los pacientes pueden quedar con algún tipo de secuela, sobre todo en pacientes ancianos</w:t>
      </w:r>
      <w:r w:rsidR="00121126">
        <w:fldChar w:fldCharType="begin"/>
      </w:r>
      <w:r w:rsidR="00121126">
        <w:instrText xml:space="preserve"> ADDIN ZOTERO_ITEM CSL_CITATION {"citationID":"TMxLMlWh","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00121126">
        <w:fldChar w:fldCharType="separate"/>
      </w:r>
      <w:r w:rsidR="00121126" w:rsidRPr="00C20DA7">
        <w:rPr>
          <w:rFonts w:ascii="Calibri Light" w:hAnsi="Calibri Light" w:cs="Calibri Light"/>
        </w:rPr>
        <w:t>(3)</w:t>
      </w:r>
      <w:r w:rsidR="00121126">
        <w:fldChar w:fldCharType="end"/>
      </w:r>
      <w:r w:rsidR="00121126">
        <w:t>.</w:t>
      </w:r>
    </w:p>
    <w:p w:rsidR="00F308D9" w:rsidRDefault="00F308D9" w:rsidP="00F308D9">
      <w:r>
        <w:t>Las principales complicaciones de las HSA son:</w:t>
      </w:r>
    </w:p>
    <w:p w:rsidR="00F308D9" w:rsidRDefault="00F308D9" w:rsidP="00E3729E">
      <w:pPr>
        <w:pStyle w:val="Prrafodelista"/>
        <w:numPr>
          <w:ilvl w:val="0"/>
          <w:numId w:val="1"/>
        </w:numPr>
      </w:pPr>
      <w:r>
        <w:t>Resangrado: hasta en el 30% de los pacientes, con una tasa de mortalidad del 42%. El riesgo de nueva hemorragia es mayor en las primeras 24 horas tras la HSA, y en aneurismas no tratados este riesgo es mayor ya que es acumulativo, de 1-2%/día en el primer mes. El riesgo de hemorragia tardía es de hasta 3%/año pasados los 6 primeros meses durante los primeros 10 años, y empezando a descender a partir de la segunda década. El mejor método para evitar esta complicación es el tratamiento precoz.</w:t>
      </w:r>
    </w:p>
    <w:p w:rsidR="00F308D9" w:rsidRDefault="00F308D9" w:rsidP="00E3729E">
      <w:pPr>
        <w:pStyle w:val="Prrafodelista"/>
        <w:numPr>
          <w:ilvl w:val="0"/>
          <w:numId w:val="1"/>
        </w:numPr>
      </w:pPr>
      <w:r>
        <w:t>Vasoespasmo: ocurre hasta en el 65% de los pacientes, detectándose mediante Eco Doppler transcraneal principalmente. Son sintomáticos en menos del 30% de los casos, dando síntomas por la isquemia cerebral producida. Estos síntomas van desde alteraciones del nivel de conciencia o cefalea hasta déficits neurológicos según donde se produzca la isquemia. La mayor incidencia de vasoespasmo se da en la primera semana tras el episodio agudo y tiene una mortalidad del 7%. Se produce  principalmente en las HSA aneurismáticas, y se debe al depósito de sangre alrededor de las arterias cerebrales, que desencadenan la liberación de prostaciclinas y disminución de sustancias vasodilatadoras.</w:t>
      </w:r>
    </w:p>
    <w:p w:rsidR="00F308D9" w:rsidRDefault="00F308D9" w:rsidP="00E3729E">
      <w:pPr>
        <w:pStyle w:val="Prrafodelista"/>
        <w:numPr>
          <w:ilvl w:val="0"/>
          <w:numId w:val="1"/>
        </w:numPr>
      </w:pPr>
      <w:r>
        <w:lastRenderedPageBreak/>
        <w:t>Hidrocefalia: hasta en un 20% de los casos. Es una hidrocefalia no obstructiva normotensa. Tiene su origen en la alteración de la circulación del líquido cefalorraquídeo por la presencia de sangre.</w:t>
      </w:r>
    </w:p>
    <w:p w:rsidR="00F308D9" w:rsidRDefault="00F308D9" w:rsidP="00E3729E">
      <w:pPr>
        <w:pStyle w:val="Prrafodelista"/>
        <w:numPr>
          <w:ilvl w:val="0"/>
          <w:numId w:val="1"/>
        </w:numPr>
      </w:pPr>
      <w:r>
        <w:t>Crisis comiciales</w:t>
      </w:r>
    </w:p>
    <w:p w:rsidR="00F308D9" w:rsidRDefault="00F308D9" w:rsidP="00E3729E">
      <w:pPr>
        <w:pStyle w:val="Prrafodelista"/>
        <w:numPr>
          <w:ilvl w:val="0"/>
          <w:numId w:val="1"/>
        </w:numPr>
      </w:pPr>
      <w:r>
        <w:t>Hiponatremia: Presente  en el 30% de los pacientes. Favorece el edema cerebral y el vasoespasmo. Es consecuencia de alteraciones de la regulación del volumen intravascular.</w:t>
      </w:r>
    </w:p>
    <w:p w:rsidR="00F308D9" w:rsidRDefault="00F308D9" w:rsidP="00F308D9">
      <w:pPr>
        <w:pStyle w:val="Ttulo3"/>
        <w:numPr>
          <w:ilvl w:val="2"/>
          <w:numId w:val="0"/>
        </w:numPr>
        <w:ind w:left="1428" w:hanging="720"/>
      </w:pPr>
      <w:bookmarkStart w:id="5" w:name="_Toc512441292"/>
      <w:r>
        <w:t>Factores pronósticos y factores de riesgo de ruptura aneurismática</w:t>
      </w:r>
      <w:bookmarkEnd w:id="5"/>
    </w:p>
    <w:p w:rsidR="00F308D9" w:rsidRDefault="00F308D9" w:rsidP="00E3729E">
      <w:pPr>
        <w:pStyle w:val="Prrafodelista"/>
        <w:numPr>
          <w:ilvl w:val="0"/>
          <w:numId w:val="2"/>
        </w:numPr>
      </w:pPr>
      <w:r>
        <w:t>Factores dependientes del aneurisma:</w:t>
      </w:r>
    </w:p>
    <w:p w:rsidR="00F308D9" w:rsidRDefault="00F308D9" w:rsidP="00E3729E">
      <w:pPr>
        <w:pStyle w:val="Prrafodelista"/>
        <w:numPr>
          <w:ilvl w:val="1"/>
          <w:numId w:val="2"/>
        </w:numPr>
      </w:pPr>
      <w:r>
        <w:t xml:space="preserve">Tamaño: a mayor tamaño mayor riesgo de ruptura, sobre todo en pacientes que no tienen historia previa de HSA. Sin embargo, se desconoce un tamaño exacto a partir del cual exista un mayor riesgo </w:t>
      </w:r>
      <w:r>
        <w:fldChar w:fldCharType="begin"/>
      </w:r>
      <w:r w:rsidR="005C33BF">
        <w:instrText xml:space="preserve"> ADDIN ZOTERO_ITEM CSL_CITATION {"citationID":"gnGwyVYu","properties":{"formattedCitation":"(3,4)","plainCitation":"(3,4)","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O."}],"issued":{"date-parts":[["2003",7,12]]}}}],"schema":"https://github.com/citation-style-language/schema/raw/master/csl-citation.json"} </w:instrText>
      </w:r>
      <w:r>
        <w:fldChar w:fldCharType="separate"/>
      </w:r>
      <w:r w:rsidR="005C33BF" w:rsidRPr="005C33BF">
        <w:rPr>
          <w:rFonts w:ascii="Calibri Light" w:hAnsi="Calibri Light" w:cs="Calibri Light"/>
        </w:rPr>
        <w:t>(3,4)</w:t>
      </w:r>
      <w:r>
        <w:fldChar w:fldCharType="end"/>
      </w:r>
      <w:r>
        <w:t>.</w:t>
      </w:r>
    </w:p>
    <w:p w:rsidR="00F308D9" w:rsidRDefault="00F308D9" w:rsidP="00E3729E">
      <w:pPr>
        <w:pStyle w:val="Prrafodelista"/>
        <w:numPr>
          <w:ilvl w:val="1"/>
          <w:numId w:val="2"/>
        </w:numPr>
      </w:pPr>
      <w:r>
        <w:t xml:space="preserve">Localización: distintos vasos sanguíneos tienen diferentes condiciones hemodinámicas, influyendo en la evolución natural. Los aneurismas localizados en la circulación anterior tienen mayor riesgo de ruptura, a excepción de la localización vertebrobasilar, que constituye un factor independiente de ruptura. La localización posterior tiene peor pronóstico, causando cuadros más graves, siendo por el contrario los aneurismas que se encuentran en el seno cavernoso los más benignos, ya que su ruptura rara vez ocasiona HSA </w:t>
      </w:r>
      <w:r>
        <w:fldChar w:fldCharType="begin"/>
      </w:r>
      <w:r w:rsidR="005C33BF">
        <w:instrText xml:space="preserve"> ADDIN ZOTERO_ITEM CSL_CITATION {"citationID":"9VqJrhnL","properties":{"formattedCitation":"(3,5)","plainCitation":"(3,5)","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Aneurysms"}],"issued":{"date-parts":[["1998"]]}}}],"schema":"https://github.com/citation-style-language/schema/raw/master/csl-citation.json"} </w:instrText>
      </w:r>
      <w:r>
        <w:fldChar w:fldCharType="separate"/>
      </w:r>
      <w:r w:rsidR="005C33BF" w:rsidRPr="005C33BF">
        <w:rPr>
          <w:rFonts w:ascii="Calibri Light" w:hAnsi="Calibri Light" w:cs="Calibri Light"/>
        </w:rPr>
        <w:t>(3,5)</w:t>
      </w:r>
      <w:r>
        <w:fldChar w:fldCharType="end"/>
      </w:r>
      <w:r>
        <w:t>.</w:t>
      </w:r>
    </w:p>
    <w:p w:rsidR="00F308D9" w:rsidRDefault="00F308D9" w:rsidP="00E3729E">
      <w:pPr>
        <w:pStyle w:val="Prrafodelista"/>
        <w:numPr>
          <w:ilvl w:val="1"/>
          <w:numId w:val="2"/>
        </w:numPr>
      </w:pPr>
      <w:r>
        <w:t xml:space="preserve">Morfología: las morfologías irregulares atípicas, como múltiples lóbulos, incrementan el riesgo de ruptura </w:t>
      </w:r>
      <w:r>
        <w:fldChar w:fldCharType="begin"/>
      </w:r>
      <w:r w:rsidR="00121126">
        <w:instrText xml:space="preserve"> ADDIN ZOTERO_ITEM CSL_CITATION {"citationID":"u5ny90E5","properties":{"formattedCitation":"(3,6)","plainCitation":"(3,6)","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D."}],"issued":{"date-parts":[["2012"]]}}},{"id":84,"uris":["http://zotero.org/users/local/I8IXatSK/items/VVSQKTRS"],"uri":["http://zotero.org/users/local/I8IXatSK/items/VVSQKTRS"],"itemData":{"id":84,"type":"article-journal","title":"Irregular Shape Identifies Ruptured Intracranial Aneurysm in Subarachnoid Hemorrhage Patients With Multiple Aneurysms","container-title":"Stroke","page":"1986-1989","volume":"48","issue":"7","source":"stroke.ahajournals.org","abstract":"&lt;h3&gt;Background and Purpose—&lt;/h3&gt; &lt;p&gt;We investigated which aneurysm-related risk factors for rupture best discriminate ruptured versus unruptured saccular intracranial aneurysms (sIAs) in subarachnoid hemorrhage patients with multiple sIAs.&lt;/p&gt;&lt;h3&gt;Methods—&lt;/h3&gt; &lt;p&gt;We included 264 subarachnoid hemorrhage patients with a ruptured sIA and at least one additional unruptured sIA, from the Kuopio Intracranial Aneurysm database from 2003 to 2015. These patients had 268 ruptured and 445 unruptured sIAs. Angiograms of the 713 sIAs were reevaluated for multiple variables describing aneurysm shape. Multivariate generalized linear mixed models were used to calculate odds ratios with corresponding 95% confidence intervals for the independent risk factors for aneurysm rupture.&lt;/p&gt;&lt;h3&gt;Results—&lt;/h3&gt; &lt;p&gt;In the multivariate analysis, only sIA size (&lt;i&gt;P&lt;/i&gt;&amp;lt;0.004) and irregular shape (&lt;i&gt;P&lt;/i&gt;&amp;lt;0.000) independently associated with sIA rupture. As an independent risk factor, irregular shape showed the strongest association with rupture (odds ratio 90.3; 95% confidence interval, 47.0–173.5). The sIA location, flow angles, bottleneck factor, or aspect ratio were not significantly associated with rupture.&lt;/p&gt;&lt;h3&gt;Conclusions—&lt;/h3&gt; &lt;p&gt;Irregular shape may identify the ruptured sIA better than size in patients presenting with aSAH and multiple sIAs.&lt;/p&gt;","DOI":"10.1161/STROKEAHA.117.017147","ISSN":"0039-2499, 1524-4628","note":"PMID: 28468927","language":"en","author":[{"family":"Björkman","given":"Joel"},{"family":"Frösen","given":"Juhana"},{"family":"Tähtinen","given":"Olli"},{"family":"Backes","given":"Daan"},{"family":"Huttunen","given":"Terhi"},{"family":"Harju","given":"Jaakko"},{"family":"Huttunen","given":"Jukka"},{"family":"Kurki","given":"Mitja I."},{"family":"Fraunberg","given":"Mikael","dropping-particle":"von und zu"},{"family":"Koivisto","given":"Timo"},{"family":"Manninen","given":"Hannu"},{"family":"Jääskeläinen","given":"Juha E."},{"family":"Lindgren","given":"Antti E."}],"issued":{"date-parts":[["2017",7,1]]}}}],"schema":"https://github.com/citation-style-language/schema/raw/master/csl-citation.json"} </w:instrText>
      </w:r>
      <w:r>
        <w:fldChar w:fldCharType="separate"/>
      </w:r>
      <w:r w:rsidR="00121126" w:rsidRPr="00121126">
        <w:rPr>
          <w:rFonts w:ascii="Calibri Light" w:hAnsi="Calibri Light" w:cs="Calibri Light"/>
        </w:rPr>
        <w:t>(3,6)</w:t>
      </w:r>
      <w:r>
        <w:fldChar w:fldCharType="end"/>
      </w:r>
      <w:r>
        <w:t>.</w:t>
      </w:r>
    </w:p>
    <w:p w:rsidR="00F308D9" w:rsidRDefault="00F308D9" w:rsidP="00E3729E">
      <w:pPr>
        <w:pStyle w:val="Prrafodelista"/>
        <w:numPr>
          <w:ilvl w:val="1"/>
          <w:numId w:val="2"/>
        </w:numPr>
      </w:pPr>
      <w:r>
        <w:t xml:space="preserve">Crecimiento: indica ruptura inminente incluso en aneurismas pequeños. El tamaño inicial del aneurisma juega un papel muy importante como predictor de crecimiento. Además, la velocidad de crecimiento es mayor en los aneurismas de mayor tamaño </w:t>
      </w:r>
      <w:r>
        <w:fldChar w:fldCharType="begin"/>
      </w:r>
      <w:r>
        <w:instrText xml:space="preserve"> ADDIN ZOTERO_ITEM CSL_CITATION {"citationID":"a1f9hqt0p08","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fldChar w:fldCharType="separate"/>
      </w:r>
      <w:r w:rsidR="00C20DA7" w:rsidRPr="00C20DA7">
        <w:rPr>
          <w:rFonts w:ascii="Calibri Light" w:hAnsi="Calibri Light" w:cs="Calibri Light"/>
        </w:rPr>
        <w:t>(3)</w:t>
      </w:r>
      <w:r>
        <w:fldChar w:fldCharType="end"/>
      </w:r>
      <w:r>
        <w:t>.</w:t>
      </w:r>
    </w:p>
    <w:p w:rsidR="00F308D9" w:rsidRDefault="00F308D9" w:rsidP="00E3729E">
      <w:pPr>
        <w:pStyle w:val="Prrafodelista"/>
        <w:numPr>
          <w:ilvl w:val="1"/>
          <w:numId w:val="2"/>
        </w:numPr>
      </w:pPr>
      <w:r>
        <w:t>Número de aneurismas: los pacientes más añosos tienen mayor número de aneurismas, debido al mayor periodo de evolución de la enfermedad</w:t>
      </w:r>
      <w:r w:rsidR="005C33BF">
        <w:t xml:space="preserve">. </w:t>
      </w:r>
      <w:r>
        <w:t>Un número elevado de aneurismas podría sugerir una enfermedad sistémica subyacente</w:t>
      </w:r>
      <w:r w:rsidR="005C33BF">
        <w:fldChar w:fldCharType="begin"/>
      </w:r>
      <w:r w:rsidR="005C33BF">
        <w:instrText xml:space="preserve"> ADDIN ZOTERO_ITEM CSL_CITATION {"citationID":"a19fbnm353e","properties":{"formattedCitation":"(7)","plainCitation":"(7)","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D."},{"family":"Lanzino","given":"Giuseppe"}],"issued":{"date-parts":[["2011"]]}},"locator":"1"}],"schema":"https://github.com/citation-style-language/schema/raw/master/csl-citation.json"} </w:instrText>
      </w:r>
      <w:r w:rsidR="005C33BF">
        <w:fldChar w:fldCharType="separate"/>
      </w:r>
      <w:r w:rsidR="005C33BF" w:rsidRPr="00121126">
        <w:rPr>
          <w:rFonts w:ascii="Calibri Light" w:hAnsi="Calibri Light" w:cs="Calibri Light"/>
        </w:rPr>
        <w:t>(7)</w:t>
      </w:r>
      <w:r w:rsidR="005C33BF">
        <w:fldChar w:fldCharType="end"/>
      </w:r>
      <w:r w:rsidR="005C33BF">
        <w:t>.</w:t>
      </w:r>
    </w:p>
    <w:p w:rsidR="00F308D9" w:rsidRDefault="00F308D9" w:rsidP="00E3729E">
      <w:pPr>
        <w:pStyle w:val="Prrafodelista"/>
        <w:numPr>
          <w:ilvl w:val="0"/>
          <w:numId w:val="2"/>
        </w:numPr>
      </w:pPr>
      <w:r>
        <w:t>Características del paciente:</w:t>
      </w:r>
    </w:p>
    <w:p w:rsidR="00F308D9" w:rsidRDefault="00F308D9" w:rsidP="00E3729E">
      <w:pPr>
        <w:pStyle w:val="Prrafodelista"/>
        <w:numPr>
          <w:ilvl w:val="1"/>
          <w:numId w:val="2"/>
        </w:numPr>
      </w:pPr>
      <w:r>
        <w:t>Edad: es un factor a tener en cuenta de cara al tratamiento, a mayor edad mayor morbimortalidad. Una edad mayor no implica mayor riesgo de ruptura, pero en una persona joven el tiempo de evolución del aneurisma será mayor, lo que conlleva mayor posibilidad de ruptura o génesis de nuevos aneurismas</w:t>
      </w:r>
      <w:r>
        <w:fldChar w:fldCharType="begin"/>
      </w:r>
      <w:r w:rsidR="005C33BF">
        <w:instrText xml:space="preserve"> ADDIN ZOTERO_ITEM CSL_CITATION {"citationID":"pmK42umO","properties":{"formattedCitation":"(4,8)","plainCitation":"(4,8)","noteIndex":0},"citationItems":[{"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O."}],"issued":{"date-parts":[["2003",7,12]]}}},{"id":72,"uris":["http://zotero.org/users/local/I8IXatSK/items/3FG3RA6W"],"uri":["http://zotero.org/users/local/I8IXatSK/items/3FG3RA6W"],"itemData":{"id":72,"type":"article-journal","title":"Hemorragia subaracnoidea aneurismática: guía de tratamiento del Grupo de Patología Vascular de la Sociedad Española de Neurocirugía","container-title":"Neurocirugía","page":"93–115","volume":"22","issue":"2","source":"Google Scholar","shortTitle":"Hemorragia subaracnoidea aneurismática","author":[{"family":"Lagares","given":"Alfonso"},{"family":"Gómez","given":"P. A."},{"family":"Alén","given":"José Fernández"},{"family":"Arikan","given":"F."},{"family":"Sarabia","given":"R."},{"family":"Horcajadas","given":"A."},{"family":"Ibañez","given":"J."},{"family":"Gabarros","given":"A."},{"family":"Morera","given":"J."},{"family":"Lama","given":"A."}],"issued":{"date-parts":[["2011"]]}}}],"schema":"https://github.com/citation-style-language/schema/raw/master/csl-citation.json"} </w:instrText>
      </w:r>
      <w:r>
        <w:fldChar w:fldCharType="separate"/>
      </w:r>
      <w:r w:rsidR="005C33BF" w:rsidRPr="005C33BF">
        <w:rPr>
          <w:rFonts w:ascii="Calibri Light" w:hAnsi="Calibri Light" w:cs="Calibri Light"/>
        </w:rPr>
        <w:t>(4,8)</w:t>
      </w:r>
      <w:r>
        <w:fldChar w:fldCharType="end"/>
      </w:r>
      <w:r>
        <w:t xml:space="preserve">. </w:t>
      </w:r>
    </w:p>
    <w:p w:rsidR="00F308D9" w:rsidRDefault="00F308D9" w:rsidP="00E3729E">
      <w:pPr>
        <w:pStyle w:val="Prrafodelista"/>
        <w:numPr>
          <w:ilvl w:val="1"/>
          <w:numId w:val="2"/>
        </w:numPr>
      </w:pPr>
      <w:r>
        <w:t>Sexo: ser mujer significa tener un riesgo mayor de ruptura, de 1.5 a 3 veces más que los hombres</w:t>
      </w:r>
      <w:r>
        <w:fldChar w:fldCharType="begin"/>
      </w:r>
      <w:r>
        <w:instrText xml:space="preserve"> ADDIN ZOTERO_ITEM CSL_CITATION {"citationID":"aggevcsee3","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fldChar w:fldCharType="separate"/>
      </w:r>
      <w:r w:rsidR="00C20DA7" w:rsidRPr="00C20DA7">
        <w:rPr>
          <w:rFonts w:ascii="Calibri Light" w:hAnsi="Calibri Light" w:cs="Calibri Light"/>
        </w:rPr>
        <w:t>(3)</w:t>
      </w:r>
      <w:r>
        <w:fldChar w:fldCharType="end"/>
      </w:r>
      <w:r>
        <w:t>.</w:t>
      </w:r>
    </w:p>
    <w:p w:rsidR="00F308D9" w:rsidRDefault="00F308D9" w:rsidP="00E3729E">
      <w:pPr>
        <w:pStyle w:val="Prrafodelista"/>
        <w:numPr>
          <w:ilvl w:val="1"/>
          <w:numId w:val="2"/>
        </w:numPr>
      </w:pPr>
      <w:r>
        <w:t xml:space="preserve">Historia previa de HSA: han de valorarse de manera distinta los pacientes sin historia de HSA y los que sí la tienen, puesto que se ha demostrado que el comportamiento de los aneurismas es diferente. Para un mismo tamaño, el riesgo de ruptura en pacientes con historia de HSA y pacientes sin ella, el riesgo de ruptura es de 0.5%/año y 0.05%/año respectivamente. En los </w:t>
      </w:r>
      <w:r>
        <w:lastRenderedPageBreak/>
        <w:t xml:space="preserve">pacientes que carecen de historia de HSA anterior el tamaño y la localización son factores predictores de ruptura, independientemente del resto de factores. </w:t>
      </w:r>
      <w:r>
        <w:fldChar w:fldCharType="begin"/>
      </w:r>
      <w:r w:rsidR="00121126">
        <w:instrText xml:space="preserve"> ADDIN ZOTERO_ITEM CSL_CITATION {"citationID":"a1gfc1lo838","properties":{"formattedCitation":"(5)","plainCitation":"(5)","noteIndex":0},"citationItems":[{"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Aneurysms"}],"issued":{"date-parts":[["1998"]]}}}],"schema":"https://github.com/citation-style-language/schema/raw/master/csl-citation.json"} </w:instrText>
      </w:r>
      <w:r>
        <w:fldChar w:fldCharType="separate"/>
      </w:r>
      <w:r w:rsidR="00121126" w:rsidRPr="00121126">
        <w:rPr>
          <w:rFonts w:ascii="Calibri Light" w:hAnsi="Calibri Light" w:cs="Calibri Light"/>
        </w:rPr>
        <w:t>(5)</w:t>
      </w:r>
      <w:r>
        <w:fldChar w:fldCharType="end"/>
      </w:r>
      <w:r>
        <w:t xml:space="preserve">. </w:t>
      </w:r>
    </w:p>
    <w:p w:rsidR="00F308D9" w:rsidRDefault="00F308D9" w:rsidP="00E3729E">
      <w:pPr>
        <w:pStyle w:val="Prrafodelista"/>
        <w:numPr>
          <w:ilvl w:val="1"/>
          <w:numId w:val="2"/>
        </w:numPr>
      </w:pPr>
      <w:r>
        <w:t>Antecedentes familiares: comportamiento más agresivo de los aneurismas si un familiar de primer grado ha padecido una HSA aneurismática</w:t>
      </w:r>
      <w:r>
        <w:fldChar w:fldCharType="begin"/>
      </w:r>
      <w:r w:rsidR="00121126">
        <w:instrText xml:space="preserve"> ADDIN ZOTERO_ITEM CSL_CITATION {"citationID":"a13gesvb52q","properties":{"formattedCitation":"(7)","plainCitation":"(7)","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D."},{"family":"Lanzino","given":"Giuseppe"}],"issued":{"date-parts":[["2011"]]}}}],"schema":"https://github.com/citation-style-language/schema/raw/master/csl-citation.json"} </w:instrText>
      </w:r>
      <w:r>
        <w:fldChar w:fldCharType="separate"/>
      </w:r>
      <w:r w:rsidR="00121126" w:rsidRPr="00121126">
        <w:rPr>
          <w:rFonts w:ascii="Calibri Light" w:hAnsi="Calibri Light" w:cs="Calibri Light"/>
        </w:rPr>
        <w:t>(7)</w:t>
      </w:r>
      <w:r>
        <w:fldChar w:fldCharType="end"/>
      </w:r>
      <w:r>
        <w:t>.</w:t>
      </w:r>
    </w:p>
    <w:p w:rsidR="00F308D9" w:rsidRDefault="00F308D9" w:rsidP="00E3729E">
      <w:pPr>
        <w:pStyle w:val="Prrafodelista"/>
        <w:numPr>
          <w:ilvl w:val="1"/>
          <w:numId w:val="2"/>
        </w:numPr>
      </w:pPr>
      <w:r>
        <w:t xml:space="preserve">Comorbilidad: la hipertensión arterial aumenta el riesgo de ruptura ya que afecta a las condiciones hemodinámicas. El consumo de fármacos antiagregantes  o anticoagulantes no implican mayor riesgo de ruptura </w:t>
      </w:r>
      <w:r>
        <w:fldChar w:fldCharType="begin"/>
      </w:r>
      <w:r w:rsidR="00121126">
        <w:instrText xml:space="preserve"> ADDIN ZOTERO_ITEM CSL_CITATION {"citationID":"a1ctmk0hm1p","properties":{"formattedCitation":"(7)","plainCitation":"(7)","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D."},{"family":"Lanzino","given":"Giuseppe"}],"issued":{"date-parts":[["2011"]]}}}],"schema":"https://github.com/citation-style-language/schema/raw/master/csl-citation.json"} </w:instrText>
      </w:r>
      <w:r>
        <w:fldChar w:fldCharType="separate"/>
      </w:r>
      <w:r w:rsidR="00121126" w:rsidRPr="00121126">
        <w:rPr>
          <w:rFonts w:ascii="Calibri Light" w:hAnsi="Calibri Light" w:cs="Calibri Light"/>
        </w:rPr>
        <w:t>(7)</w:t>
      </w:r>
      <w:r>
        <w:fldChar w:fldCharType="end"/>
      </w:r>
      <w:r>
        <w:t>.</w:t>
      </w:r>
    </w:p>
    <w:p w:rsidR="00F308D9" w:rsidRPr="002C6D12" w:rsidRDefault="00F308D9" w:rsidP="00E3729E">
      <w:pPr>
        <w:pStyle w:val="Prrafodelista"/>
        <w:numPr>
          <w:ilvl w:val="1"/>
          <w:numId w:val="2"/>
        </w:numPr>
        <w:rPr>
          <w:rFonts w:ascii="Calibri Light" w:hAnsi="Calibri Light"/>
        </w:rPr>
      </w:pPr>
      <w:r>
        <w:t>Hábitos tóxicos: el consumo de tabaco</w:t>
      </w:r>
      <w:r w:rsidR="00255E6E">
        <w:t xml:space="preserve"> y alcohol</w:t>
      </w:r>
      <w:r>
        <w:t xml:space="preserve"> implica peor pronóstico de la enfermedad</w:t>
      </w:r>
      <w:r>
        <w:fldChar w:fldCharType="begin"/>
      </w:r>
      <w:r>
        <w:instrText xml:space="preserve"> ADDIN ZOTERO_ITEM CSL_CITATION {"citationID":"ad1i8qkov9","properties":{"formattedCitation":"(9)","plainCitation":"(9)","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PMC3214806","journalAbbreviation":"Neurointervention","author":[{"family":"Yoon","given":"Woong"}],"issued":{"date-parts":[["2011",2]]}}}],"schema":"https://github.com/citation-style-language/schema/raw/master/csl-citation.json"} </w:instrText>
      </w:r>
      <w:r>
        <w:fldChar w:fldCharType="separate"/>
      </w:r>
      <w:r w:rsidR="00C20DA7" w:rsidRPr="00C20DA7">
        <w:rPr>
          <w:rFonts w:ascii="Calibri Light" w:hAnsi="Calibri Light" w:cs="Calibri Light"/>
        </w:rPr>
        <w:t>(9)</w:t>
      </w:r>
      <w:r>
        <w:fldChar w:fldCharType="end"/>
      </w:r>
      <w:r>
        <w:t>.</w:t>
      </w:r>
    </w:p>
    <w:p w:rsidR="00F308D9" w:rsidRDefault="00F308D9" w:rsidP="00F308D9">
      <w:pPr>
        <w:pStyle w:val="Ttulo2"/>
        <w:numPr>
          <w:ilvl w:val="1"/>
          <w:numId w:val="0"/>
        </w:numPr>
        <w:ind w:left="576" w:hanging="576"/>
      </w:pPr>
      <w:bookmarkStart w:id="6" w:name="_Toc512441293"/>
      <w:r>
        <w:t>Tratamiento de los aneurismas incidentales</w:t>
      </w:r>
      <w:bookmarkEnd w:id="6"/>
    </w:p>
    <w:p w:rsidR="00F308D9" w:rsidRDefault="00F308D9" w:rsidP="00F308D9">
      <w:r>
        <w:t xml:space="preserve">No existe aún un consenso para el tratamiento, ya que es difícil establecer una guía estandarizada, teniendo en cuenta el desconocimiento de la historia natural del aneurisma y la cantidad de factores a tener en cuenta. </w:t>
      </w:r>
    </w:p>
    <w:p w:rsidR="00F308D9" w:rsidRDefault="00F308D9" w:rsidP="00F308D9">
      <w:pPr>
        <w:pStyle w:val="Ttulo3"/>
        <w:numPr>
          <w:ilvl w:val="2"/>
          <w:numId w:val="0"/>
        </w:numPr>
        <w:ind w:left="1428" w:hanging="720"/>
      </w:pPr>
      <w:bookmarkStart w:id="7" w:name="_Toc512441294"/>
      <w:r>
        <w:t>Tratamiento quirúrgico</w:t>
      </w:r>
      <w:bookmarkEnd w:id="7"/>
    </w:p>
    <w:p w:rsidR="00731971" w:rsidRPr="00731971" w:rsidRDefault="00731971" w:rsidP="00731971">
      <w:r w:rsidRPr="00731971">
        <w:rPr>
          <w:u w:val="single"/>
        </w:rPr>
        <w:t>Técnica:</w:t>
      </w:r>
      <w:r>
        <w:t xml:space="preserve"> </w:t>
      </w:r>
      <w:r w:rsidRPr="00731971">
        <w:t xml:space="preserve">Primero se realiza una craneotomía para </w:t>
      </w:r>
      <w:r>
        <w:t>acceder a la cavidad intracraneal. Después se expone</w:t>
      </w:r>
      <w:r w:rsidRPr="00731971">
        <w:t xml:space="preserve"> el vaso </w:t>
      </w:r>
      <w:r>
        <w:t>donde se encuentra en aneurisma, y</w:t>
      </w:r>
      <w:r w:rsidRPr="00731971">
        <w:t xml:space="preserve"> </w:t>
      </w:r>
      <w:r>
        <w:t>tras localizarlo</w:t>
      </w:r>
      <w:r w:rsidRPr="00731971">
        <w:t xml:space="preserve"> se coloca una grapa metálica en el cuello del aneurisma para aislarlo de la circulación</w:t>
      </w:r>
      <w:r>
        <w:t>.</w:t>
      </w:r>
    </w:p>
    <w:p w:rsidR="00171FF3" w:rsidRDefault="00F308D9" w:rsidP="00F308D9">
      <w:r>
        <w:t>Es una técnica muy eficiente, viéndose en la literatura que alcanza la oclusión completa del aneurisma hasta en el 91% de los casos</w:t>
      </w:r>
      <w:r>
        <w:fldChar w:fldCharType="begin"/>
      </w:r>
      <w:r>
        <w:instrText xml:space="preserve"> ADDIN ZOTERO_ITEM CSL_CITATION {"citationID":"a2gkgqj6di","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fldChar w:fldCharType="separate"/>
      </w:r>
      <w:r w:rsidR="00C20DA7" w:rsidRPr="00C20DA7">
        <w:rPr>
          <w:rFonts w:ascii="Calibri Light" w:hAnsi="Calibri Light" w:cs="Calibri Light"/>
        </w:rPr>
        <w:t>(3)</w:t>
      </w:r>
      <w:r>
        <w:fldChar w:fldCharType="end"/>
      </w:r>
      <w:r>
        <w:t>. Por otra parte, se ha visto un mayor riesgo de desenlaces desfavorables en comparación con pacientes sometidos a tratamiento endovascular. Los pacientes quirúrgicos requieren mayor tiempo de ingreso hospitalario</w:t>
      </w:r>
      <w:r w:rsidR="008030F4">
        <w:t>,</w:t>
      </w:r>
      <w:r>
        <w:t xml:space="preserve"> lo que conlleva más complicaciones derivadas de la estancia en el hospital</w:t>
      </w:r>
      <w:r w:rsidR="008030F4">
        <w:t xml:space="preserve">, que añadido al riesgo </w:t>
      </w:r>
      <w:r>
        <w:t>de la propia técnica</w:t>
      </w:r>
      <w:r w:rsidR="008030F4">
        <w:t>, supera el riesgo que implicaría una intervención endovascular</w:t>
      </w:r>
      <w:r>
        <w:t>. Estos resultados no pueden tampoco ser descontextualizados, no podemos concluir que  estos pacientes hubiesen obtenido un mayor beneficio con la técnica endovascu</w:t>
      </w:r>
      <w:r w:rsidR="00844702">
        <w:t>lar puesto que, probablemente, e</w:t>
      </w:r>
      <w:r>
        <w:t>sta opción fuera inapropiada para sus respectivas situaciones</w:t>
      </w:r>
      <w:r w:rsidR="00171FF3">
        <w:t xml:space="preserve">. En numerosas ocasiones, un elevado riesgo de </w:t>
      </w:r>
      <w:r w:rsidR="008030F4">
        <w:t>hemorragia aneurismática</w:t>
      </w:r>
      <w:r w:rsidR="00171FF3">
        <w:t xml:space="preserve"> está asociado a una </w:t>
      </w:r>
      <w:r w:rsidR="008030F4">
        <w:t>m</w:t>
      </w:r>
      <w:r w:rsidR="00171FF3">
        <w:t>ayor morbimortalidad quirúrgica</w:t>
      </w:r>
      <w:r>
        <w:fldChar w:fldCharType="begin"/>
      </w:r>
      <w:r>
        <w:instrText xml:space="preserve"> ADDIN ZOTERO_ITEM CSL_CITATION {"citationID":"a1f7n8hpdt9","properties":{"formattedCitation":"(10)","plainCitation":"(10)","noteIndex":0},"citationItems":[{"id":33,"uris":["http://zotero.org/users/local/I8IXatSK/items/GS2X2KMR"],"uri":["http://zotero.org/users/local/I8IXatSK/items/GS2X2KMR"],"itemData":{"id":33,"type":"article-journal","title":"Comparative Effectiveness of Unruptured Cerebral Aneurysm Therapies: Propensity Score Analysis of Clipping Versus Coiling","container-title":"Stroke","page":"988-994","volume":"44","issue":"4","source":"stroke.ahajournals.org","abstract":"&lt;h3&gt;Background and Purpose—&lt;/h3&gt; &lt;p&gt;Endovascular therapy has increasingly become the most common treatment for unruptured cerebral aneurysms in the United States. We evaluated a national, multi-hospital database to examine recent utilization trends and compare periprocedural outcomes between clipping and coiling treatments of unruptured aneurysms.&lt;/p&gt;&lt;h3&gt;Methods—&lt;/h3&gt; &lt;p&gt;The Premier Perspective database was used to identify patients hospitalized between 2006 to 2011 for unruptured cerebral aneurysm who underwent clipping or coiling therapy. A logistic propensity score was generated for each patient using relevant patient, procedure, and hospital variables, representing the probability of receiving clipping. Covariate balance was assessed using conditional logistic regression. Following propensity score adjustment using 1:1 matching methods, the risk of in-hospital mortality and morbidity was compared between clipping and coiling cohorts.&lt;/p&gt;&lt;h3&gt;Results—&lt;/h3&gt; &lt;p&gt;A total of 4899 unruptured aneurysm patients (1388 clipping, 3551 coiling) treated at 120 hospitals were identified. Following propensity score adjustment, clipping patients had a similar likelihood of in-hospital mortality (odds ratio [OR], 1.43; 95% confidence interval [CI], 0.49–4.44; &lt;i&gt;P&lt;/i&gt;=0.47) but a significantly higher likelihood of unfavorable outcomes, including discharge to long-term care (OR, 4.78; 95% CI, 3.51–6.58; &lt;i&gt;P&lt;/i&gt;&amp;lt;0.0001), ischemic complications (OR, 3.42; 95% CI, 2.39–4.99; &lt;i&gt;P&lt;/i&gt;&amp;lt;0.0001), hemorrhagic complications (OR, 2.16; 95% CI, 1.33–3.57; &lt;i&gt;P&lt;/i&gt;&amp;lt;0.0001), postoperative neurological complications (OR, 3.39; 95% CI, 2.25–5.22; &lt;i&gt;P&lt;/i&gt;&amp;lt;0.0001), and ventriculostomy (OR, 2.10; 95% CI, 1.01–4.61; &lt;i&gt;P&lt;/i&gt;=0.0320) compared with coiling patients.&lt;/p&gt;&lt;h3&gt;Conclusions—&lt;/h3&gt; &lt;p&gt;Among patients treated for unruptured intracranial aneurysms in a large sample of hospitals in the United States, clipping was associated with similar mortality risk but significantly higher periprocedural morbidity risk compared with coiling.&lt;/p&gt;","DOI":"10.1161/STROKEAHA.111.000196","ISSN":"0039-2499, 1524-4628","note":"PMID: 23449260","shortTitle":"Comparative Effectiveness of Unruptured Cerebral Aneurysm Therapies","language":"en","author":[{"family":"McDonald","given":"Jennifer S."},{"family":"McDonald","given":"Robert J."},{"family":"Fan","given":"Jiaquan"},{"family":"Kallmes","given":"David F."},{"family":"Lanzino","given":"Giuseppe"},{"family":"Cloft","given":"Harry J."}],"issued":{"date-parts":[["2013",4,1]]}}}],"schema":"https://github.com/citation-style-language/schema/raw/master/csl-citation.json"} </w:instrText>
      </w:r>
      <w:r>
        <w:fldChar w:fldCharType="separate"/>
      </w:r>
      <w:r w:rsidR="00C20DA7" w:rsidRPr="00C20DA7">
        <w:rPr>
          <w:rFonts w:ascii="Calibri Light" w:hAnsi="Calibri Light" w:cs="Calibri Light"/>
        </w:rPr>
        <w:t>(10)</w:t>
      </w:r>
      <w:r>
        <w:fldChar w:fldCharType="end"/>
      </w:r>
      <w:r w:rsidR="00171FF3">
        <w:t>.</w:t>
      </w:r>
    </w:p>
    <w:p w:rsidR="00F308D9" w:rsidRDefault="00F308D9" w:rsidP="00F308D9">
      <w:r>
        <w:t>En el estudio ISUIA</w:t>
      </w:r>
      <w:r>
        <w:rPr>
          <w:rStyle w:val="Refdenotaalpie"/>
        </w:rPr>
        <w:footnoteReference w:id="1"/>
      </w:r>
      <w:r>
        <w:t xml:space="preserve"> se advirtió que la edad era un importante predictor de cara a la intervención quirúrgica, obteniendo peores resultados a mayor edad  del paciente, especialmente a partir de los 60 años. También se observó que había otras variables cuyo comportamiento influía de manera independiente en los resultados, como serían el tamaño del aneurisma (</w:t>
      </w:r>
      <w:r w:rsidR="00171FF3">
        <w:t>sobre todo</w:t>
      </w:r>
      <w:r>
        <w:t xml:space="preserve"> a partir de los 12 mm de diámetro), la localización en la circulación posterior,</w:t>
      </w:r>
      <w:r w:rsidR="00171FF3">
        <w:t xml:space="preserve"> antecedentes</w:t>
      </w:r>
      <w:r>
        <w:t xml:space="preserve"> de ictus isquémico y presencia de síntomas derivados</w:t>
      </w:r>
      <w:r w:rsidR="008030F4">
        <w:t xml:space="preserve"> de la existencia </w:t>
      </w:r>
      <w:r w:rsidR="005C33BF">
        <w:lastRenderedPageBreak/>
        <w:t>del aneurisma distinto</w:t>
      </w:r>
      <w:r>
        <w:t xml:space="preserve"> de su ruptura. </w:t>
      </w:r>
      <w:r w:rsidR="00171FF3">
        <w:t>Debido a</w:t>
      </w:r>
      <w:r>
        <w:t xml:space="preserve"> esta observación algunas guías recomiendan que el tratamien</w:t>
      </w:r>
      <w:r w:rsidR="00171FF3">
        <w:t>to quirúrgico se reserve para</w:t>
      </w:r>
      <w:r>
        <w:t xml:space="preserve"> pacientes jóvenes con alto riesgo de ruptura aneurismática, de manera que los riesgos de la cirugía</w:t>
      </w:r>
      <w:r w:rsidR="008030F4">
        <w:t xml:space="preserve"> fueran</w:t>
      </w:r>
      <w:r>
        <w:t xml:space="preserve"> </w:t>
      </w:r>
      <w:r w:rsidR="00171FF3">
        <w:t>asumibles teniendo en cuenta</w:t>
      </w:r>
      <w:r>
        <w:t xml:space="preserve"> </w:t>
      </w:r>
      <w:r w:rsidR="008030F4">
        <w:t>el riesgo</w:t>
      </w:r>
      <w:r>
        <w:t xml:space="preserve"> de ruptura</w:t>
      </w:r>
      <w:r w:rsidR="008030F4">
        <w:t xml:space="preserve"> del aneurisma</w:t>
      </w:r>
      <w:r w:rsidR="005C33BF">
        <w:fldChar w:fldCharType="begin"/>
      </w:r>
      <w:r w:rsidR="005C33BF">
        <w:instrText xml:space="preserve"> ADDIN ZOTERO_ITEM CSL_CITATION {"citationID":"asaqg6cmaj","properties":{"formattedCitation":"(4)","plainCitation":"(4)","noteIndex":0},"citationItems":[{"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O."}],"issued":{"date-parts":[["2003",7,12]]}}}],"schema":"https://github.com/citation-style-language/schema/raw/master/csl-citation.json"} </w:instrText>
      </w:r>
      <w:r w:rsidR="005C33BF">
        <w:fldChar w:fldCharType="separate"/>
      </w:r>
      <w:r w:rsidR="005C33BF" w:rsidRPr="00121126">
        <w:rPr>
          <w:rFonts w:ascii="Calibri Light" w:hAnsi="Calibri Light" w:cs="Calibri Light"/>
        </w:rPr>
        <w:t>(4)</w:t>
      </w:r>
      <w:r w:rsidR="005C33BF">
        <w:fldChar w:fldCharType="end"/>
      </w:r>
      <w:r>
        <w:t>.</w:t>
      </w:r>
    </w:p>
    <w:p w:rsidR="00731971" w:rsidRPr="00731971" w:rsidRDefault="00F308D9" w:rsidP="00731971">
      <w:r>
        <w:t>Otros factores a tener en cuenta serían los factores dependientes del neurocirujano</w:t>
      </w:r>
      <w:r w:rsidR="006C0203">
        <w:t xml:space="preserve"> y el centro donde se realice la intervención, puesto que </w:t>
      </w:r>
      <w:r w:rsidR="00121126">
        <w:t>observó</w:t>
      </w:r>
      <w:r w:rsidR="006C0203">
        <w:t xml:space="preserve"> </w:t>
      </w:r>
      <w:r w:rsidR="00121126">
        <w:t>que</w:t>
      </w:r>
      <w:r w:rsidR="006C0203">
        <w:t xml:space="preserve"> juegan un papel muy importante en el resultado del tratamiento. En hospitales que trataban 20 o más aneurismas se </w:t>
      </w:r>
      <w:r w:rsidR="00121126">
        <w:t>vio</w:t>
      </w:r>
      <w:r w:rsidR="006C0203">
        <w:t xml:space="preserve"> una menor tasa de mortalidad y una disminución de los resultados desfavorables</w:t>
      </w:r>
      <w:r w:rsidR="00AE7441">
        <w:t>, 1.6% y 15.6% respectivamente, en</w:t>
      </w:r>
      <w:r w:rsidR="006C0203">
        <w:t xml:space="preserve"> comparación con centros que intervenían 4 o menos aneurismas</w:t>
      </w:r>
      <w:r w:rsidR="00AE7441">
        <w:t>, que tenían una tasa de mortalidad del 2.2% y un 23.8% de malos resultados</w:t>
      </w:r>
      <w:r w:rsidR="006C0203">
        <w:t xml:space="preserve">. Deben conocerse los límites de los recursos disponibles y la capacidad del equipo de neurocirugía de cara a </w:t>
      </w:r>
      <w:r w:rsidR="00731971">
        <w:t>decidir el tratamiento de los aneurismas</w:t>
      </w:r>
      <w:r w:rsidR="00731971">
        <w:fldChar w:fldCharType="begin"/>
      </w:r>
      <w:r w:rsidR="00AE7441">
        <w:instrText xml:space="preserve"> ADDIN ZOTERO_ITEM CSL_CITATION {"citationID":"JcSHDOBh","properties":{"formattedCitation":"(11)","plainCitation":"(11)","noteIndex":0},"citationItems":[{"id":30,"uris":["http://zotero.org/users/local/I8IXatSK/items/YPV823HS"],"uri":["http://zotero.org/users/local/I8IXatSK/items/YPV823HS"],"itemData":{"id":30,"type":"article-journal","title":"Similar Safety in Centers with Low and High Volumes of Endovascular Treatments for Unruptured Intracranial Aneurysms: Evaluation of the Analysis of Treatment by Endovascular Approach of Nonruptured Aneurysms Study","container-title":"American Journal of Neuroradiology","page":"1010-1014","volume":"31","issue":"6","source":"CrossRef","DOI":"10.3174/ajnr.A1999","ISSN":"0195-6108, 1936-959X","shortTitle":"Similar Safety in Centers with Low and High Volumes of Endovascular Treatments for Unruptured Intracranial Aneurysms","language":"en","author":[{"family":"Pierot","given":"L."},{"family":"Spelle","given":"L."},{"family":"Vitry","given":"F."},{"literal":"for the ATENA Investigators"}],"issued":{"date-parts":[["2010",6,1]]}}}],"schema":"https://github.com/citation-style-language/schema/raw/master/csl-citation.json"} </w:instrText>
      </w:r>
      <w:r w:rsidR="00731971">
        <w:fldChar w:fldCharType="separate"/>
      </w:r>
      <w:r w:rsidR="00C20DA7" w:rsidRPr="00C20DA7">
        <w:rPr>
          <w:rFonts w:ascii="Calibri" w:hAnsi="Calibri" w:cs="Calibri"/>
        </w:rPr>
        <w:t>(11)</w:t>
      </w:r>
      <w:r w:rsidR="00731971">
        <w:fldChar w:fldCharType="end"/>
      </w:r>
      <w:r w:rsidR="00731971">
        <w:t>.</w:t>
      </w:r>
    </w:p>
    <w:p w:rsidR="00F308D9" w:rsidRDefault="00F308D9" w:rsidP="00F308D9">
      <w:pPr>
        <w:pStyle w:val="Ttulo3"/>
        <w:numPr>
          <w:ilvl w:val="2"/>
          <w:numId w:val="0"/>
        </w:numPr>
        <w:ind w:left="1428" w:hanging="720"/>
      </w:pPr>
      <w:bookmarkStart w:id="8" w:name="_Toc512441295"/>
      <w:r>
        <w:t>Tratamiento endovascular</w:t>
      </w:r>
      <w:bookmarkEnd w:id="8"/>
    </w:p>
    <w:p w:rsidR="00EC7595" w:rsidRDefault="00731971" w:rsidP="00731971">
      <w:r>
        <w:rPr>
          <w:u w:val="single"/>
        </w:rPr>
        <w:t>Técnica:</w:t>
      </w:r>
      <w:r>
        <w:t xml:space="preserve"> </w:t>
      </w:r>
      <w:r w:rsidR="00EC7595">
        <w:t xml:space="preserve">es un procedimiento mínimamente invasivo, ya que se accede al aneurisma mediante cateterismo con punción femoral. Se </w:t>
      </w:r>
      <w:r w:rsidR="00121126">
        <w:t>sirve</w:t>
      </w:r>
      <w:r w:rsidR="00EC7595">
        <w:t xml:space="preserve"> de técnicas de imagen para controlar el avance y posición del catéter. Una vez que el catéter se encuentra en el vaso a tratar, se avanzan los coils</w:t>
      </w:r>
      <w:r w:rsidR="00EC7595">
        <w:rPr>
          <w:rStyle w:val="Refdenotaalpie"/>
        </w:rPr>
        <w:footnoteReference w:id="2"/>
      </w:r>
      <w:r w:rsidR="00EC7595">
        <w:t xml:space="preserve"> a través del mismo hasta el aneurisma, donde se liberan. Los coils </w:t>
      </w:r>
      <w:r w:rsidR="00B0541B">
        <w:t>se adaptan al aneurisma y la sangre comienza a coagularse alrededor de ellos, ocluyendo así el aneurisma.</w:t>
      </w:r>
    </w:p>
    <w:p w:rsidR="00F308D9" w:rsidRDefault="00F308D9" w:rsidP="00F308D9">
      <w:r>
        <w:t>El tratamiento endovascular cuenta con un menor porcentaje de oclusión que el tratamiento quirúrgico, de manera que la recanalización del aneurisma conduce a un mayor número de intervenciones para conseguir el cierre del mismo</w:t>
      </w:r>
      <w:r w:rsidR="00B0541B">
        <w:t>, y por lo tanto mayor riesgo de complicaciones</w:t>
      </w:r>
      <w:r>
        <w:t>. En contraposición, esta opción tiene menores cifras de</w:t>
      </w:r>
      <w:r w:rsidR="00C55872">
        <w:t xml:space="preserve"> morbimortalidad</w:t>
      </w:r>
      <w:r>
        <w:t>, siendo una alternativa segura para los pacientes en los cuales no es posible realizar la cirugía</w:t>
      </w:r>
      <w:r>
        <w:fldChar w:fldCharType="begin"/>
      </w:r>
      <w:r w:rsidR="00121126">
        <w:instrText xml:space="preserve"> ADDIN ZOTERO_ITEM CSL_CITATION {"citationID":"NLuNDSgn","properties":{"formattedCitation":"(9)","plainCitation":"(9)","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PMC3214806","journalAbbreviation":"Neurointervention","author":[{"family":"Yoon","given":"Woong"}],"issued":{"date-parts":[["2011",2]]}}}],"schema":"https://github.com/citation-style-language/schema/raw/master/csl-citation.json"} </w:instrText>
      </w:r>
      <w:r>
        <w:fldChar w:fldCharType="separate"/>
      </w:r>
      <w:r w:rsidR="00121126" w:rsidRPr="00121126">
        <w:rPr>
          <w:rFonts w:ascii="Calibri Light" w:hAnsi="Calibri Light" w:cs="Calibri Light"/>
        </w:rPr>
        <w:t>(9)</w:t>
      </w:r>
      <w:r>
        <w:fldChar w:fldCharType="end"/>
      </w:r>
      <w:r>
        <w:t>.</w:t>
      </w:r>
    </w:p>
    <w:p w:rsidR="00F308D9" w:rsidRDefault="00F308D9" w:rsidP="00F308D9">
      <w:r>
        <w:t>En el caso de los aneurismas rotos, el estudio ISAT</w:t>
      </w:r>
      <w:r>
        <w:rPr>
          <w:rStyle w:val="Refdenotaalpie"/>
        </w:rPr>
        <w:footnoteReference w:id="3"/>
      </w:r>
      <w:r>
        <w:t xml:space="preserve"> demostró que los mejores resultados se obtienen mediante tratamiento con coils, pero estos datos no son extrapolables a los aneurismas no rotos. Esto se debe a que los aneurismas no rotos tienen un riesgo de sangrado aproximado de 1%/año y los aneurismas rotos tienen un riesgo de resangrado del 30 al 50% en el primer año, por lo que en el caso de los aneurismas rotos la balanza de beneficio-riesgo se inclina de manera clara hacia el beneficio de la intervención. En el caso de los aneurismas no rotos esto es incierto, ya que a día de hoy no existen publicaciones sobre ensayos clínicos prospectivos aleatorizados que comparen tratamiento conservador con tratamiento endovascular o clipaje quirúrgico</w:t>
      </w:r>
      <w:r w:rsidR="002C6295">
        <w:t xml:space="preserve"> en aneurismas no rotos</w:t>
      </w:r>
      <w:r>
        <w:fldChar w:fldCharType="begin"/>
      </w:r>
      <w:r w:rsidR="00121126">
        <w:instrText xml:space="preserve"> ADDIN ZOTERO_ITEM CSL_CITATION {"citationID":"5o1y5jkU","properties":{"formattedCitation":"(9,12)","plainCitation":"(9,12)","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label":"page"},{"id":46,"uris":["http://zotero.org/users/local/I8IXatSK/items/F5KHRHSV"],"uri":["http://zotero.org/users/local/I8IXatSK/items/F5KHRHSV"],"itemData":{"id":46,"type":"article-journal","title":"A trial on unruptured intracranial aneurysms (the TEAM trial): results, lessons from a failure and the necessity for clinical care trials","container-title":"Trials","page":"64","volume":"12","issue":"1","source":"Google Scholar","shortTitle":"A trial on unruptured intracranial aneurysms (the TEAM trial)","author":[{"family":"Raymond","given":"Jean"},{"family":"Darsaut","given":"Tim E."},{"family":"Molyneux","given":"Andrew J."}],"issued":{"date-parts":[["2011"]]}},"label":"page"}],"schema":"https://github.com/citation-style-language/schema/raw/master/csl-citation.json"} </w:instrText>
      </w:r>
      <w:r>
        <w:fldChar w:fldCharType="separate"/>
      </w:r>
      <w:r w:rsidR="00121126" w:rsidRPr="00121126">
        <w:rPr>
          <w:rFonts w:ascii="Calibri Light" w:hAnsi="Calibri Light" w:cs="Calibri Light"/>
        </w:rPr>
        <w:t>(9,12)</w:t>
      </w:r>
      <w:r>
        <w:fldChar w:fldCharType="end"/>
      </w:r>
      <w:r>
        <w:t xml:space="preserve">. </w:t>
      </w:r>
    </w:p>
    <w:p w:rsidR="008443CD" w:rsidRDefault="00D26449" w:rsidP="00F308D9">
      <w:r>
        <w:lastRenderedPageBreak/>
        <w:t>Respecto a los factores que influyen en los resultados y las complicaciones del tratamiento endovascular, en el estudio ATENAS</w:t>
      </w:r>
      <w:r>
        <w:rPr>
          <w:rStyle w:val="Refdenotaalpie"/>
        </w:rPr>
        <w:footnoteReference w:id="4"/>
      </w:r>
      <w:r w:rsidR="00554FD5">
        <w:t xml:space="preserve"> se observó que el tamaño del aneurisma afectaba de manera clara a la tasa de complicaciones, de manera que aumentaba el riesgo de ruptura intraoperatoria en aneurismas pequeños</w:t>
      </w:r>
      <w:r w:rsidR="00B3165D">
        <w:t xml:space="preserve"> (3.7% para 1-6mm y 0.5% para 7-15mm)</w:t>
      </w:r>
      <w:r w:rsidR="00554FD5">
        <w:t xml:space="preserve"> y el riesgo de tromboembolismo en aneurismas mayores de 7mm</w:t>
      </w:r>
      <w:r w:rsidR="00B3165D">
        <w:t xml:space="preserve"> (4.6% eventos tromboembólicos en aneurismas de 1-6mm y 9.9% para 7-15mm)</w:t>
      </w:r>
      <w:r w:rsidR="00554FD5">
        <w:t>.</w:t>
      </w:r>
      <w:r w:rsidR="00E91749">
        <w:t xml:space="preserve"> Estas complicaciones fueron las causas más importantes de m</w:t>
      </w:r>
      <w:r w:rsidR="005C33BF">
        <w:t>orbim</w:t>
      </w:r>
      <w:r w:rsidR="00E91749">
        <w:t>ortalidad a lo largo del estudio</w:t>
      </w:r>
      <w:r w:rsidR="008443CD">
        <w:fldChar w:fldCharType="begin"/>
      </w:r>
      <w:r w:rsidR="008443CD">
        <w:instrText xml:space="preserve"> ADDIN ZOTERO_ITEM CSL_CITATION {"citationID":"PiWRaPOB","properties":{"formattedCitation":"(13)","plainCitation":"(13)","noteIndex":0},"citationItems":[{"id":15,"uris":["http://zotero.org/users/local/I8IXatSK/items/Z3F73TX8"],"uri":["http://zotero.org/users/local/I8IXatSK/items/Z3F73TX8"],"itemData":{"id":15,"type":"article-journal","title":"Immediate Clinical Outcome of Patients Harboring Unruptured Intracranial Aneurysms Treated by Endovascular Approach: Results of the ATENA Study","container-title":"Stroke","page":"2497-2504","volume":"39","issue":"9","source":"stroke.ahajournals.org","abstract":"&lt;p&gt;&lt;b&gt;&lt;i&gt;Background and Purpose—&lt;/i&gt;&lt;/b&gt; The management of unruptured intracranial aneurysms remains controversial and the results of endovascular treatment are not precisely known because no prospective data exist. The first prospective multicenter study (ATENA) was conducted in Canada and France to determine clinical outcome and risks of this treatment.&lt;/p&gt;&lt;p&gt;&lt;b&gt;&lt;i&gt;Methods—&lt;/i&gt;&lt;/b&gt; Six hundred forty-nine patients harboring a total of 1100 aneurysms from 27 Canadian and French neurointerventional centers were prospectively and consecutively treated by endovascular coil embolization. Of these, 739 unruptured intracranial aneurysms were treated during 700 procedures. Aneurysms were selectively treated in the great majority of cases (98.4%) with coils alone (54.5%), the balloon remodeling technique (37.3%), or stenting (7.8%).&lt;/p&gt;&lt;p&gt;&lt;b&gt;&lt;i&gt;Results—&lt;/i&gt;&lt;/b&gt; Endovascular treatment failed in 32 aneurysms (4.3%). Technical adverse events with or without clinical modification were encountered in 15.4% of patients and included thromboembolic complications (7.1% per procedure), intraoperative rupture (2.6% per procedure), and device-related problems (2.9% per procedure). Adverse events associated with transient or permanent neurological deficit or death were encountered in 5.4% of cases. The 1-month morbidity and mortality rates were 1.7% and 1.4%, respectively.&lt;/p&gt;&lt;p&gt;&lt;b&gt;&lt;i&gt;Conclusions—&lt;/i&gt;&lt;/b&gt; Endovascular treatment of unruptured intracranial aneurysms is feasible in a high percentage of cases with low morbidity and mortality rates.&lt;/p&gt;","DOI":"10.1161/STROKEAHA.107.512756","ISSN":"0039-2499, 1524-4628","note":"PMID: 18617659","shortTitle":"Immediate Clinical Outcome of Patients Harboring Unruptured Intracranial Aneurysms Treated by Endovascular Approach","language":"en","author":[{"family":"Pierot","given":"Laurent"},{"family":"Spelle","given":"Laurent"},{"family":"Vitry","given":"Fabien"}],"issued":{"date-parts":[["2008",9,1]]}}}],"schema":"https://github.com/citation-style-language/schema/raw/master/csl-citation.json"} </w:instrText>
      </w:r>
      <w:r w:rsidR="008443CD">
        <w:fldChar w:fldCharType="end"/>
      </w:r>
      <w:r w:rsidR="008443CD">
        <w:t>. Analizando los resultados</w:t>
      </w:r>
      <w:r w:rsidR="00C20DA7">
        <w:t xml:space="preserve"> inmediatos tras la intervención, s</w:t>
      </w:r>
      <w:r w:rsidR="008443CD">
        <w:t xml:space="preserve">e vio que se alcanzaba la oclusión completa </w:t>
      </w:r>
      <w:r w:rsidR="00C20DA7">
        <w:t>con mayor frecuencia en aneurismas menores de 6mm (68.1% frente al 56.0% en mayores de 6mm) y en aneurismas con cuello estrecho (65.1% frente a un 61.0% en aneurismas con cuello ancho). En total, se alcanzaron resultados satisfactorios de oclusión completa hasta en el 85.4% de los casos</w:t>
      </w:r>
      <w:r w:rsidR="002C6295">
        <w:t>, reafirmando así que la técnica endovascular es una alternativa segura en el tratamiento de los aneurismas</w:t>
      </w:r>
      <w:r w:rsidR="00C20DA7">
        <w:fldChar w:fldCharType="begin"/>
      </w:r>
      <w:r w:rsidR="00C20DA7">
        <w:instrText xml:space="preserve"> ADDIN ZOTERO_ITEM CSL_CITATION {"citationID":"jLBWXDuN","properties":{"formattedCitation":"(13,14)","plainCitation":"(13,14)","noteIndex":0},"citationItems":[{"id":15,"uris":["http://zotero.org/users/local/I8IXatSK/items/Z3F73TX8"],"uri":["http://zotero.org/users/local/I8IXatSK/items/Z3F73TX8"],"itemData":{"id":15,"type":"article-journal","title":"Immediate Clinical Outcome of Patients Harboring Unruptured Intracranial Aneurysms Treated by Endovascular Approach: Results of the ATENA Study","container-title":"Stroke","page":"2497-2504","volume":"39","issue":"9","source":"stroke.ahajournals.org","abstract":"&lt;p&gt;&lt;b&gt;&lt;i&gt;Background and Purpose—&lt;/i&gt;&lt;/b&gt; The management of unruptured intracranial aneurysms remains controversial and the results of endovascular treatment are not precisely known because no prospective data exist. The first prospective multicenter study (ATENA) was conducted in Canada and France to determine clinical outcome and risks of this treatment.&lt;/p&gt;&lt;p&gt;&lt;b&gt;&lt;i&gt;Methods—&lt;/i&gt;&lt;/b&gt; Six hundred forty-nine patients harboring a total of 1100 aneurysms from 27 Canadian and French neurointerventional centers were prospectively and consecutively treated by endovascular coil embolization. Of these, 739 unruptured intracranial aneurysms were treated during 700 procedures. Aneurysms were selectively treated in the great majority of cases (98.4%) with coils alone (54.5%), the balloon remodeling technique (37.3%), or stenting (7.8%).&lt;/p&gt;&lt;p&gt;&lt;b&gt;&lt;i&gt;Results—&lt;/i&gt;&lt;/b&gt; Endovascular treatment failed in 32 aneurysms (4.3%). Technical adverse events with or without clinical modification were encountered in 15.4% of patients and included thromboembolic complications (7.1% per procedure), intraoperative rupture (2.6% per procedure), and device-related problems (2.9% per procedure). Adverse events associated with transient or permanent neurological deficit or death were encountered in 5.4% of cases. The 1-month morbidity and mortality rates were 1.7% and 1.4%, respectively.&lt;/p&gt;&lt;p&gt;&lt;b&gt;&lt;i&gt;Conclusions—&lt;/i&gt;&lt;/b&gt; Endovascular treatment of unruptured intracranial aneurysms is feasible in a high percentage of cases with low morbidity and mortality rates.&lt;/p&gt;","DOI":"10.1161/STROKEAHA.107.512756","ISSN":"0039-2499, 1524-4628","note":"PMID: 18617659","shortTitle":"Immediate Clinical Outcome of Patients Harboring Unruptured Intracranial Aneurysms Treated by Endovascular Approach","language":"en","author":[{"family":"Pierot","given":"Laurent"},{"family":"Spelle","given":"Laurent"},{"family":"Vitry","given":"Fabien"}],"issued":{"date-parts":[["2008",9,1]]}},"label":"page"},{"id":21,"uris":["http://zotero.org/users/local/I8IXatSK/items/GI3QLR3B"],"uri":["http://zotero.org/users/local/I8IXatSK/items/GI3QLR3B"],"itemData":{"id":21,"type":"article-journal","title":"Immediate Anatomic Results after the Endovascular Treatment of Unruptured Intracranial Aneurysms: Analysis of the ATENA Series","container-title":"American Journal of Neuroradiology","page":"140-144","volume":"31","issue":"1","source":"www.ajnr.org","abstract":"&lt;h3&gt;BACKGROUND AND PURPOSE:&lt;/h3&gt; &lt;p&gt;A precise analysis of the immediate postoperative anatomic results in a large series of unruptured intracranial aneurysms treated by endovascular approach has not previously been presented. This study aimed to assess the efficacy of endovascular treatment of unruptured intracranial aneurysms in light of immediate postoperative anatomic results in a prospective, multicenter study (the Analysis of Treatment by Endovascular Approach of Nonruptured Aneurysms study; ATENA).&lt;/p&gt;&lt;h3&gt;MATERIALS AND METHODS:&lt;/h3&gt; &lt;p&gt;Postoperative anatomic results from digital subtraction angiography (DSA) were evaluated with the Montreal scale by the treating physician and by 2 anonymous, independent, experienced neuroradiologists.&lt;/p&gt;&lt;h3&gt;RESULTS:&lt;/h3&gt; &lt;p&gt;The analysis included 622 patients (449 women, 173 men; age range, 22–83 years; mean age, 51.2 ± 11.3 years) harboring 694 aneurysms. Evaluation of the postoperative anatomic results by the 2 independent reviewers indicated total occlusions in 437 aneurysms (63.0%), neck remnants in 156 aneurysms (22.5%), and aneurysm remnants in 101 aneurysms (14.6%). Several factors favorably affected the quality of the aneurysm occlusion with treatment, including patient age (&amp;lt; 65 years old; &lt;i&gt;P&lt;/i&gt; &amp;lt; .0001), aneurysm diameter (≤ 6 mm; &lt;i&gt;P&lt;/i&gt; = .0049), aneurysm dome-to-neck ratio (&amp;gt; 1.5; &lt;i&gt;P&lt;/i&gt; = .0388), and endovascular technique (coiling or remodelling compared with stent placement; &lt;i&gt;P&lt;/i&gt; = .0001).&lt;/p&gt;&lt;h3&gt;CONCLUSIONS:&lt;/h3&gt; &lt;p&gt;The endovascular treatment of unruptured aneurysms provided satisfactory postoperative occlusion rates, with a high percentage of complete occlusion or neck remnants (85.4%). Postoperative anatomic results were significantly affected by aneurysm size and neck size, but not aneurysm location.&lt;/p&gt;","DOI":"10.3174/ajnr.A1745","ISSN":"0195-6108, 1936-959X","note":"PMID: 19729540","shortTitle":"Immediate Anatomic Results after the Endovascular Treatment of Unruptured Intracranial Aneurysms","language":"en","author":[{"family":"Pierot","given":"L."},{"family":"Spelle","given":"L."},{"family":"Vitry","given":"F."},{"family":"Investigators","given":"Atena"}],"issued":{"date-parts":[["2010",1,1]]}},"label":"page"}],"schema":"https://github.com/citation-style-language/schema/raw/master/csl-citation.json"} </w:instrText>
      </w:r>
      <w:r w:rsidR="00C20DA7">
        <w:fldChar w:fldCharType="separate"/>
      </w:r>
      <w:r w:rsidR="00C20DA7" w:rsidRPr="00C20DA7">
        <w:rPr>
          <w:rFonts w:ascii="Calibri" w:hAnsi="Calibri" w:cs="Calibri"/>
        </w:rPr>
        <w:t>(13,14)</w:t>
      </w:r>
      <w:r w:rsidR="00C20DA7">
        <w:fldChar w:fldCharType="end"/>
      </w:r>
      <w:r w:rsidR="00C20DA7">
        <w:t>.</w:t>
      </w:r>
    </w:p>
    <w:p w:rsidR="007C53E5" w:rsidRDefault="007C53E5" w:rsidP="007C53E5">
      <w:pPr>
        <w:pStyle w:val="Ttulo1"/>
      </w:pPr>
      <w:bookmarkStart w:id="9" w:name="_Toc512441296"/>
      <w:r>
        <w:t>Justificación del Proyecto</w:t>
      </w:r>
      <w:bookmarkEnd w:id="9"/>
    </w:p>
    <w:p w:rsidR="009B4055" w:rsidRPr="0054730A" w:rsidRDefault="009B4055" w:rsidP="000C7C78">
      <w:r>
        <w:t>Es i</w:t>
      </w:r>
      <w:r w:rsidR="00C3570C">
        <w:t>mportante establecer unas m</w:t>
      </w:r>
      <w:r w:rsidR="008C04B8">
        <w:t>edidas preventivas en el caso d</w:t>
      </w:r>
      <w:r w:rsidR="009F3E84">
        <w:t>e los</w:t>
      </w:r>
      <w:r w:rsidR="008C04B8">
        <w:t xml:space="preserve"> </w:t>
      </w:r>
      <w:r w:rsidR="00C3570C">
        <w:t>aneurisma</w:t>
      </w:r>
      <w:r w:rsidR="009F3E84">
        <w:t>s</w:t>
      </w:r>
      <w:r w:rsidR="00C3570C">
        <w:t xml:space="preserve"> incidental</w:t>
      </w:r>
      <w:r w:rsidR="009F3E84">
        <w:t>es</w:t>
      </w:r>
      <w:r w:rsidR="000C7C78">
        <w:t xml:space="preserve"> </w:t>
      </w:r>
      <w:r w:rsidR="00C3570C">
        <w:t xml:space="preserve">que nos permitan </w:t>
      </w:r>
      <w:r>
        <w:t xml:space="preserve">evitar su ruptura y </w:t>
      </w:r>
      <w:r w:rsidR="009F3E84">
        <w:t>la HSA</w:t>
      </w:r>
      <w:r w:rsidR="00E029A9">
        <w:t xml:space="preserve">. </w:t>
      </w:r>
      <w:r>
        <w:t xml:space="preserve">Aún no está claro qué actitud o tratamiento debe tomarse ante el descubrimiento de aneurismas incidentales. Actualmente se actúa caso a caso, evaluando los riesgos de la intervención y de ruptura aneurismática, explicándoselos al paciente y teniendo en cuenta sus preferencias para tomar una decisión conjunta. Conocer las complicaciones de los aneurismas incidentales tratados mediante técnica endovascular </w:t>
      </w:r>
      <w:r w:rsidR="000C7C78">
        <w:t>ayudará a tomar una decisión respecto a la actitud con la que debemos afrontar esta patología.</w:t>
      </w:r>
    </w:p>
    <w:p w:rsidR="007C53E5" w:rsidRDefault="007C53E5" w:rsidP="007C53E5">
      <w:pPr>
        <w:pStyle w:val="Ttulo1"/>
      </w:pPr>
      <w:bookmarkStart w:id="10" w:name="_Toc512441297"/>
      <w:r>
        <w:t>Objetivos</w:t>
      </w:r>
      <w:bookmarkEnd w:id="10"/>
    </w:p>
    <w:p w:rsidR="009F3E84" w:rsidRDefault="00B33078" w:rsidP="00E3729E">
      <w:pPr>
        <w:pStyle w:val="Prrafodelista"/>
        <w:numPr>
          <w:ilvl w:val="0"/>
          <w:numId w:val="3"/>
        </w:numPr>
      </w:pPr>
      <w:r>
        <w:t>Analizar las características epidemiológicas, clínicas y radiológicas de los aneurismas incidentales sometidos a tratamiento endovascular</w:t>
      </w:r>
      <w:r w:rsidR="001A776F">
        <w:t>.</w:t>
      </w:r>
    </w:p>
    <w:p w:rsidR="009F3E84" w:rsidRDefault="00B33078" w:rsidP="00E3729E">
      <w:pPr>
        <w:pStyle w:val="Prrafodelista"/>
        <w:numPr>
          <w:ilvl w:val="0"/>
          <w:numId w:val="3"/>
        </w:numPr>
      </w:pPr>
      <w:r>
        <w:t>Analizar las complicaciones de</w:t>
      </w:r>
      <w:r w:rsidR="001A776F">
        <w:t xml:space="preserve">l tratamiento endovascular de </w:t>
      </w:r>
      <w:r>
        <w:t>30 casos de aneurismas incidentales</w:t>
      </w:r>
      <w:r w:rsidR="001A776F">
        <w:t>.</w:t>
      </w:r>
    </w:p>
    <w:p w:rsidR="00B33078" w:rsidRPr="00844702" w:rsidRDefault="001A776F" w:rsidP="00E3729E">
      <w:pPr>
        <w:pStyle w:val="Prrafodelista"/>
        <w:numPr>
          <w:ilvl w:val="0"/>
          <w:numId w:val="3"/>
        </w:numPr>
        <w:shd w:val="clear" w:color="auto" w:fill="FFFFFF"/>
        <w:spacing w:after="0" w:line="240" w:lineRule="auto"/>
        <w:jc w:val="left"/>
        <w:rPr>
          <w:rFonts w:ascii="Calibri" w:eastAsia="Times New Roman" w:hAnsi="Calibri" w:cs="Calibri"/>
          <w:color w:val="000000"/>
          <w:sz w:val="24"/>
          <w:szCs w:val="24"/>
          <w:lang w:eastAsia="es-ES"/>
        </w:rPr>
      </w:pPr>
      <w:r>
        <w:t>Analizar la seguridad del proceso endovascular frente al manejo conservador en aneurismas incidentales.</w:t>
      </w:r>
    </w:p>
    <w:p w:rsidR="007C53E5" w:rsidRDefault="007C53E5" w:rsidP="007C53E5">
      <w:pPr>
        <w:pStyle w:val="Ttulo1"/>
      </w:pPr>
      <w:bookmarkStart w:id="11" w:name="_Toc512441298"/>
      <w:r>
        <w:lastRenderedPageBreak/>
        <w:t>Material y métodos</w:t>
      </w:r>
      <w:bookmarkEnd w:id="11"/>
    </w:p>
    <w:p w:rsidR="003E1DC9" w:rsidRPr="00284A8E" w:rsidRDefault="003E1DC9" w:rsidP="003E1DC9">
      <w:r w:rsidRPr="00284A8E">
        <w:t>El presente estudio se llevó a cabo en Hospital Universita</w:t>
      </w:r>
      <w:r w:rsidR="000C7C78">
        <w:t xml:space="preserve">rio Central de Asturias (HUCA) mediante la revisión de historias clínicas de pacientes no identificables. </w:t>
      </w:r>
      <w:r w:rsidR="00F632EC">
        <w:t>Los datos se obtuvieron mediante el</w:t>
      </w:r>
      <w:r w:rsidR="00F632EC" w:rsidRPr="00284A8E">
        <w:t xml:space="preserve"> programa informático </w:t>
      </w:r>
      <w:r w:rsidR="00F632EC" w:rsidRPr="00C401B2">
        <w:rPr>
          <w:i/>
        </w:rPr>
        <w:t xml:space="preserve">Cerner </w:t>
      </w:r>
      <w:r w:rsidR="00F632EC">
        <w:rPr>
          <w:i/>
        </w:rPr>
        <w:t>Millennium.</w:t>
      </w:r>
    </w:p>
    <w:p w:rsidR="00F632EC" w:rsidRDefault="003E1DC9" w:rsidP="00F632EC">
      <w:r>
        <w:t>S</w:t>
      </w:r>
      <w:r w:rsidRPr="00284A8E">
        <w:t xml:space="preserve">e </w:t>
      </w:r>
      <w:r>
        <w:t>realizó</w:t>
      </w:r>
      <w:r w:rsidRPr="00284A8E">
        <w:t xml:space="preserve"> un </w:t>
      </w:r>
      <w:r>
        <w:t xml:space="preserve">estudio </w:t>
      </w:r>
      <w:r w:rsidR="00F632EC">
        <w:t xml:space="preserve">de tipo </w:t>
      </w:r>
      <w:r>
        <w:t>retrospectivo</w:t>
      </w:r>
      <w:r w:rsidRPr="00284A8E">
        <w:t xml:space="preserve"> de 30 pacientes</w:t>
      </w:r>
      <w:r>
        <w:t xml:space="preserve"> para los </w:t>
      </w:r>
      <w:r w:rsidR="00F632EC">
        <w:t xml:space="preserve">cuales </w:t>
      </w:r>
      <w:r>
        <w:t>se decidió tratamiento endovascular</w:t>
      </w:r>
      <w:r w:rsidR="00F632EC">
        <w:t>, diagnosticados</w:t>
      </w:r>
      <w:r>
        <w:t xml:space="preserve"> entre el </w:t>
      </w:r>
      <w:r w:rsidRPr="000C7C78">
        <w:rPr>
          <w:color w:val="FF0000"/>
        </w:rPr>
        <w:t>1 de Enero de 2016 y 31 de Diciembre de 2017</w:t>
      </w:r>
      <w:r w:rsidR="000C7C78" w:rsidRPr="000C7C78">
        <w:rPr>
          <w:color w:val="FF0000"/>
        </w:rPr>
        <w:t xml:space="preserve"> </w:t>
      </w:r>
      <w:r w:rsidR="000C7C78" w:rsidRPr="000C7C78">
        <w:rPr>
          <w:color w:val="FF0000"/>
          <w:u w:val="single"/>
        </w:rPr>
        <w:t>COMPROBAR CON PEDRO</w:t>
      </w:r>
      <w:r w:rsidR="00F632EC">
        <w:t>.</w:t>
      </w:r>
    </w:p>
    <w:p w:rsidR="00F632EC" w:rsidRDefault="00F632EC" w:rsidP="00F632EC">
      <w:pPr>
        <w:pStyle w:val="Ttulo2"/>
      </w:pPr>
      <w:bookmarkStart w:id="12" w:name="_Toc512441299"/>
      <w:r>
        <w:t>Criterios de inclusión</w:t>
      </w:r>
      <w:bookmarkEnd w:id="12"/>
    </w:p>
    <w:p w:rsidR="00F632EC" w:rsidRDefault="00F632EC" w:rsidP="00F632EC">
      <w:pPr>
        <w:pStyle w:val="Prrafodelista"/>
        <w:numPr>
          <w:ilvl w:val="0"/>
          <w:numId w:val="2"/>
        </w:numPr>
      </w:pPr>
      <w:r>
        <w:t>Pacientes mayores de 18 años.</w:t>
      </w:r>
    </w:p>
    <w:p w:rsidR="00F632EC" w:rsidRDefault="00F632EC" w:rsidP="00F632EC">
      <w:pPr>
        <w:pStyle w:val="Prrafodelista"/>
        <w:numPr>
          <w:ilvl w:val="0"/>
          <w:numId w:val="2"/>
        </w:numPr>
      </w:pPr>
      <w:r>
        <w:t>Pacientes con aneurismas incidentales intracraneales no rotos.</w:t>
      </w:r>
    </w:p>
    <w:p w:rsidR="00F632EC" w:rsidRDefault="00F632EC" w:rsidP="00F632EC">
      <w:pPr>
        <w:pStyle w:val="Prrafodelista"/>
        <w:numPr>
          <w:ilvl w:val="0"/>
          <w:numId w:val="2"/>
        </w:numPr>
      </w:pPr>
      <w:r>
        <w:t>Pacientes tratados mediante TEV.</w:t>
      </w:r>
    </w:p>
    <w:p w:rsidR="00255E6E" w:rsidRDefault="00F632EC" w:rsidP="00F632EC">
      <w:pPr>
        <w:pStyle w:val="Ttulo2"/>
      </w:pPr>
      <w:bookmarkStart w:id="13" w:name="_Toc512441300"/>
      <w:r>
        <w:t>Datos recogidos</w:t>
      </w:r>
      <w:bookmarkEnd w:id="13"/>
    </w:p>
    <w:p w:rsidR="00255E6E" w:rsidRDefault="00255E6E" w:rsidP="00E3729E">
      <w:pPr>
        <w:pStyle w:val="Prrafodelista"/>
        <w:numPr>
          <w:ilvl w:val="0"/>
          <w:numId w:val="2"/>
        </w:numPr>
      </w:pPr>
      <w:r>
        <w:t>Edad al diagnóstico.</w:t>
      </w:r>
    </w:p>
    <w:p w:rsidR="00255E6E" w:rsidRDefault="00255E6E" w:rsidP="00E3729E">
      <w:pPr>
        <w:pStyle w:val="Prrafodelista"/>
        <w:numPr>
          <w:ilvl w:val="0"/>
          <w:numId w:val="2"/>
        </w:numPr>
      </w:pPr>
      <w:r>
        <w:t>Sexo.</w:t>
      </w:r>
    </w:p>
    <w:p w:rsidR="00255E6E" w:rsidRDefault="00255E6E" w:rsidP="00E3729E">
      <w:pPr>
        <w:pStyle w:val="Prrafodelista"/>
        <w:numPr>
          <w:ilvl w:val="0"/>
          <w:numId w:val="2"/>
        </w:numPr>
      </w:pPr>
      <w:r>
        <w:t>Tamaño del aneurisma.</w:t>
      </w:r>
    </w:p>
    <w:p w:rsidR="00255E6E" w:rsidRDefault="00255E6E" w:rsidP="00E3729E">
      <w:pPr>
        <w:pStyle w:val="Prrafodelista"/>
        <w:numPr>
          <w:ilvl w:val="0"/>
          <w:numId w:val="2"/>
        </w:numPr>
      </w:pPr>
      <w:r>
        <w:t>Morfología del aneurisma.</w:t>
      </w:r>
    </w:p>
    <w:p w:rsidR="00255E6E" w:rsidRDefault="00255E6E" w:rsidP="00E3729E">
      <w:pPr>
        <w:pStyle w:val="Prrafodelista"/>
        <w:numPr>
          <w:ilvl w:val="0"/>
          <w:numId w:val="2"/>
        </w:numPr>
      </w:pPr>
      <w:r>
        <w:t>Localización del aneurisma.</w:t>
      </w:r>
    </w:p>
    <w:p w:rsidR="00255E6E" w:rsidRDefault="00255E6E" w:rsidP="00E3729E">
      <w:pPr>
        <w:pStyle w:val="Prrafodelista"/>
        <w:numPr>
          <w:ilvl w:val="0"/>
          <w:numId w:val="2"/>
        </w:numPr>
      </w:pPr>
      <w:r>
        <w:t>Crecimiento del aneurisma.</w:t>
      </w:r>
    </w:p>
    <w:p w:rsidR="00255E6E" w:rsidRDefault="00255E6E" w:rsidP="00E3729E">
      <w:pPr>
        <w:pStyle w:val="Prrafodelista"/>
        <w:numPr>
          <w:ilvl w:val="0"/>
          <w:numId w:val="2"/>
        </w:numPr>
      </w:pPr>
      <w:r>
        <w:t>Historia de HSA.</w:t>
      </w:r>
    </w:p>
    <w:p w:rsidR="00B82C68" w:rsidRDefault="00255E6E" w:rsidP="00E3729E">
      <w:pPr>
        <w:pStyle w:val="Prrafodelista"/>
        <w:numPr>
          <w:ilvl w:val="0"/>
          <w:numId w:val="2"/>
        </w:numPr>
      </w:pPr>
      <w:r>
        <w:t>Comorbilidades</w:t>
      </w:r>
      <w:r w:rsidR="00B82C68">
        <w:t>.</w:t>
      </w:r>
    </w:p>
    <w:p w:rsidR="00255E6E" w:rsidRDefault="00255E6E" w:rsidP="00E3729E">
      <w:pPr>
        <w:pStyle w:val="Prrafodelista"/>
        <w:numPr>
          <w:ilvl w:val="0"/>
          <w:numId w:val="2"/>
        </w:numPr>
      </w:pPr>
      <w:r>
        <w:t>Consumo de tabaco</w:t>
      </w:r>
      <w:r w:rsidR="00844702">
        <w:t>.</w:t>
      </w:r>
    </w:p>
    <w:p w:rsidR="00255E6E" w:rsidRDefault="00255E6E" w:rsidP="00E3729E">
      <w:pPr>
        <w:pStyle w:val="Prrafodelista"/>
        <w:numPr>
          <w:ilvl w:val="0"/>
          <w:numId w:val="2"/>
        </w:numPr>
      </w:pPr>
      <w:r>
        <w:t>Consumo de alcohol</w:t>
      </w:r>
      <w:r w:rsidR="00844702">
        <w:t>.</w:t>
      </w:r>
    </w:p>
    <w:p w:rsidR="00255E6E" w:rsidRDefault="000C7C78" w:rsidP="00E3729E">
      <w:pPr>
        <w:pStyle w:val="Prrafodelista"/>
        <w:numPr>
          <w:ilvl w:val="0"/>
          <w:numId w:val="2"/>
        </w:numPr>
      </w:pPr>
      <w:r>
        <w:t>Motivo o causa que condujo</w:t>
      </w:r>
      <w:r w:rsidR="00255E6E">
        <w:t xml:space="preserve"> </w:t>
      </w:r>
      <w:r>
        <w:t>a</w:t>
      </w:r>
      <w:r w:rsidR="00255E6E">
        <w:t>l diagnóstico</w:t>
      </w:r>
      <w:r w:rsidR="00844702">
        <w:t>.</w:t>
      </w:r>
    </w:p>
    <w:p w:rsidR="00255E6E" w:rsidRDefault="001C0498" w:rsidP="00E3729E">
      <w:pPr>
        <w:pStyle w:val="Prrafodelista"/>
        <w:numPr>
          <w:ilvl w:val="0"/>
          <w:numId w:val="2"/>
        </w:numPr>
      </w:pPr>
      <w:r>
        <w:t>Número de aneurismas.</w:t>
      </w:r>
    </w:p>
    <w:p w:rsidR="001C0498" w:rsidRDefault="009A3F9E" w:rsidP="00E3729E">
      <w:pPr>
        <w:pStyle w:val="Prrafodelista"/>
        <w:numPr>
          <w:ilvl w:val="0"/>
          <w:numId w:val="2"/>
        </w:numPr>
      </w:pPr>
      <w:r>
        <w:t>Material utilizado en la t</w:t>
      </w:r>
      <w:r w:rsidR="00C46346">
        <w:t>écnica endovascular</w:t>
      </w:r>
      <w:r w:rsidR="00C0490A">
        <w:t xml:space="preserve">: coils vs </w:t>
      </w:r>
      <w:proofErr w:type="spellStart"/>
      <w:r w:rsidR="00C0490A">
        <w:t>remodeling</w:t>
      </w:r>
      <w:proofErr w:type="spellEnd"/>
      <w:r w:rsidR="00C0490A">
        <w:t xml:space="preserve"> con balón</w:t>
      </w:r>
      <w:r w:rsidR="00C0490A">
        <w:rPr>
          <w:rStyle w:val="Refdenotaalpie"/>
        </w:rPr>
        <w:footnoteReference w:id="5"/>
      </w:r>
      <w:r w:rsidR="00C0490A">
        <w:t>.</w:t>
      </w:r>
    </w:p>
    <w:p w:rsidR="001C0498" w:rsidRDefault="001C0498" w:rsidP="00E3729E">
      <w:pPr>
        <w:pStyle w:val="Prrafodelista"/>
        <w:numPr>
          <w:ilvl w:val="0"/>
          <w:numId w:val="2"/>
        </w:numPr>
      </w:pPr>
      <w:r>
        <w:t>Porcentaje de oclusión conseguido.</w:t>
      </w:r>
    </w:p>
    <w:p w:rsidR="001C0498" w:rsidRDefault="001C0498" w:rsidP="00E3729E">
      <w:pPr>
        <w:pStyle w:val="Prrafodelista"/>
        <w:numPr>
          <w:ilvl w:val="0"/>
          <w:numId w:val="2"/>
        </w:numPr>
      </w:pPr>
      <w:r>
        <w:t>Nº de intervenciones realizadas.</w:t>
      </w:r>
    </w:p>
    <w:p w:rsidR="009041DD" w:rsidRDefault="009041DD" w:rsidP="00E3729E">
      <w:pPr>
        <w:pStyle w:val="Prrafodelista"/>
        <w:numPr>
          <w:ilvl w:val="0"/>
          <w:numId w:val="2"/>
        </w:numPr>
      </w:pPr>
      <w:r>
        <w:t>Fracaso del tratamiento.</w:t>
      </w:r>
    </w:p>
    <w:p w:rsidR="001C0498" w:rsidRPr="00B82C68" w:rsidRDefault="001C0498" w:rsidP="00E3729E">
      <w:pPr>
        <w:pStyle w:val="Prrafodelista"/>
        <w:numPr>
          <w:ilvl w:val="0"/>
          <w:numId w:val="2"/>
        </w:numPr>
      </w:pPr>
      <w:r w:rsidRPr="00B82C68">
        <w:t>Medicación post-intervención: anticoagulación y/o antiagregación.</w:t>
      </w:r>
    </w:p>
    <w:p w:rsidR="001C0498" w:rsidRDefault="001C0498" w:rsidP="00E3729E">
      <w:pPr>
        <w:pStyle w:val="Prrafodelista"/>
        <w:numPr>
          <w:ilvl w:val="0"/>
          <w:numId w:val="2"/>
        </w:numPr>
      </w:pPr>
      <w:r>
        <w:t>Complicaciones</w:t>
      </w:r>
      <w:r w:rsidR="00844702">
        <w:t>.</w:t>
      </w:r>
    </w:p>
    <w:p w:rsidR="009041DD" w:rsidRDefault="009041DD" w:rsidP="009041DD">
      <w:pPr>
        <w:pStyle w:val="Ttulo2"/>
      </w:pPr>
      <w:bookmarkStart w:id="14" w:name="_Toc512441301"/>
      <w:r>
        <w:t>Análisis estadístico</w:t>
      </w:r>
      <w:bookmarkEnd w:id="14"/>
    </w:p>
    <w:p w:rsidR="009041DD" w:rsidRDefault="009041DD" w:rsidP="009041DD">
      <w:pPr>
        <w:rPr>
          <w:i/>
        </w:rPr>
      </w:pPr>
      <w:r>
        <w:t>Los c</w:t>
      </w:r>
      <w:r>
        <w:rPr>
          <w:rFonts w:hint="eastAsia"/>
        </w:rPr>
        <w:t>á</w:t>
      </w:r>
      <w:r>
        <w:t>lculos estad</w:t>
      </w:r>
      <w:r>
        <w:rPr>
          <w:rFonts w:hint="eastAsia"/>
        </w:rPr>
        <w:t>í</w:t>
      </w:r>
      <w:r>
        <w:t xml:space="preserve">sticos fueron llevados a cabo mediante el programa informático </w:t>
      </w:r>
      <w:r w:rsidRPr="009041DD">
        <w:rPr>
          <w:i/>
        </w:rPr>
        <w:t>IBM-SPSS 23.0.</w:t>
      </w:r>
    </w:p>
    <w:p w:rsidR="00F657AA" w:rsidRDefault="00F657AA" w:rsidP="00F657AA">
      <w:pPr>
        <w:pStyle w:val="Ttulo3"/>
      </w:pPr>
      <w:bookmarkStart w:id="15" w:name="_Toc512441302"/>
      <w:r>
        <w:lastRenderedPageBreak/>
        <w:t>Descriptivo</w:t>
      </w:r>
      <w:bookmarkEnd w:id="15"/>
    </w:p>
    <w:p w:rsidR="00F657AA" w:rsidRDefault="00F657AA" w:rsidP="00F657AA">
      <w:pPr>
        <w:pStyle w:val="Prrafodelista"/>
        <w:numPr>
          <w:ilvl w:val="0"/>
          <w:numId w:val="6"/>
        </w:numPr>
      </w:pPr>
      <w:r>
        <w:t>Variables cuantitativas: tamaño de la muestra, media y valores mínimo y máximo.</w:t>
      </w:r>
    </w:p>
    <w:p w:rsidR="00F657AA" w:rsidRDefault="00F657AA" w:rsidP="00F657AA">
      <w:pPr>
        <w:pStyle w:val="Prrafodelista"/>
        <w:numPr>
          <w:ilvl w:val="0"/>
          <w:numId w:val="6"/>
        </w:numPr>
      </w:pPr>
      <w:r>
        <w:t>V</w:t>
      </w:r>
      <w:r w:rsidRPr="00F657AA">
        <w:t>ariables cuantitativas</w:t>
      </w:r>
      <w:r>
        <w:t>: distribución mediante tablas de frecuencias.</w:t>
      </w:r>
    </w:p>
    <w:p w:rsidR="00F657AA" w:rsidRDefault="00F657AA" w:rsidP="00F657AA">
      <w:pPr>
        <w:pStyle w:val="Ttulo3"/>
        <w:rPr>
          <w:rFonts w:eastAsia="ArialMT"/>
        </w:rPr>
      </w:pPr>
      <w:bookmarkStart w:id="16" w:name="_Toc512441303"/>
      <w:r>
        <w:rPr>
          <w:rFonts w:eastAsia="ArialMT"/>
        </w:rPr>
        <w:t>Analítico</w:t>
      </w:r>
      <w:bookmarkEnd w:id="16"/>
    </w:p>
    <w:p w:rsidR="00F657AA" w:rsidRPr="00F657AA" w:rsidRDefault="00F657AA" w:rsidP="006265DD">
      <w:r>
        <w:t>Para comparar la distribución de las variables se utilizó la prueba de Chi-Cuadrado de Pearson.</w:t>
      </w:r>
      <w:r w:rsidR="00E5355B">
        <w:t xml:space="preserve"> En el caso de que la frecuencia esperada en alguna de las casillas de la tabla de contingencia tuviese un valor inferior a 5, se aplicó el Test Exacto de Fisher. Se tomó como significativo un valor de P inferior a 0.05 </w:t>
      </w:r>
      <w:r w:rsidR="006265DD">
        <w:t xml:space="preserve">y como medida de asociación entre variables se utilizó la </w:t>
      </w:r>
      <w:proofErr w:type="spellStart"/>
      <w:r w:rsidR="006265DD">
        <w:t>Odds</w:t>
      </w:r>
      <w:proofErr w:type="spellEnd"/>
      <w:r w:rsidR="006265DD">
        <w:t xml:space="preserve"> Ratio.</w:t>
      </w:r>
    </w:p>
    <w:p w:rsidR="0054730A" w:rsidRDefault="0054730A" w:rsidP="0054730A">
      <w:pPr>
        <w:pStyle w:val="Ttulo1"/>
      </w:pPr>
      <w:bookmarkStart w:id="17" w:name="_Toc512441304"/>
      <w:r>
        <w:t>Resultados</w:t>
      </w:r>
      <w:bookmarkEnd w:id="17"/>
    </w:p>
    <w:p w:rsidR="00255E6E" w:rsidRDefault="00C609B5" w:rsidP="00B52E59">
      <w:pPr>
        <w:pStyle w:val="Ttulo2"/>
      </w:pPr>
      <w:bookmarkStart w:id="18" w:name="_Toc512441305"/>
      <w:r>
        <w:t>Descripción</w:t>
      </w:r>
      <w:r w:rsidR="002B219D">
        <w:t xml:space="preserve"> de la muestra</w:t>
      </w:r>
      <w:bookmarkEnd w:id="18"/>
    </w:p>
    <w:p w:rsidR="00801DF3" w:rsidRDefault="005C388F" w:rsidP="00AA12F8">
      <w:r>
        <w:rPr>
          <w:noProof/>
          <w:lang w:eastAsia="es-ES"/>
        </w:rPr>
        <w:drawing>
          <wp:anchor distT="0" distB="0" distL="114300" distR="114300" simplePos="0" relativeHeight="251670528" behindDoc="0" locked="0" layoutInCell="1" allowOverlap="1" wp14:anchorId="47078981" wp14:editId="0732ED1D">
            <wp:simplePos x="0" y="0"/>
            <wp:positionH relativeFrom="column">
              <wp:posOffset>2665095</wp:posOffset>
            </wp:positionH>
            <wp:positionV relativeFrom="paragraph">
              <wp:posOffset>1175385</wp:posOffset>
            </wp:positionV>
            <wp:extent cx="2628900" cy="1533525"/>
            <wp:effectExtent l="0" t="0" r="0" b="0"/>
            <wp:wrapSquare wrapText="bothSides"/>
            <wp:docPr id="3" name="Gráfico 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69504" behindDoc="0" locked="0" layoutInCell="1" allowOverlap="1" wp14:anchorId="47BF1D71" wp14:editId="09D962D4">
            <wp:simplePos x="0" y="0"/>
            <wp:positionH relativeFrom="column">
              <wp:posOffset>41910</wp:posOffset>
            </wp:positionH>
            <wp:positionV relativeFrom="paragraph">
              <wp:posOffset>1175385</wp:posOffset>
            </wp:positionV>
            <wp:extent cx="2622550" cy="1533525"/>
            <wp:effectExtent l="0" t="0" r="6350" b="0"/>
            <wp:wrapSquare wrapText="bothSides"/>
            <wp:docPr id="2" name="Gráfico 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page">
              <wp14:pctWidth>0</wp14:pctWidth>
            </wp14:sizeRelH>
            <wp14:sizeRelV relativeFrom="page">
              <wp14:pctHeight>0</wp14:pctHeight>
            </wp14:sizeRelV>
          </wp:anchor>
        </w:drawing>
      </w:r>
      <w:r w:rsidR="007B51B8">
        <w:t>De los 30 casos</w:t>
      </w:r>
      <w:r w:rsidR="002B219D">
        <w:t xml:space="preserve">, 21 </w:t>
      </w:r>
      <w:r w:rsidR="001A776F">
        <w:t>fuero</w:t>
      </w:r>
      <w:r w:rsidR="002B219D">
        <w:t>n mujeres (70%) y 9 hombres (30%). La edad media al diagnóstico fue de 60.13 años</w:t>
      </w:r>
      <w:r w:rsidR="005E042D">
        <w:t xml:space="preserve"> (43-81 años)</w:t>
      </w:r>
      <w:r w:rsidR="00B975BB">
        <w:t xml:space="preserve">. </w:t>
      </w:r>
      <w:r w:rsidR="006422B8">
        <w:t>Para el estudio de la edad se</w:t>
      </w:r>
      <w:r w:rsidR="007B51B8">
        <w:t xml:space="preserve"> t</w:t>
      </w:r>
      <w:r w:rsidR="006422B8">
        <w:t xml:space="preserve">omó como punto de corte </w:t>
      </w:r>
      <w:r w:rsidR="007B51B8">
        <w:t xml:space="preserve">60 años, de </w:t>
      </w:r>
      <w:r>
        <w:t>modo que respecto a la variable edad</w:t>
      </w:r>
      <w:r w:rsidR="007B51B8">
        <w:t xml:space="preserve"> la muest</w:t>
      </w:r>
      <w:r w:rsidR="001A776F">
        <w:t>ra queda dividida en dos grupos: e</w:t>
      </w:r>
      <w:r w:rsidR="001E04F5">
        <w:t>l 43.3% de la muestra tenía más de 60 años al diagnóstico, mientras qu</w:t>
      </w:r>
      <w:r w:rsidR="005306B5">
        <w:t xml:space="preserve">e el 56.7% </w:t>
      </w:r>
      <w:r w:rsidR="001E04F5">
        <w:t xml:space="preserve">restante tenía 60 o menos. </w:t>
      </w:r>
    </w:p>
    <w:p w:rsidR="00B026A8" w:rsidRDefault="00E507AF" w:rsidP="00AA12F8">
      <w:r>
        <w:rPr>
          <w:noProof/>
          <w:lang w:eastAsia="es-ES"/>
        </w:rPr>
        <w:pict>
          <v:rect id="_x0000_s1034" style="position:absolute;left:0;text-align:left;margin-left:217.4pt;margin-top:132.3pt;width:198.4pt;height:112.5pt;z-index:251672576" filled="f" fillcolor="#726056 [3205]" stroked="f" strokecolor="#ac956e [3206]" strokeweight="3pt">
            <v:stroke dashstyle="1 1" linestyle="thinThin" endcap="round"/>
            <v:shadow type="perspective" color="#382f2a [1605]" opacity=".5" offset="1pt" offset2="-1pt"/>
            <v:textbox style="mso-next-textbox:#_x0000_s1034">
              <w:txbxContent>
                <w:p w:rsidR="00E507AF" w:rsidRPr="005C388F" w:rsidRDefault="00E507AF" w:rsidP="005C388F">
                  <w:pPr>
                    <w:pStyle w:val="Epgrafe"/>
                    <w:rPr>
                      <w:szCs w:val="22"/>
                    </w:rPr>
                  </w:pPr>
                  <w:bookmarkStart w:id="19" w:name="_Toc512441272"/>
                  <w:r w:rsidRPr="005C388F">
                    <w:rPr>
                      <w:szCs w:val="22"/>
                    </w:rPr>
                    <w:t xml:space="preserve">Figura </w:t>
                  </w:r>
                  <w:r w:rsidRPr="005C388F">
                    <w:rPr>
                      <w:szCs w:val="22"/>
                    </w:rPr>
                    <w:fldChar w:fldCharType="begin"/>
                  </w:r>
                  <w:r w:rsidRPr="005C388F">
                    <w:rPr>
                      <w:szCs w:val="22"/>
                    </w:rPr>
                    <w:instrText xml:space="preserve"> SEQ Figura \* ARABIC </w:instrText>
                  </w:r>
                  <w:r w:rsidRPr="005C388F">
                    <w:rPr>
                      <w:szCs w:val="22"/>
                    </w:rPr>
                    <w:fldChar w:fldCharType="separate"/>
                  </w:r>
                  <w:r w:rsidRPr="005C388F">
                    <w:rPr>
                      <w:szCs w:val="22"/>
                    </w:rPr>
                    <w:t>1</w:t>
                  </w:r>
                  <w:r w:rsidRPr="005C388F">
                    <w:rPr>
                      <w:szCs w:val="22"/>
                    </w:rPr>
                    <w:fldChar w:fldCharType="end"/>
                  </w:r>
                  <w:r w:rsidRPr="005C388F">
                    <w:rPr>
                      <w:szCs w:val="22"/>
                    </w:rPr>
                    <w:t>. Proporción de hombres y mujeres en la muestra.</w:t>
                  </w:r>
                  <w:bookmarkEnd w:id="19"/>
                </w:p>
                <w:p w:rsidR="00E507AF" w:rsidRPr="005C388F" w:rsidRDefault="00E507AF" w:rsidP="005C388F">
                  <w:pPr>
                    <w:pStyle w:val="Epgrafe"/>
                    <w:spacing w:before="240"/>
                    <w:rPr>
                      <w:szCs w:val="22"/>
                    </w:rPr>
                  </w:pPr>
                  <w:bookmarkStart w:id="20" w:name="_Toc512441273"/>
                  <w:r w:rsidRPr="005C388F">
                    <w:rPr>
                      <w:szCs w:val="22"/>
                    </w:rPr>
                    <w:t xml:space="preserve">Figura </w:t>
                  </w:r>
                  <w:r w:rsidRPr="005C388F">
                    <w:rPr>
                      <w:szCs w:val="22"/>
                    </w:rPr>
                    <w:fldChar w:fldCharType="begin"/>
                  </w:r>
                  <w:r w:rsidRPr="005C388F">
                    <w:rPr>
                      <w:szCs w:val="22"/>
                    </w:rPr>
                    <w:instrText xml:space="preserve"> SEQ Figura \* ARABIC </w:instrText>
                  </w:r>
                  <w:r w:rsidRPr="005C388F">
                    <w:rPr>
                      <w:szCs w:val="22"/>
                    </w:rPr>
                    <w:fldChar w:fldCharType="separate"/>
                  </w:r>
                  <w:r w:rsidRPr="005C388F">
                    <w:rPr>
                      <w:noProof/>
                      <w:szCs w:val="22"/>
                    </w:rPr>
                    <w:t>2</w:t>
                  </w:r>
                  <w:r w:rsidRPr="005C388F">
                    <w:rPr>
                      <w:noProof/>
                      <w:szCs w:val="22"/>
                    </w:rPr>
                    <w:fldChar w:fldCharType="end"/>
                  </w:r>
                  <w:r w:rsidRPr="005C388F">
                    <w:rPr>
                      <w:szCs w:val="22"/>
                    </w:rPr>
                    <w:t>. Proporción de pacientes mayores y menores de 60 años.</w:t>
                  </w:r>
                  <w:bookmarkEnd w:id="20"/>
                </w:p>
                <w:p w:rsidR="00E507AF" w:rsidRPr="005C388F" w:rsidRDefault="00E507AF" w:rsidP="005C388F">
                  <w:pPr>
                    <w:pStyle w:val="Epgrafe"/>
                    <w:spacing w:before="240"/>
                    <w:rPr>
                      <w:szCs w:val="22"/>
                    </w:rPr>
                  </w:pPr>
                  <w:bookmarkStart w:id="21" w:name="_Toc512441274"/>
                  <w:r w:rsidRPr="005C388F">
                    <w:rPr>
                      <w:szCs w:val="22"/>
                    </w:rPr>
                    <w:t xml:space="preserve">Figura </w:t>
                  </w:r>
                  <w:r w:rsidRPr="005C388F">
                    <w:rPr>
                      <w:szCs w:val="22"/>
                    </w:rPr>
                    <w:fldChar w:fldCharType="begin"/>
                  </w:r>
                  <w:r w:rsidRPr="005C388F">
                    <w:rPr>
                      <w:szCs w:val="22"/>
                    </w:rPr>
                    <w:instrText xml:space="preserve"> SEQ Figura \* ARABIC </w:instrText>
                  </w:r>
                  <w:r w:rsidRPr="005C388F">
                    <w:rPr>
                      <w:szCs w:val="22"/>
                    </w:rPr>
                    <w:fldChar w:fldCharType="separate"/>
                  </w:r>
                  <w:r w:rsidRPr="005C388F">
                    <w:rPr>
                      <w:noProof/>
                      <w:szCs w:val="22"/>
                    </w:rPr>
                    <w:t>3</w:t>
                  </w:r>
                  <w:r w:rsidRPr="005C388F">
                    <w:rPr>
                      <w:noProof/>
                      <w:szCs w:val="22"/>
                    </w:rPr>
                    <w:fldChar w:fldCharType="end"/>
                  </w:r>
                  <w:r w:rsidRPr="005C388F">
                    <w:rPr>
                      <w:szCs w:val="22"/>
                    </w:rPr>
                    <w:t>. Proporción de pacientes que presentan algún tipo de comorbilidad.</w:t>
                  </w:r>
                  <w:bookmarkEnd w:id="21"/>
                </w:p>
                <w:p w:rsidR="00E507AF" w:rsidRPr="005C388F" w:rsidRDefault="00E507AF" w:rsidP="00801DF3">
                  <w:pPr>
                    <w:spacing w:after="0" w:line="240" w:lineRule="auto"/>
                    <w:rPr>
                      <w:i/>
                      <w:color w:val="FFFFFF" w:themeColor="background1"/>
                    </w:rPr>
                  </w:pPr>
                </w:p>
              </w:txbxContent>
            </v:textbox>
            <w10:wrap type="topAndBottom"/>
          </v:rect>
        </w:pict>
      </w:r>
      <w:r w:rsidR="005C388F">
        <w:rPr>
          <w:noProof/>
          <w:lang w:eastAsia="es-ES"/>
        </w:rPr>
        <w:drawing>
          <wp:anchor distT="0" distB="0" distL="114300" distR="114300" simplePos="0" relativeHeight="251671552" behindDoc="0" locked="0" layoutInCell="1" allowOverlap="1" wp14:anchorId="73B10C45" wp14:editId="6A30A82D">
            <wp:simplePos x="0" y="0"/>
            <wp:positionH relativeFrom="column">
              <wp:posOffset>41910</wp:posOffset>
            </wp:positionH>
            <wp:positionV relativeFrom="paragraph">
              <wp:posOffset>1604645</wp:posOffset>
            </wp:positionV>
            <wp:extent cx="2619375" cy="1533525"/>
            <wp:effectExtent l="0" t="0" r="0" b="0"/>
            <wp:wrapSquare wrapText="bothSides"/>
            <wp:docPr id="4" name="Gráfico 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14:sizeRelH relativeFrom="page">
              <wp14:pctWidth>0</wp14:pctWidth>
            </wp14:sizeRelH>
            <wp14:sizeRelV relativeFrom="page">
              <wp14:pctHeight>0</wp14:pctHeight>
            </wp14:sizeRelV>
          </wp:anchor>
        </w:drawing>
      </w:r>
    </w:p>
    <w:p w:rsidR="00F066FA" w:rsidRPr="001423BF" w:rsidRDefault="006422B8" w:rsidP="00977FEA">
      <w:pPr>
        <w:rPr>
          <w:b/>
          <w:i/>
          <w:color w:val="FFFFFF" w:themeColor="background1"/>
        </w:rPr>
      </w:pPr>
      <w:r>
        <w:t>En</w:t>
      </w:r>
      <w:r w:rsidR="005C388F">
        <w:t>tre los casos que componen la muestra e</w:t>
      </w:r>
      <w:r w:rsidR="00A230C9">
        <w:t>n</w:t>
      </w:r>
      <w:r>
        <w:t xml:space="preserve">contramos 3 </w:t>
      </w:r>
      <w:r w:rsidR="001E04F5">
        <w:t xml:space="preserve">pacientes </w:t>
      </w:r>
      <w:r>
        <w:t xml:space="preserve">que </w:t>
      </w:r>
      <w:r w:rsidR="001E04F5">
        <w:t xml:space="preserve">contaban con </w:t>
      </w:r>
      <w:r w:rsidR="005C388F">
        <w:t>algún episodio de</w:t>
      </w:r>
      <w:r w:rsidR="001E04F5">
        <w:t xml:space="preserve"> HSA</w:t>
      </w:r>
      <w:r w:rsidR="00D56B90">
        <w:t xml:space="preserve"> (10%) y </w:t>
      </w:r>
      <w:r w:rsidR="005C388F">
        <w:t>un 70% tenía</w:t>
      </w:r>
      <w:r w:rsidR="00D56B90">
        <w:t xml:space="preserve"> algún tipo de comorbilidad. </w:t>
      </w:r>
      <w:r w:rsidR="005C388F">
        <w:t>El 17.9% de los pacientes</w:t>
      </w:r>
      <w:r w:rsidR="00410063">
        <w:t xml:space="preserve"> consumió alcohol de manera regular y</w:t>
      </w:r>
      <w:r w:rsidR="005C388F">
        <w:t xml:space="preserve"> para</w:t>
      </w:r>
      <w:r w:rsidR="00410063">
        <w:t xml:space="preserve"> el 70% </w:t>
      </w:r>
      <w:r w:rsidR="005C388F">
        <w:t>se recogía en la historia hábito tabáquico</w:t>
      </w:r>
      <w:r w:rsidR="00410063">
        <w:t>.</w:t>
      </w:r>
      <w:r w:rsidR="00576522" w:rsidRPr="00576522">
        <w:t xml:space="preserve"> </w:t>
      </w:r>
      <w:r w:rsidR="005C388F">
        <w:t xml:space="preserve">El70% presentaba </w:t>
      </w:r>
      <w:r w:rsidR="00576522">
        <w:t>algún tipo de clínica neurol</w:t>
      </w:r>
      <w:r w:rsidR="00D266FC">
        <w:t>ógica, la cual les condujo a realizar las pruebas</w:t>
      </w:r>
      <w:r w:rsidR="001A776F">
        <w:t xml:space="preserve"> de </w:t>
      </w:r>
      <w:r w:rsidR="001A776F">
        <w:lastRenderedPageBreak/>
        <w:t>imagen</w:t>
      </w:r>
      <w:r w:rsidR="00D266FC">
        <w:t xml:space="preserve"> que descubri</w:t>
      </w:r>
      <w:r w:rsidR="00977FEA">
        <w:t>eron la presencia del aneurisma</w:t>
      </w:r>
      <w:r w:rsidR="005C388F">
        <w:t>. Las</w:t>
      </w:r>
      <w:r w:rsidR="00066356">
        <w:t xml:space="preserve"> </w:t>
      </w:r>
      <w:r w:rsidR="00B5074C">
        <w:t>circunstancias</w:t>
      </w:r>
      <w:r w:rsidR="00066356">
        <w:t xml:space="preserve"> que motivaro</w:t>
      </w:r>
      <w:r w:rsidR="00B5074C">
        <w:t>n el diagnóstico</w:t>
      </w:r>
      <w:r w:rsidR="005C388F">
        <w:t xml:space="preserve"> del aneurisma fueron:</w:t>
      </w:r>
    </w:p>
    <w:p w:rsidR="00F066FA" w:rsidRDefault="00F066FA" w:rsidP="00E3729E">
      <w:pPr>
        <w:pStyle w:val="Prrafodelista"/>
        <w:numPr>
          <w:ilvl w:val="0"/>
          <w:numId w:val="1"/>
        </w:numPr>
      </w:pPr>
      <w:r>
        <w:t>Vértigo</w:t>
      </w:r>
      <w:r w:rsidR="00977FEA">
        <w:t xml:space="preserve"> en 2 pacientes. Uno de ellos con antecedentes de </w:t>
      </w:r>
      <w:proofErr w:type="spellStart"/>
      <w:r w:rsidR="00977FEA">
        <w:t>colesteatoma</w:t>
      </w:r>
      <w:proofErr w:type="spellEnd"/>
      <w:r w:rsidR="00977FEA">
        <w:t xml:space="preserve">. </w:t>
      </w:r>
    </w:p>
    <w:p w:rsidR="00F066FA" w:rsidRDefault="00066356" w:rsidP="00E3729E">
      <w:pPr>
        <w:pStyle w:val="Prrafodelista"/>
        <w:numPr>
          <w:ilvl w:val="0"/>
          <w:numId w:val="1"/>
        </w:numPr>
      </w:pPr>
      <w:r>
        <w:t>Deterioro cognitivo</w:t>
      </w:r>
      <w:r w:rsidR="00977FEA">
        <w:t xml:space="preserve"> en relación a Alzheimer</w:t>
      </w:r>
      <w:r>
        <w:t xml:space="preserve"> en un paciente</w:t>
      </w:r>
      <w:r w:rsidR="00977FEA">
        <w:t>.</w:t>
      </w:r>
    </w:p>
    <w:p w:rsidR="00F066FA" w:rsidRDefault="00F066FA" w:rsidP="00E3729E">
      <w:pPr>
        <w:pStyle w:val="Prrafodelista"/>
        <w:numPr>
          <w:ilvl w:val="0"/>
          <w:numId w:val="1"/>
        </w:numPr>
      </w:pPr>
      <w:r>
        <w:t>Antecedentes familiares</w:t>
      </w:r>
      <w:r w:rsidR="00157CEE">
        <w:t xml:space="preserve"> en 2 </w:t>
      </w:r>
      <w:r w:rsidR="00A230C9">
        <w:t xml:space="preserve"> de los 30 </w:t>
      </w:r>
      <w:r w:rsidR="00157CEE">
        <w:t xml:space="preserve">casos. </w:t>
      </w:r>
    </w:p>
    <w:p w:rsidR="00F066FA" w:rsidRDefault="00F066FA" w:rsidP="00E3729E">
      <w:pPr>
        <w:pStyle w:val="Prrafodelista"/>
        <w:numPr>
          <w:ilvl w:val="0"/>
          <w:numId w:val="1"/>
        </w:numPr>
      </w:pPr>
      <w:r>
        <w:t>Amnesia</w:t>
      </w:r>
      <w:r w:rsidR="00157CEE">
        <w:t xml:space="preserve"> 3 pacientes. </w:t>
      </w:r>
    </w:p>
    <w:p w:rsidR="00F023D6" w:rsidRDefault="00F023D6" w:rsidP="00E3729E">
      <w:pPr>
        <w:pStyle w:val="Prrafodelista"/>
        <w:numPr>
          <w:ilvl w:val="0"/>
          <w:numId w:val="1"/>
        </w:numPr>
      </w:pPr>
      <w:r>
        <w:t xml:space="preserve">Enfermedad ateroesclerótica en carótida interna en </w:t>
      </w:r>
      <w:r w:rsidR="00A230C9">
        <w:t xml:space="preserve">un </w:t>
      </w:r>
      <w:r>
        <w:t>paciente con cardiopatía isquémica conocida.</w:t>
      </w:r>
    </w:p>
    <w:p w:rsidR="00F066FA" w:rsidRDefault="00F066FA" w:rsidP="00E3729E">
      <w:pPr>
        <w:pStyle w:val="Prrafodelista"/>
        <w:numPr>
          <w:ilvl w:val="0"/>
          <w:numId w:val="1"/>
        </w:numPr>
      </w:pPr>
      <w:r>
        <w:t>Migraña</w:t>
      </w:r>
      <w:r w:rsidR="00F023D6">
        <w:t xml:space="preserve"> en 4 casos. </w:t>
      </w:r>
    </w:p>
    <w:p w:rsidR="00F066FA" w:rsidRDefault="00F066FA" w:rsidP="00E3729E">
      <w:pPr>
        <w:pStyle w:val="Prrafodelista"/>
        <w:numPr>
          <w:ilvl w:val="0"/>
          <w:numId w:val="1"/>
        </w:numPr>
      </w:pPr>
      <w:r>
        <w:t>Cefalea</w:t>
      </w:r>
      <w:r w:rsidR="00F023D6">
        <w:t xml:space="preserve"> en </w:t>
      </w:r>
      <w:r w:rsidR="007B2268">
        <w:t>4</w:t>
      </w:r>
      <w:r w:rsidR="00F023D6">
        <w:t xml:space="preserve"> pacientes. En </w:t>
      </w:r>
      <w:r w:rsidR="007B2268">
        <w:t>dos</w:t>
      </w:r>
      <w:r w:rsidR="00F023D6">
        <w:t xml:space="preserve"> de ellos cefalea</w:t>
      </w:r>
      <w:r w:rsidR="007B2268">
        <w:t xml:space="preserve"> </w:t>
      </w:r>
      <w:proofErr w:type="spellStart"/>
      <w:r w:rsidR="007B2268">
        <w:t>retroocular</w:t>
      </w:r>
      <w:proofErr w:type="spellEnd"/>
      <w:r w:rsidR="007B2268">
        <w:t xml:space="preserve"> </w:t>
      </w:r>
      <w:r w:rsidR="00066356">
        <w:t>acompañada</w:t>
      </w:r>
      <w:r w:rsidR="00F023D6">
        <w:t xml:space="preserve"> de </w:t>
      </w:r>
      <w:proofErr w:type="spellStart"/>
      <w:r w:rsidR="007B2268">
        <w:t>ptosis</w:t>
      </w:r>
      <w:proofErr w:type="spellEnd"/>
      <w:r w:rsidR="007B2268">
        <w:t xml:space="preserve"> palpebral y alteraciones visuales (una paciente refería pérdida de agudeza visual y la otra diplopía).</w:t>
      </w:r>
    </w:p>
    <w:p w:rsidR="00F066FA" w:rsidRDefault="00F066FA" w:rsidP="00E3729E">
      <w:pPr>
        <w:pStyle w:val="Prrafodelista"/>
        <w:numPr>
          <w:ilvl w:val="0"/>
          <w:numId w:val="1"/>
        </w:numPr>
      </w:pPr>
      <w:r>
        <w:t>ICTUS</w:t>
      </w:r>
      <w:r w:rsidR="007B2268">
        <w:t xml:space="preserve"> en un total de 4 pacientes. En uno de ellos fue hemorrágico (HSA)</w:t>
      </w:r>
      <w:r w:rsidR="00A230C9">
        <w:t>-sin relación con el aneurisma encontrado-</w:t>
      </w:r>
      <w:r w:rsidR="007B2268">
        <w:t xml:space="preserve"> y en el resto de tipo isquémico.</w:t>
      </w:r>
    </w:p>
    <w:p w:rsidR="00A230C9" w:rsidRDefault="00731A25" w:rsidP="00A230C9">
      <w:pPr>
        <w:pStyle w:val="Prrafodelista"/>
        <w:numPr>
          <w:ilvl w:val="0"/>
          <w:numId w:val="1"/>
        </w:numPr>
      </w:pPr>
      <w:r>
        <w:rPr>
          <w:noProof/>
          <w:lang w:eastAsia="es-ES"/>
        </w:rPr>
        <w:drawing>
          <wp:anchor distT="0" distB="0" distL="114300" distR="114300" simplePos="0" relativeHeight="251691008" behindDoc="0" locked="0" layoutInCell="1" allowOverlap="1" wp14:anchorId="6D35F3DD" wp14:editId="49D96004">
            <wp:simplePos x="0" y="0"/>
            <wp:positionH relativeFrom="page">
              <wp:posOffset>4962525</wp:posOffset>
            </wp:positionH>
            <wp:positionV relativeFrom="paragraph">
              <wp:posOffset>1940560</wp:posOffset>
            </wp:positionV>
            <wp:extent cx="1810385" cy="2001520"/>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10385" cy="2001520"/>
                    </a:xfrm>
                    <a:prstGeom prst="rect">
                      <a:avLst/>
                    </a:prstGeom>
                    <a:noFill/>
                  </pic:spPr>
                </pic:pic>
              </a:graphicData>
            </a:graphic>
            <wp14:sizeRelH relativeFrom="page">
              <wp14:pctWidth>0</wp14:pctWidth>
            </wp14:sizeRelH>
            <wp14:sizeRelV relativeFrom="page">
              <wp14:pctHeight>0</wp14:pctHeight>
            </wp14:sizeRelV>
          </wp:anchor>
        </w:drawing>
      </w:r>
      <w:r w:rsidR="00977FEA">
        <w:t>Síncope</w:t>
      </w:r>
      <w:r w:rsidR="007B2268">
        <w:t xml:space="preserve"> en 2 pacientes. </w:t>
      </w:r>
    </w:p>
    <w:p w:rsidR="00A230C9" w:rsidRDefault="00A230C9" w:rsidP="007B2268">
      <w:r>
        <w:rPr>
          <w:noProof/>
          <w:lang w:eastAsia="es-ES"/>
        </w:rPr>
        <w:drawing>
          <wp:anchor distT="0" distB="0" distL="114300" distR="114300" simplePos="0" relativeHeight="251675648" behindDoc="0" locked="0" layoutInCell="1" allowOverlap="1" wp14:anchorId="7935AFD3" wp14:editId="1BA73AA0">
            <wp:simplePos x="0" y="0"/>
            <wp:positionH relativeFrom="column">
              <wp:posOffset>7620</wp:posOffset>
            </wp:positionH>
            <wp:positionV relativeFrom="paragraph">
              <wp:posOffset>1607820</wp:posOffset>
            </wp:positionV>
            <wp:extent cx="3452400" cy="2008800"/>
            <wp:effectExtent l="0" t="0" r="0" b="0"/>
            <wp:wrapTopAndBottom/>
            <wp:docPr id="16" name="Gráfico 1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74624" behindDoc="0" locked="0" layoutInCell="1" allowOverlap="1" wp14:anchorId="7980D806" wp14:editId="5EEC5E75">
            <wp:simplePos x="0" y="0"/>
            <wp:positionH relativeFrom="column">
              <wp:posOffset>2703195</wp:posOffset>
            </wp:positionH>
            <wp:positionV relativeFrom="paragraph">
              <wp:posOffset>36195</wp:posOffset>
            </wp:positionV>
            <wp:extent cx="2700000" cy="1573200"/>
            <wp:effectExtent l="0" t="0" r="5715" b="8255"/>
            <wp:wrapTopAndBottom/>
            <wp:docPr id="6" name="Gráfico 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73600" behindDoc="0" locked="0" layoutInCell="1" allowOverlap="1" wp14:anchorId="2CF08725" wp14:editId="227D6BB6">
            <wp:simplePos x="0" y="0"/>
            <wp:positionH relativeFrom="column">
              <wp:posOffset>7620</wp:posOffset>
            </wp:positionH>
            <wp:positionV relativeFrom="paragraph">
              <wp:posOffset>36195</wp:posOffset>
            </wp:positionV>
            <wp:extent cx="2696400" cy="1576800"/>
            <wp:effectExtent l="0" t="0" r="8890" b="4445"/>
            <wp:wrapTopAndBottom/>
            <wp:docPr id="5" name="Gráfico 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14:sizeRelH relativeFrom="margin">
              <wp14:pctWidth>0</wp14:pctWidth>
            </wp14:sizeRelH>
            <wp14:sizeRelV relativeFrom="margin">
              <wp14:pctHeight>0</wp14:pctHeight>
            </wp14:sizeRelV>
          </wp:anchor>
        </w:drawing>
      </w:r>
      <w:r>
        <w:t xml:space="preserve"> </w:t>
      </w:r>
    </w:p>
    <w:p w:rsidR="001A776F" w:rsidRDefault="00410063" w:rsidP="007B2268">
      <w:r>
        <w:t>Respecto  a las características de l</w:t>
      </w:r>
      <w:r w:rsidR="002534F8">
        <w:t>os aneurismas, hubo dos casos en los cuales no estaba registrado el tamaño del mismo</w:t>
      </w:r>
      <w:r w:rsidR="001A776F">
        <w:t xml:space="preserve">, </w:t>
      </w:r>
      <w:r w:rsidR="002534F8">
        <w:t>midiendo el más pequeño 2.0mm y el mayor 8.6mm</w:t>
      </w:r>
      <w:r w:rsidR="001A776F">
        <w:t xml:space="preserve"> (5.29mm de tamaño medio).</w:t>
      </w:r>
      <w:r w:rsidR="002534F8">
        <w:t xml:space="preserve"> </w:t>
      </w:r>
      <w:r w:rsidR="007E5172">
        <w:t xml:space="preserve">La mitad eran mayores de 5mm y la otra mitad eran iguales o menores de 5mm. </w:t>
      </w:r>
      <w:r w:rsidR="000325ED">
        <w:t xml:space="preserve">En ningún caso el aneurisma aumentó de tamaño. </w:t>
      </w:r>
    </w:p>
    <w:p w:rsidR="006B6F18" w:rsidRDefault="00F80935" w:rsidP="007B51B8">
      <w:r>
        <w:t>E</w:t>
      </w:r>
      <w:r w:rsidR="00A230C9">
        <w:t>n e</w:t>
      </w:r>
      <w:r>
        <w:t>l 86.</w:t>
      </w:r>
      <w:r w:rsidR="00214852">
        <w:t>6</w:t>
      </w:r>
      <w:r w:rsidR="007E5172">
        <w:t xml:space="preserve">% </w:t>
      </w:r>
      <w:r w:rsidR="00A230C9">
        <w:t xml:space="preserve">de los casos el aneurisma </w:t>
      </w:r>
      <w:r w:rsidR="007E5172">
        <w:t>estaba situado en la circulación anterior, dependiendo de la ACI el 43.3%.</w:t>
      </w:r>
      <w:r w:rsidR="00B35544">
        <w:t xml:space="preserve"> </w:t>
      </w:r>
      <w:r w:rsidR="00C35549">
        <w:t>El 63% de los pacientes tenía un único aneurisma siendo el máximo número de aneurismas encontrados en un mismo paciente igual a 5</w:t>
      </w:r>
      <w:r w:rsidR="00B35544">
        <w:t>.</w:t>
      </w:r>
      <w:r w:rsidR="000325ED">
        <w:t xml:space="preserve"> En los 24  casos en los cuales se </w:t>
      </w:r>
      <w:r w:rsidR="000325ED">
        <w:lastRenderedPageBreak/>
        <w:t>recogió la morfología del aneurisma 21 eran saculares (87.5%) y 3 eran irregulares con lobulaciones (12.5%).</w:t>
      </w:r>
    </w:p>
    <w:p w:rsidR="001305AE" w:rsidRDefault="00E507AF" w:rsidP="006B6F18">
      <w:pPr>
        <w:spacing w:after="0" w:line="240" w:lineRule="auto"/>
      </w:pPr>
      <w:r>
        <w:rPr>
          <w:noProof/>
          <w:lang w:eastAsia="es-ES"/>
        </w:rPr>
        <w:pict>
          <v:rect id="_x0000_s1036" style="position:absolute;left:0;text-align:left;margin-left:326.55pt;margin-top:134.3pt;width:165.75pt;height:59.25pt;z-index:251680768" filled="f" fillcolor="#726056 [3205]" stroked="f" strokecolor="#ac956e [3206]" strokeweight="3pt">
            <v:shadow on="t" type="perspective" color="#382f2a [1605]" opacity=".5" offset="1pt" offset2="-1pt"/>
            <v:textbox style="mso-next-textbox:#_x0000_s1036">
              <w:txbxContent>
                <w:p w:rsidR="00E507AF" w:rsidRPr="00C35549" w:rsidRDefault="00E507AF" w:rsidP="00E04F71">
                  <w:pPr>
                    <w:pStyle w:val="Epgrafe"/>
                  </w:pPr>
                  <w:bookmarkStart w:id="22" w:name="_Toc512441275"/>
                  <w:r w:rsidRPr="00C35549">
                    <w:t>Figura 7. Localizaciones de los aneurismas</w:t>
                  </w:r>
                  <w:bookmarkEnd w:id="22"/>
                </w:p>
                <w:p w:rsidR="00E507AF" w:rsidRPr="00C35549" w:rsidRDefault="00E507AF" w:rsidP="00E04F71">
                  <w:pPr>
                    <w:pStyle w:val="Epgrafe"/>
                  </w:pPr>
                  <w:bookmarkStart w:id="23" w:name="_Toc512441276"/>
                  <w:r w:rsidRPr="00C35549">
                    <w:t>Figura 8. Porcentajes de oclusión de los aneurismas</w:t>
                  </w:r>
                  <w:bookmarkEnd w:id="23"/>
                </w:p>
              </w:txbxContent>
            </v:textbox>
            <w10:wrap type="square"/>
          </v:rect>
        </w:pict>
      </w:r>
      <w:r w:rsidR="00C35549">
        <w:rPr>
          <w:noProof/>
          <w:lang w:eastAsia="es-ES"/>
        </w:rPr>
        <w:drawing>
          <wp:anchor distT="0" distB="0" distL="114300" distR="114300" simplePos="0" relativeHeight="251678720" behindDoc="0" locked="0" layoutInCell="1" allowOverlap="1" wp14:anchorId="4099F3B8" wp14:editId="6D27A212">
            <wp:simplePos x="0" y="0"/>
            <wp:positionH relativeFrom="column">
              <wp:posOffset>4099560</wp:posOffset>
            </wp:positionH>
            <wp:positionV relativeFrom="paragraph">
              <wp:posOffset>635</wp:posOffset>
            </wp:positionV>
            <wp:extent cx="2076450" cy="1676400"/>
            <wp:effectExtent l="0" t="0" r="0" b="0"/>
            <wp:wrapSquare wrapText="bothSides"/>
            <wp:docPr id="23" name="Gráfico 2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14:sizeRelH relativeFrom="page">
              <wp14:pctWidth>0</wp14:pctWidth>
            </wp14:sizeRelH>
            <wp14:sizeRelV relativeFrom="page">
              <wp14:pctHeight>0</wp14:pctHeight>
            </wp14:sizeRelV>
          </wp:anchor>
        </w:drawing>
      </w:r>
      <w:r w:rsidR="000E2038">
        <w:rPr>
          <w:noProof/>
          <w:lang w:eastAsia="es-ES"/>
        </w:rPr>
        <w:drawing>
          <wp:anchor distT="0" distB="0" distL="114300" distR="114300" simplePos="0" relativeHeight="251679744" behindDoc="0" locked="0" layoutInCell="1" allowOverlap="1" wp14:anchorId="248190A4" wp14:editId="1996A00C">
            <wp:simplePos x="0" y="0"/>
            <wp:positionH relativeFrom="column">
              <wp:posOffset>3810</wp:posOffset>
            </wp:positionH>
            <wp:positionV relativeFrom="paragraph">
              <wp:posOffset>3175</wp:posOffset>
            </wp:positionV>
            <wp:extent cx="4095750" cy="2393315"/>
            <wp:effectExtent l="0" t="0" r="0" b="6985"/>
            <wp:wrapSquare wrapText="bothSides"/>
            <wp:docPr id="22" name="Gráfico 2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14:sizeRelH relativeFrom="page">
              <wp14:pctWidth>0</wp14:pctWidth>
            </wp14:sizeRelH>
            <wp14:sizeRelV relativeFrom="page">
              <wp14:pctHeight>0</wp14:pctHeight>
            </wp14:sizeRelV>
          </wp:anchor>
        </w:drawing>
      </w:r>
    </w:p>
    <w:p w:rsidR="000325ED" w:rsidRDefault="00576522" w:rsidP="007B51B8">
      <w:r>
        <w:t>En relación a la técnica endovascular, en el 26.7%</w:t>
      </w:r>
      <w:r w:rsidR="00C0490A">
        <w:t xml:space="preserve"> de los pacientes</w:t>
      </w:r>
      <w:r>
        <w:t xml:space="preserve"> se utilizaron</w:t>
      </w:r>
      <w:r w:rsidR="001A776F">
        <w:t xml:space="preserve"> </w:t>
      </w:r>
      <w:r>
        <w:t>coils</w:t>
      </w:r>
      <w:r w:rsidR="00C0490A">
        <w:t xml:space="preserve"> exclusivamente</w:t>
      </w:r>
      <w:r>
        <w:t xml:space="preserve"> y en el 73.3% </w:t>
      </w:r>
      <w:r w:rsidR="00C0490A">
        <w:t>restante</w:t>
      </w:r>
      <w:r>
        <w:t xml:space="preserve"> se implantó un </w:t>
      </w:r>
      <w:proofErr w:type="spellStart"/>
      <w:r>
        <w:t>stent</w:t>
      </w:r>
      <w:proofErr w:type="spellEnd"/>
      <w:r>
        <w:t xml:space="preserve"> empleando la técnica de </w:t>
      </w:r>
      <w:proofErr w:type="spellStart"/>
      <w:r>
        <w:t>remodeling</w:t>
      </w:r>
      <w:proofErr w:type="spellEnd"/>
      <w:r>
        <w:t xml:space="preserve"> con balón</w:t>
      </w:r>
      <w:r w:rsidR="001A776F">
        <w:t xml:space="preserve">. </w:t>
      </w:r>
      <w:r w:rsidR="003515D8">
        <w:t xml:space="preserve">Se obtuvo oclusión completa en 24 pacientes (86.7%) y parcial en 6 (13.3%). </w:t>
      </w:r>
      <w:r w:rsidR="00D266FC">
        <w:t>El tratamiento fracas</w:t>
      </w:r>
      <w:r w:rsidR="001A776F">
        <w:t>ó</w:t>
      </w:r>
      <w:r w:rsidR="00D266FC">
        <w:t xml:space="preserve"> en un paciente</w:t>
      </w:r>
      <w:r w:rsidR="001A776F">
        <w:t>, el cual r</w:t>
      </w:r>
      <w:r w:rsidR="003515D8">
        <w:t xml:space="preserve">ecanalizó y </w:t>
      </w:r>
      <w:r w:rsidR="00D266FC">
        <w:t xml:space="preserve">por lo tanto tuvo que </w:t>
      </w:r>
      <w:r w:rsidR="00C0490A">
        <w:t>ser intervenido de nuevo. No hubo más casos de reintervención.</w:t>
      </w:r>
    </w:p>
    <w:p w:rsidR="00F336CE" w:rsidRDefault="003C32BC" w:rsidP="00C0490A">
      <w:pPr>
        <w:pStyle w:val="Ttulo2"/>
      </w:pPr>
      <w:bookmarkStart w:id="24" w:name="_Toc512441306"/>
      <w:r>
        <w:t>Descripción</w:t>
      </w:r>
      <w:r w:rsidR="00F336CE">
        <w:t xml:space="preserve"> de las complicaciones</w:t>
      </w:r>
      <w:bookmarkEnd w:id="24"/>
    </w:p>
    <w:p w:rsidR="00B70062" w:rsidRDefault="00C0490A" w:rsidP="00B70062">
      <w:r>
        <w:rPr>
          <w:noProof/>
          <w:lang w:eastAsia="es-ES"/>
        </w:rPr>
        <w:drawing>
          <wp:anchor distT="0" distB="0" distL="114300" distR="114300" simplePos="0" relativeHeight="251681792" behindDoc="1" locked="0" layoutInCell="1" allowOverlap="1" wp14:anchorId="4286B63D" wp14:editId="450A1FBF">
            <wp:simplePos x="0" y="0"/>
            <wp:positionH relativeFrom="margin">
              <wp:posOffset>3032760</wp:posOffset>
            </wp:positionH>
            <wp:positionV relativeFrom="margin">
              <wp:posOffset>5410835</wp:posOffset>
            </wp:positionV>
            <wp:extent cx="2762250" cy="1847850"/>
            <wp:effectExtent l="0" t="0" r="0" b="0"/>
            <wp:wrapSquare wrapText="bothSides"/>
            <wp:docPr id="24" name="Gráfico 2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14:sizeRelH relativeFrom="page">
              <wp14:pctWidth>0</wp14:pctWidth>
            </wp14:sizeRelH>
            <wp14:sizeRelV relativeFrom="page">
              <wp14:pctHeight>0</wp14:pctHeight>
            </wp14:sizeRelV>
          </wp:anchor>
        </w:drawing>
      </w:r>
      <w:r w:rsidR="00B70062">
        <w:t>Hubo complicaciones en un 40% de los casos, todas</w:t>
      </w:r>
      <w:r w:rsidR="008428FC">
        <w:t xml:space="preserve"> ellas autolimitadas</w:t>
      </w:r>
      <w:r>
        <w:t xml:space="preserve"> y</w:t>
      </w:r>
      <w:r w:rsidR="00FA0CEB">
        <w:t xml:space="preserve"> sin  secuelas</w:t>
      </w:r>
      <w:r w:rsidR="008428FC">
        <w:t xml:space="preserve">. Las complicaciones que se encontraron </w:t>
      </w:r>
      <w:r>
        <w:t>fueron las siguientes</w:t>
      </w:r>
      <w:r w:rsidR="00B70062">
        <w:t>:</w:t>
      </w:r>
    </w:p>
    <w:p w:rsidR="00B70062" w:rsidRDefault="00B70062" w:rsidP="00E3729E">
      <w:pPr>
        <w:pStyle w:val="Prrafodelista"/>
        <w:numPr>
          <w:ilvl w:val="0"/>
          <w:numId w:val="1"/>
        </w:numPr>
      </w:pPr>
      <w:r>
        <w:t>HSA</w:t>
      </w:r>
      <w:r w:rsidR="008428FC">
        <w:t xml:space="preserve"> en 2 </w:t>
      </w:r>
      <w:r w:rsidR="00C0490A">
        <w:t>pacientes</w:t>
      </w:r>
      <w:r w:rsidR="008428FC">
        <w:t xml:space="preserve">. En el primero, a las 48 horas después del alta el paciente comenzó con cefalea brusca y en TC se visualizó la HSA. Este paciente resultó ser alérgico a AAS. En el otro caso la paciente comenzó a las 3 semanas con pérdida de la sensibilidad y crisis parciales, en TC se ve pequeña HSA. </w:t>
      </w:r>
      <w:r w:rsidR="00B5074C">
        <w:t>Esta paciente había demostrado</w:t>
      </w:r>
      <w:r w:rsidR="008428FC">
        <w:t xml:space="preserve"> una hipersensibilidad  a AAS.</w:t>
      </w:r>
    </w:p>
    <w:p w:rsidR="00B70062" w:rsidRDefault="00E507AF" w:rsidP="00E3729E">
      <w:pPr>
        <w:pStyle w:val="Prrafodelista"/>
        <w:numPr>
          <w:ilvl w:val="0"/>
          <w:numId w:val="1"/>
        </w:numPr>
      </w:pPr>
      <w:r>
        <w:rPr>
          <w:noProof/>
          <w:lang w:eastAsia="es-ES"/>
        </w:rPr>
        <w:pict>
          <v:roundrect id="_x0000_s1037" style="position:absolute;left:0;text-align:left;margin-left:261.3pt;margin-top:40.25pt;width:203.25pt;height:24pt;z-index:251682816" arcsize="10923f" filled="f" fillcolor="#726056 [3205]" stroked="f" strokecolor="#ac956e [3206]" strokeweight="3pt">
            <v:shadow on="t" type="perspective" color="#382f2a [1605]" opacity=".5" offset="1pt" offset2="-1pt"/>
            <v:textbox style="mso-next-textbox:#_x0000_s1037">
              <w:txbxContent>
                <w:p w:rsidR="00E507AF" w:rsidRPr="003012BD" w:rsidRDefault="00E507AF" w:rsidP="00FE38B2">
                  <w:pPr>
                    <w:pStyle w:val="Epgrafe"/>
                  </w:pPr>
                  <w:bookmarkStart w:id="25" w:name="_Toc512441277"/>
                  <w:r w:rsidRPr="003012BD">
                    <w:t>Figura 9. Proporción de complicaciones</w:t>
                  </w:r>
                  <w:bookmarkEnd w:id="25"/>
                </w:p>
              </w:txbxContent>
            </v:textbox>
            <w10:wrap type="square"/>
          </v:roundrect>
        </w:pict>
      </w:r>
      <w:r w:rsidR="00B70062">
        <w:t>Pérdida transitoria de agudeza visual</w:t>
      </w:r>
      <w:r w:rsidR="003012BD">
        <w:t xml:space="preserve"> en 3 de los 30 casos. En 1</w:t>
      </w:r>
      <w:r w:rsidR="00FA0CEB">
        <w:t xml:space="preserve"> caso la pérdida de agudeza visual ocurrió tras la</w:t>
      </w:r>
      <w:r w:rsidR="003012BD">
        <w:t xml:space="preserve"> intervención y en los otros 2</w:t>
      </w:r>
      <w:r w:rsidR="00FA0CEB">
        <w:t xml:space="preserve"> tras control angiográfico.</w:t>
      </w:r>
    </w:p>
    <w:p w:rsidR="00B70062" w:rsidRDefault="00B70062" w:rsidP="00E3729E">
      <w:pPr>
        <w:pStyle w:val="Prrafodelista"/>
        <w:numPr>
          <w:ilvl w:val="0"/>
          <w:numId w:val="1"/>
        </w:numPr>
      </w:pPr>
      <w:r>
        <w:t>S</w:t>
      </w:r>
      <w:r w:rsidR="00FA0CEB">
        <w:t>índrome confusional (1 caso) en contexto de</w:t>
      </w:r>
      <w:r w:rsidR="00F63640">
        <w:t xml:space="preserve"> embolismos en ambos lóbulos frontales a causa del procedimiento. A las 2 semanas del episodio no había ningún tipo de clínica. La paciente tenía antecedentes de ictus transitorio.</w:t>
      </w:r>
      <w:r w:rsidR="00FA0CEB">
        <w:t xml:space="preserve"> </w:t>
      </w:r>
    </w:p>
    <w:p w:rsidR="004A4BEC" w:rsidRDefault="004A4BEC" w:rsidP="006B6F18">
      <w:pPr>
        <w:pStyle w:val="Prrafodelista"/>
        <w:numPr>
          <w:ilvl w:val="0"/>
          <w:numId w:val="1"/>
        </w:numPr>
      </w:pPr>
      <w:r>
        <w:t>Parestesias faciales que cedieron con tratamiento.</w:t>
      </w:r>
    </w:p>
    <w:p w:rsidR="00F63640" w:rsidRDefault="00B70062" w:rsidP="00E3729E">
      <w:pPr>
        <w:pStyle w:val="Prrafodelista"/>
        <w:numPr>
          <w:ilvl w:val="0"/>
          <w:numId w:val="1"/>
        </w:numPr>
      </w:pPr>
      <w:r>
        <w:t xml:space="preserve">Hematoma en la zona de </w:t>
      </w:r>
      <w:r w:rsidR="00F63640">
        <w:t>punción en 3 pacientes.</w:t>
      </w:r>
    </w:p>
    <w:p w:rsidR="00B70062" w:rsidRDefault="00B70062" w:rsidP="00E3729E">
      <w:pPr>
        <w:pStyle w:val="Prrafodelista"/>
        <w:numPr>
          <w:ilvl w:val="0"/>
          <w:numId w:val="1"/>
        </w:numPr>
      </w:pPr>
      <w:r>
        <w:lastRenderedPageBreak/>
        <w:t>Cefalea</w:t>
      </w:r>
      <w:r w:rsidR="00F63640">
        <w:t xml:space="preserve"> </w:t>
      </w:r>
      <w:proofErr w:type="spellStart"/>
      <w:r w:rsidR="00F63640">
        <w:t>retroocular</w:t>
      </w:r>
      <w:proofErr w:type="spellEnd"/>
      <w:r w:rsidR="00F63640">
        <w:t xml:space="preserve"> en 2 casos</w:t>
      </w:r>
      <w:r w:rsidR="004A4BEC">
        <w:t>.</w:t>
      </w:r>
    </w:p>
    <w:p w:rsidR="00B70062" w:rsidRDefault="00B70062" w:rsidP="00E3729E">
      <w:pPr>
        <w:pStyle w:val="Prrafodelista"/>
        <w:numPr>
          <w:ilvl w:val="0"/>
          <w:numId w:val="1"/>
        </w:numPr>
      </w:pPr>
      <w:r>
        <w:t>Descompensación glucémica</w:t>
      </w:r>
      <w:r w:rsidR="00F63640">
        <w:t xml:space="preserve"> durante el ingreso para la revisión </w:t>
      </w:r>
      <w:proofErr w:type="spellStart"/>
      <w:r w:rsidR="00F63640">
        <w:t>angiográfica</w:t>
      </w:r>
      <w:proofErr w:type="spellEnd"/>
      <w:r w:rsidR="00F63640">
        <w:t xml:space="preserve"> en paciente con DM conocida</w:t>
      </w:r>
      <w:r w:rsidR="004A4BEC">
        <w:t>.</w:t>
      </w:r>
    </w:p>
    <w:p w:rsidR="00252405" w:rsidRDefault="00B70062" w:rsidP="00436C0A">
      <w:pPr>
        <w:pStyle w:val="Prrafodelista"/>
        <w:numPr>
          <w:ilvl w:val="0"/>
          <w:numId w:val="1"/>
        </w:numPr>
      </w:pPr>
      <w:r>
        <w:t>Reacción adversa a HPBM</w:t>
      </w:r>
      <w:r w:rsidR="00C609B5">
        <w:t xml:space="preserve"> durante el postoperatorio.</w:t>
      </w:r>
    </w:p>
    <w:p w:rsidR="00C609B5" w:rsidRDefault="006B5E99" w:rsidP="00C609B5">
      <w:pPr>
        <w:pStyle w:val="Ttulo2"/>
      </w:pPr>
      <w:bookmarkStart w:id="26" w:name="_Toc512441307"/>
      <w:r>
        <w:t>Relaciones entre variables</w:t>
      </w:r>
      <w:bookmarkEnd w:id="26"/>
    </w:p>
    <w:tbl>
      <w:tblPr>
        <w:tblStyle w:val="Cuadrculamedia3-nfasis2"/>
        <w:tblpPr w:leftFromText="141" w:rightFromText="141" w:vertAnchor="page" w:horzAnchor="page" w:tblpX="1663" w:tblpY="4636"/>
        <w:tblW w:w="5802" w:type="dxa"/>
        <w:tblBorders>
          <w:insideH w:val="single" w:sz="8" w:space="0" w:color="FFFFFF" w:themeColor="background1"/>
          <w:insideV w:val="single" w:sz="8" w:space="0" w:color="FFFFFF" w:themeColor="background1"/>
        </w:tblBorders>
        <w:tblLayout w:type="fixed"/>
        <w:tblLook w:val="05E0" w:firstRow="1" w:lastRow="1" w:firstColumn="1" w:lastColumn="1" w:noHBand="0" w:noVBand="1"/>
      </w:tblPr>
      <w:tblGrid>
        <w:gridCol w:w="2437"/>
        <w:gridCol w:w="1276"/>
        <w:gridCol w:w="1357"/>
        <w:gridCol w:w="732"/>
      </w:tblGrid>
      <w:tr w:rsidR="000D3E2E" w:rsidRPr="00B64299" w:rsidTr="000659CC">
        <w:trPr>
          <w:cnfStyle w:val="100000000000" w:firstRow="1" w:lastRow="0" w:firstColumn="0" w:lastColumn="0" w:oddVBand="0" w:evenVBand="0" w:oddHBand="0" w:evenHBand="0" w:firstRowFirstColumn="0" w:firstRowLastColumn="0" w:lastRowFirstColumn="0" w:lastRowLastColumn="0"/>
          <w:cantSplit/>
          <w:trHeight w:val="11"/>
        </w:trPr>
        <w:tc>
          <w:tcPr>
            <w:cnfStyle w:val="001000000000" w:firstRow="0" w:lastRow="0" w:firstColumn="1" w:lastColumn="0" w:oddVBand="0" w:evenVBand="0" w:oddHBand="0" w:evenHBand="0" w:firstRowFirstColumn="0" w:firstRowLastColumn="0" w:lastRowFirstColumn="0" w:lastRowLastColumn="0"/>
            <w:tcW w:w="2437" w:type="dxa"/>
            <w:tcBorders>
              <w:top w:val="none" w:sz="0" w:space="0" w:color="auto"/>
              <w:left w:val="none" w:sz="0" w:space="0" w:color="auto"/>
              <w:bottom w:val="none" w:sz="0" w:space="0" w:color="auto"/>
              <w:right w:val="none" w:sz="0" w:space="0" w:color="auto"/>
            </w:tcBorders>
          </w:tcPr>
          <w:p w:rsidR="000D3E2E" w:rsidRPr="00B64299" w:rsidRDefault="000D3E2E" w:rsidP="000D3E2E">
            <w:r w:rsidRPr="00B64299">
              <w:rPr>
                <w:i/>
                <w:iCs/>
              </w:rPr>
              <w:t>Tabla 1.</w:t>
            </w:r>
          </w:p>
          <w:p w:rsidR="000D3E2E" w:rsidRPr="00B64299" w:rsidRDefault="000D3E2E" w:rsidP="000D3E2E">
            <w:pPr>
              <w:jc w:val="left"/>
            </w:pPr>
          </w:p>
        </w:tc>
        <w:tc>
          <w:tcPr>
            <w:tcW w:w="1276" w:type="dxa"/>
            <w:tcBorders>
              <w:top w:val="none" w:sz="0" w:space="0" w:color="auto"/>
              <w:left w:val="none" w:sz="0" w:space="0" w:color="auto"/>
              <w:bottom w:val="none" w:sz="0" w:space="0" w:color="auto"/>
              <w:right w:val="none" w:sz="0" w:space="0" w:color="auto"/>
            </w:tcBorders>
          </w:tcPr>
          <w:p w:rsidR="000D3E2E" w:rsidRPr="00B64299" w:rsidRDefault="000D3E2E" w:rsidP="000D3E2E">
            <w:pPr>
              <w:jc w:val="left"/>
              <w:cnfStyle w:val="100000000000" w:firstRow="1" w:lastRow="0" w:firstColumn="0" w:lastColumn="0" w:oddVBand="0" w:evenVBand="0" w:oddHBand="0" w:evenHBand="0" w:firstRowFirstColumn="0" w:firstRowLastColumn="0" w:lastRowFirstColumn="0" w:lastRowLastColumn="0"/>
            </w:pPr>
            <w:r w:rsidRPr="00B64299">
              <w:t>No fumadores</w:t>
            </w:r>
          </w:p>
        </w:tc>
        <w:tc>
          <w:tcPr>
            <w:tcW w:w="1357" w:type="dxa"/>
            <w:tcBorders>
              <w:top w:val="none" w:sz="0" w:space="0" w:color="auto"/>
              <w:left w:val="none" w:sz="0" w:space="0" w:color="auto"/>
              <w:bottom w:val="none" w:sz="0" w:space="0" w:color="auto"/>
              <w:right w:val="none" w:sz="0" w:space="0" w:color="auto"/>
            </w:tcBorders>
          </w:tcPr>
          <w:p w:rsidR="000D3E2E" w:rsidRPr="00B64299" w:rsidRDefault="000D3E2E" w:rsidP="000D3E2E">
            <w:pPr>
              <w:jc w:val="left"/>
              <w:cnfStyle w:val="100000000000" w:firstRow="1" w:lastRow="0" w:firstColumn="0" w:lastColumn="0" w:oddVBand="0" w:evenVBand="0" w:oddHBand="0" w:evenHBand="0" w:firstRowFirstColumn="0" w:firstRowLastColumn="0" w:lastRowFirstColumn="0" w:lastRowLastColumn="0"/>
            </w:pPr>
            <w:r w:rsidRPr="00B64299">
              <w:t>Fumadores</w:t>
            </w:r>
          </w:p>
        </w:tc>
        <w:tc>
          <w:tcPr>
            <w:cnfStyle w:val="000100000000" w:firstRow="0" w:lastRow="0" w:firstColumn="0" w:lastColumn="1" w:oddVBand="0" w:evenVBand="0" w:oddHBand="0" w:evenHBand="0" w:firstRowFirstColumn="0" w:firstRowLastColumn="0" w:lastRowFirstColumn="0" w:lastRowLastColumn="0"/>
            <w:tcW w:w="732" w:type="dxa"/>
            <w:tcBorders>
              <w:top w:val="none" w:sz="0" w:space="0" w:color="auto"/>
              <w:left w:val="none" w:sz="0" w:space="0" w:color="auto"/>
              <w:bottom w:val="none" w:sz="0" w:space="0" w:color="auto"/>
              <w:right w:val="none" w:sz="0" w:space="0" w:color="auto"/>
            </w:tcBorders>
          </w:tcPr>
          <w:p w:rsidR="000D3E2E" w:rsidRPr="00B64299" w:rsidRDefault="000D3E2E" w:rsidP="000D3E2E">
            <w:pPr>
              <w:jc w:val="left"/>
            </w:pPr>
            <w:r w:rsidRPr="00B64299">
              <w:t>Total</w:t>
            </w:r>
          </w:p>
        </w:tc>
      </w:tr>
      <w:tr w:rsidR="000D3E2E" w:rsidRPr="00B64299" w:rsidTr="000659CC">
        <w:trPr>
          <w:cnfStyle w:val="000000100000" w:firstRow="0" w:lastRow="0" w:firstColumn="0" w:lastColumn="0" w:oddVBand="0" w:evenVBand="0" w:oddHBand="1" w:evenHBand="0" w:firstRowFirstColumn="0" w:firstRowLastColumn="0" w:lastRowFirstColumn="0" w:lastRowLastColumn="0"/>
          <w:cantSplit/>
          <w:trHeight w:val="31"/>
        </w:trPr>
        <w:tc>
          <w:tcPr>
            <w:cnfStyle w:val="001000000000" w:firstRow="0" w:lastRow="0" w:firstColumn="1" w:lastColumn="0" w:oddVBand="0" w:evenVBand="0" w:oddHBand="0" w:evenHBand="0" w:firstRowFirstColumn="0" w:firstRowLastColumn="0" w:lastRowFirstColumn="0" w:lastRowLastColumn="0"/>
            <w:tcW w:w="2437" w:type="dxa"/>
            <w:tcBorders>
              <w:top w:val="none" w:sz="0" w:space="0" w:color="auto"/>
              <w:left w:val="none" w:sz="0" w:space="0" w:color="auto"/>
              <w:bottom w:val="none" w:sz="0" w:space="0" w:color="auto"/>
              <w:right w:val="none" w:sz="0" w:space="0" w:color="auto"/>
            </w:tcBorders>
          </w:tcPr>
          <w:p w:rsidR="000D3E2E" w:rsidRPr="00B64299" w:rsidRDefault="000D3E2E" w:rsidP="000D3E2E">
            <w:pPr>
              <w:jc w:val="left"/>
            </w:pPr>
            <w:r w:rsidRPr="00B64299">
              <w:t>Edad menor o igual a 60</w:t>
            </w:r>
          </w:p>
          <w:p w:rsidR="000D3E2E" w:rsidRPr="00B64299" w:rsidRDefault="000D3E2E" w:rsidP="000D3E2E">
            <w:pPr>
              <w:jc w:val="left"/>
            </w:pPr>
            <w:r w:rsidRPr="00B64299">
              <w:t>%dentro de edad</w:t>
            </w:r>
          </w:p>
        </w:tc>
        <w:tc>
          <w:tcPr>
            <w:tcW w:w="1276" w:type="dxa"/>
            <w:tcBorders>
              <w:top w:val="none" w:sz="0" w:space="0" w:color="auto"/>
              <w:left w:val="none" w:sz="0" w:space="0" w:color="auto"/>
              <w:bottom w:val="none" w:sz="0" w:space="0" w:color="auto"/>
              <w:right w:val="none" w:sz="0" w:space="0" w:color="auto"/>
            </w:tcBorders>
          </w:tcPr>
          <w:p w:rsidR="000D3E2E" w:rsidRPr="00B64299" w:rsidRDefault="000D3E2E" w:rsidP="000D3E2E">
            <w:pPr>
              <w:jc w:val="left"/>
              <w:cnfStyle w:val="000000100000" w:firstRow="0" w:lastRow="0" w:firstColumn="0" w:lastColumn="0" w:oddVBand="0" w:evenVBand="0" w:oddHBand="1" w:evenHBand="0" w:firstRowFirstColumn="0" w:firstRowLastColumn="0" w:lastRowFirstColumn="0" w:lastRowLastColumn="0"/>
            </w:pPr>
            <w:r w:rsidRPr="00B64299">
              <w:t>2</w:t>
            </w:r>
          </w:p>
          <w:p w:rsidR="000D3E2E" w:rsidRPr="00B64299" w:rsidRDefault="000D3E2E" w:rsidP="000D3E2E">
            <w:pPr>
              <w:jc w:val="left"/>
              <w:cnfStyle w:val="000000100000" w:firstRow="0" w:lastRow="0" w:firstColumn="0" w:lastColumn="0" w:oddVBand="0" w:evenVBand="0" w:oddHBand="1" w:evenHBand="0" w:firstRowFirstColumn="0" w:firstRowLastColumn="0" w:lastRowFirstColumn="0" w:lastRowLastColumn="0"/>
            </w:pPr>
            <w:r w:rsidRPr="00B64299">
              <w:t>11.8%</w:t>
            </w:r>
          </w:p>
        </w:tc>
        <w:tc>
          <w:tcPr>
            <w:tcW w:w="1357" w:type="dxa"/>
            <w:tcBorders>
              <w:top w:val="none" w:sz="0" w:space="0" w:color="auto"/>
              <w:left w:val="none" w:sz="0" w:space="0" w:color="auto"/>
              <w:bottom w:val="none" w:sz="0" w:space="0" w:color="auto"/>
              <w:right w:val="none" w:sz="0" w:space="0" w:color="auto"/>
            </w:tcBorders>
          </w:tcPr>
          <w:p w:rsidR="000D3E2E" w:rsidRPr="00B64299" w:rsidRDefault="000D3E2E" w:rsidP="000D3E2E">
            <w:pPr>
              <w:jc w:val="left"/>
              <w:cnfStyle w:val="000000100000" w:firstRow="0" w:lastRow="0" w:firstColumn="0" w:lastColumn="0" w:oddVBand="0" w:evenVBand="0" w:oddHBand="1" w:evenHBand="0" w:firstRowFirstColumn="0" w:firstRowLastColumn="0" w:lastRowFirstColumn="0" w:lastRowLastColumn="0"/>
            </w:pPr>
            <w:r w:rsidRPr="00B64299">
              <w:t>15</w:t>
            </w:r>
          </w:p>
          <w:p w:rsidR="000D3E2E" w:rsidRPr="00B64299" w:rsidRDefault="000D3E2E" w:rsidP="000D3E2E">
            <w:pPr>
              <w:jc w:val="left"/>
              <w:cnfStyle w:val="000000100000" w:firstRow="0" w:lastRow="0" w:firstColumn="0" w:lastColumn="0" w:oddVBand="0" w:evenVBand="0" w:oddHBand="1" w:evenHBand="0" w:firstRowFirstColumn="0" w:firstRowLastColumn="0" w:lastRowFirstColumn="0" w:lastRowLastColumn="0"/>
            </w:pPr>
            <w:r w:rsidRPr="00B64299">
              <w:t>88.2%</w:t>
            </w:r>
          </w:p>
        </w:tc>
        <w:tc>
          <w:tcPr>
            <w:cnfStyle w:val="000100000000" w:firstRow="0" w:lastRow="0" w:firstColumn="0" w:lastColumn="1" w:oddVBand="0" w:evenVBand="0" w:oddHBand="0" w:evenHBand="0" w:firstRowFirstColumn="0" w:firstRowLastColumn="0" w:lastRowFirstColumn="0" w:lastRowLastColumn="0"/>
            <w:tcW w:w="732" w:type="dxa"/>
            <w:tcBorders>
              <w:top w:val="none" w:sz="0" w:space="0" w:color="auto"/>
              <w:left w:val="none" w:sz="0" w:space="0" w:color="auto"/>
              <w:bottom w:val="none" w:sz="0" w:space="0" w:color="auto"/>
              <w:right w:val="none" w:sz="0" w:space="0" w:color="auto"/>
            </w:tcBorders>
            <w:shd w:val="clear" w:color="auto" w:fill="BCAEA6"/>
          </w:tcPr>
          <w:p w:rsidR="000D3E2E" w:rsidRPr="0090528B" w:rsidRDefault="000D3E2E" w:rsidP="000D3E2E">
            <w:pPr>
              <w:jc w:val="left"/>
              <w:rPr>
                <w:b w:val="0"/>
                <w:color w:val="auto"/>
              </w:rPr>
            </w:pPr>
            <w:r w:rsidRPr="0090528B">
              <w:rPr>
                <w:b w:val="0"/>
                <w:color w:val="auto"/>
              </w:rPr>
              <w:t>17</w:t>
            </w:r>
          </w:p>
          <w:p w:rsidR="000D3E2E" w:rsidRPr="0090528B" w:rsidRDefault="000D3E2E" w:rsidP="000D3E2E">
            <w:pPr>
              <w:jc w:val="left"/>
              <w:rPr>
                <w:b w:val="0"/>
                <w:color w:val="auto"/>
              </w:rPr>
            </w:pPr>
            <w:r w:rsidRPr="0090528B">
              <w:rPr>
                <w:b w:val="0"/>
                <w:color w:val="auto"/>
              </w:rPr>
              <w:t>100%</w:t>
            </w:r>
          </w:p>
        </w:tc>
      </w:tr>
      <w:tr w:rsidR="000D3E2E" w:rsidRPr="00B64299" w:rsidTr="000659CC">
        <w:trPr>
          <w:cantSplit/>
          <w:trHeight w:val="20"/>
        </w:trPr>
        <w:tc>
          <w:tcPr>
            <w:cnfStyle w:val="001000000000" w:firstRow="0" w:lastRow="0" w:firstColumn="1" w:lastColumn="0" w:oddVBand="0" w:evenVBand="0" w:oddHBand="0" w:evenHBand="0" w:firstRowFirstColumn="0" w:firstRowLastColumn="0" w:lastRowFirstColumn="0" w:lastRowLastColumn="0"/>
            <w:tcW w:w="2437" w:type="dxa"/>
            <w:tcBorders>
              <w:left w:val="none" w:sz="0" w:space="0" w:color="auto"/>
              <w:bottom w:val="none" w:sz="0" w:space="0" w:color="auto"/>
              <w:right w:val="none" w:sz="0" w:space="0" w:color="auto"/>
            </w:tcBorders>
          </w:tcPr>
          <w:p w:rsidR="000D3E2E" w:rsidRPr="00B64299" w:rsidRDefault="000D3E2E" w:rsidP="000D3E2E">
            <w:pPr>
              <w:jc w:val="left"/>
            </w:pPr>
            <w:r w:rsidRPr="00B64299">
              <w:t>Edad mayor de 60</w:t>
            </w:r>
          </w:p>
          <w:p w:rsidR="000D3E2E" w:rsidRPr="00B64299" w:rsidRDefault="000D3E2E" w:rsidP="000D3E2E">
            <w:pPr>
              <w:jc w:val="left"/>
            </w:pPr>
            <w:r w:rsidRPr="00B64299">
              <w:t>%dentro de edad</w:t>
            </w:r>
          </w:p>
        </w:tc>
        <w:tc>
          <w:tcPr>
            <w:tcW w:w="1276" w:type="dxa"/>
          </w:tcPr>
          <w:p w:rsidR="000D3E2E" w:rsidRPr="00B64299" w:rsidRDefault="000D3E2E" w:rsidP="000D3E2E">
            <w:pPr>
              <w:jc w:val="left"/>
              <w:cnfStyle w:val="000000000000" w:firstRow="0" w:lastRow="0" w:firstColumn="0" w:lastColumn="0" w:oddVBand="0" w:evenVBand="0" w:oddHBand="0" w:evenHBand="0" w:firstRowFirstColumn="0" w:firstRowLastColumn="0" w:lastRowFirstColumn="0" w:lastRowLastColumn="0"/>
            </w:pPr>
            <w:r w:rsidRPr="00B64299">
              <w:t>7</w:t>
            </w:r>
          </w:p>
          <w:p w:rsidR="000D3E2E" w:rsidRPr="00B64299" w:rsidRDefault="000D3E2E" w:rsidP="000D3E2E">
            <w:pPr>
              <w:jc w:val="left"/>
              <w:cnfStyle w:val="000000000000" w:firstRow="0" w:lastRow="0" w:firstColumn="0" w:lastColumn="0" w:oddVBand="0" w:evenVBand="0" w:oddHBand="0" w:evenHBand="0" w:firstRowFirstColumn="0" w:firstRowLastColumn="0" w:lastRowFirstColumn="0" w:lastRowLastColumn="0"/>
            </w:pPr>
            <w:r w:rsidRPr="00B64299">
              <w:t>53.8%</w:t>
            </w:r>
          </w:p>
        </w:tc>
        <w:tc>
          <w:tcPr>
            <w:tcW w:w="1357" w:type="dxa"/>
            <w:shd w:val="clear" w:color="auto" w:fill="DED7D3"/>
          </w:tcPr>
          <w:p w:rsidR="000D3E2E" w:rsidRPr="00B64299" w:rsidRDefault="000D3E2E" w:rsidP="000D3E2E">
            <w:pPr>
              <w:jc w:val="left"/>
              <w:cnfStyle w:val="000000000000" w:firstRow="0" w:lastRow="0" w:firstColumn="0" w:lastColumn="0" w:oddVBand="0" w:evenVBand="0" w:oddHBand="0" w:evenHBand="0" w:firstRowFirstColumn="0" w:firstRowLastColumn="0" w:lastRowFirstColumn="0" w:lastRowLastColumn="0"/>
            </w:pPr>
            <w:r w:rsidRPr="00B64299">
              <w:t>6</w:t>
            </w:r>
          </w:p>
          <w:p w:rsidR="000D3E2E" w:rsidRPr="00B64299" w:rsidRDefault="000D3E2E" w:rsidP="000D3E2E">
            <w:pPr>
              <w:jc w:val="left"/>
              <w:cnfStyle w:val="000000000000" w:firstRow="0" w:lastRow="0" w:firstColumn="0" w:lastColumn="0" w:oddVBand="0" w:evenVBand="0" w:oddHBand="0" w:evenHBand="0" w:firstRowFirstColumn="0" w:firstRowLastColumn="0" w:lastRowFirstColumn="0" w:lastRowLastColumn="0"/>
            </w:pPr>
            <w:r w:rsidRPr="00B64299">
              <w:t>46.2%</w:t>
            </w:r>
          </w:p>
        </w:tc>
        <w:tc>
          <w:tcPr>
            <w:cnfStyle w:val="000100000000" w:firstRow="0" w:lastRow="0" w:firstColumn="0" w:lastColumn="1" w:oddVBand="0" w:evenVBand="0" w:oddHBand="0" w:evenHBand="0" w:firstRowFirstColumn="0" w:firstRowLastColumn="0" w:lastRowFirstColumn="0" w:lastRowLastColumn="0"/>
            <w:tcW w:w="732" w:type="dxa"/>
            <w:tcBorders>
              <w:left w:val="none" w:sz="0" w:space="0" w:color="auto"/>
              <w:bottom w:val="none" w:sz="0" w:space="0" w:color="auto"/>
              <w:right w:val="none" w:sz="0" w:space="0" w:color="auto"/>
            </w:tcBorders>
            <w:shd w:val="clear" w:color="auto" w:fill="DED7D3"/>
          </w:tcPr>
          <w:p w:rsidR="000D3E2E" w:rsidRPr="0090528B" w:rsidRDefault="000D3E2E" w:rsidP="000D3E2E">
            <w:pPr>
              <w:jc w:val="left"/>
              <w:rPr>
                <w:b w:val="0"/>
                <w:color w:val="auto"/>
              </w:rPr>
            </w:pPr>
            <w:r w:rsidRPr="0090528B">
              <w:rPr>
                <w:b w:val="0"/>
                <w:color w:val="auto"/>
              </w:rPr>
              <w:t>13</w:t>
            </w:r>
          </w:p>
          <w:p w:rsidR="000D3E2E" w:rsidRPr="0090528B" w:rsidRDefault="000D3E2E" w:rsidP="000D3E2E">
            <w:pPr>
              <w:jc w:val="left"/>
              <w:rPr>
                <w:b w:val="0"/>
                <w:color w:val="auto"/>
              </w:rPr>
            </w:pPr>
            <w:r w:rsidRPr="0090528B">
              <w:rPr>
                <w:b w:val="0"/>
                <w:color w:val="auto"/>
              </w:rPr>
              <w:t>100%</w:t>
            </w:r>
          </w:p>
        </w:tc>
      </w:tr>
      <w:tr w:rsidR="000D3E2E" w:rsidRPr="00B64299" w:rsidTr="000659CC">
        <w:trPr>
          <w:cnfStyle w:val="010000000000" w:firstRow="0" w:lastRow="1" w:firstColumn="0" w:lastColumn="0" w:oddVBand="0" w:evenVBand="0" w:oddHBand="0" w:evenHBand="0" w:firstRowFirstColumn="0" w:firstRowLastColumn="0" w:lastRowFirstColumn="0" w:lastRowLastColumn="0"/>
          <w:cantSplit/>
          <w:trHeight w:val="403"/>
        </w:trPr>
        <w:tc>
          <w:tcPr>
            <w:cnfStyle w:val="001000000000" w:firstRow="0" w:lastRow="0" w:firstColumn="1" w:lastColumn="0" w:oddVBand="0" w:evenVBand="0" w:oddHBand="0" w:evenHBand="0" w:firstRowFirstColumn="0" w:firstRowLastColumn="0" w:lastRowFirstColumn="0" w:lastRowLastColumn="0"/>
            <w:tcW w:w="2437" w:type="dxa"/>
            <w:tcBorders>
              <w:top w:val="none" w:sz="0" w:space="0" w:color="auto"/>
              <w:left w:val="none" w:sz="0" w:space="0" w:color="auto"/>
              <w:bottom w:val="none" w:sz="0" w:space="0" w:color="auto"/>
              <w:right w:val="none" w:sz="0" w:space="0" w:color="auto"/>
            </w:tcBorders>
          </w:tcPr>
          <w:p w:rsidR="000D3E2E" w:rsidRPr="00B64299" w:rsidRDefault="000D3E2E" w:rsidP="000D3E2E">
            <w:pPr>
              <w:jc w:val="left"/>
            </w:pPr>
            <w:r w:rsidRPr="00B64299">
              <w:t>Total</w:t>
            </w:r>
          </w:p>
          <w:p w:rsidR="000D3E2E" w:rsidRPr="00B64299" w:rsidRDefault="000D3E2E" w:rsidP="000D3E2E">
            <w:pPr>
              <w:jc w:val="left"/>
            </w:pPr>
            <w:r w:rsidRPr="00B64299">
              <w:t>%total</w:t>
            </w:r>
          </w:p>
        </w:tc>
        <w:tc>
          <w:tcPr>
            <w:tcW w:w="1276" w:type="dxa"/>
            <w:tcBorders>
              <w:top w:val="none" w:sz="0" w:space="0" w:color="auto"/>
              <w:left w:val="none" w:sz="0" w:space="0" w:color="auto"/>
              <w:bottom w:val="none" w:sz="0" w:space="0" w:color="auto"/>
              <w:right w:val="none" w:sz="0" w:space="0" w:color="auto"/>
            </w:tcBorders>
            <w:shd w:val="clear" w:color="auto" w:fill="BCAEA6"/>
          </w:tcPr>
          <w:p w:rsidR="000D3E2E" w:rsidRPr="00730EF9" w:rsidRDefault="000D3E2E" w:rsidP="000D3E2E">
            <w:pPr>
              <w:jc w:val="left"/>
              <w:cnfStyle w:val="010000000000" w:firstRow="0" w:lastRow="1" w:firstColumn="0" w:lastColumn="0" w:oddVBand="0" w:evenVBand="0" w:oddHBand="0" w:evenHBand="0" w:firstRowFirstColumn="0" w:firstRowLastColumn="0" w:lastRowFirstColumn="0" w:lastRowLastColumn="0"/>
              <w:rPr>
                <w:b w:val="0"/>
                <w:color w:val="auto"/>
              </w:rPr>
            </w:pPr>
            <w:r w:rsidRPr="00730EF9">
              <w:rPr>
                <w:b w:val="0"/>
                <w:color w:val="auto"/>
              </w:rPr>
              <w:t>9</w:t>
            </w:r>
          </w:p>
          <w:p w:rsidR="000D3E2E" w:rsidRPr="00730EF9" w:rsidRDefault="000D3E2E" w:rsidP="000D3E2E">
            <w:pPr>
              <w:jc w:val="left"/>
              <w:cnfStyle w:val="010000000000" w:firstRow="0" w:lastRow="1" w:firstColumn="0" w:lastColumn="0" w:oddVBand="0" w:evenVBand="0" w:oddHBand="0" w:evenHBand="0" w:firstRowFirstColumn="0" w:firstRowLastColumn="0" w:lastRowFirstColumn="0" w:lastRowLastColumn="0"/>
              <w:rPr>
                <w:b w:val="0"/>
                <w:color w:val="auto"/>
              </w:rPr>
            </w:pPr>
            <w:r w:rsidRPr="00730EF9">
              <w:rPr>
                <w:b w:val="0"/>
                <w:color w:val="auto"/>
              </w:rPr>
              <w:t>30%</w:t>
            </w:r>
          </w:p>
        </w:tc>
        <w:tc>
          <w:tcPr>
            <w:tcW w:w="1357" w:type="dxa"/>
            <w:tcBorders>
              <w:top w:val="none" w:sz="0" w:space="0" w:color="auto"/>
              <w:left w:val="none" w:sz="0" w:space="0" w:color="auto"/>
              <w:bottom w:val="none" w:sz="0" w:space="0" w:color="auto"/>
              <w:right w:val="none" w:sz="0" w:space="0" w:color="auto"/>
            </w:tcBorders>
            <w:shd w:val="clear" w:color="auto" w:fill="BCAEA6"/>
          </w:tcPr>
          <w:p w:rsidR="000D3E2E" w:rsidRPr="00730EF9" w:rsidRDefault="000D3E2E" w:rsidP="000D3E2E">
            <w:pPr>
              <w:jc w:val="left"/>
              <w:cnfStyle w:val="010000000000" w:firstRow="0" w:lastRow="1" w:firstColumn="0" w:lastColumn="0" w:oddVBand="0" w:evenVBand="0" w:oddHBand="0" w:evenHBand="0" w:firstRowFirstColumn="0" w:firstRowLastColumn="0" w:lastRowFirstColumn="0" w:lastRowLastColumn="0"/>
              <w:rPr>
                <w:b w:val="0"/>
                <w:color w:val="auto"/>
              </w:rPr>
            </w:pPr>
            <w:r w:rsidRPr="00730EF9">
              <w:rPr>
                <w:b w:val="0"/>
                <w:color w:val="auto"/>
              </w:rPr>
              <w:t>21</w:t>
            </w:r>
          </w:p>
          <w:p w:rsidR="000D3E2E" w:rsidRPr="00730EF9" w:rsidRDefault="000D3E2E" w:rsidP="000D3E2E">
            <w:pPr>
              <w:jc w:val="left"/>
              <w:cnfStyle w:val="010000000000" w:firstRow="0" w:lastRow="1" w:firstColumn="0" w:lastColumn="0" w:oddVBand="0" w:evenVBand="0" w:oddHBand="0" w:evenHBand="0" w:firstRowFirstColumn="0" w:firstRowLastColumn="0" w:lastRowFirstColumn="0" w:lastRowLastColumn="0"/>
              <w:rPr>
                <w:b w:val="0"/>
                <w:color w:val="auto"/>
              </w:rPr>
            </w:pPr>
            <w:r w:rsidRPr="00730EF9">
              <w:rPr>
                <w:b w:val="0"/>
                <w:color w:val="auto"/>
              </w:rPr>
              <w:t>70%</w:t>
            </w:r>
          </w:p>
        </w:tc>
        <w:tc>
          <w:tcPr>
            <w:cnfStyle w:val="000100000000" w:firstRow="0" w:lastRow="0" w:firstColumn="0" w:lastColumn="1" w:oddVBand="0" w:evenVBand="0" w:oddHBand="0" w:evenHBand="0" w:firstRowFirstColumn="0" w:firstRowLastColumn="0" w:lastRowFirstColumn="0" w:lastRowLastColumn="0"/>
            <w:tcW w:w="732" w:type="dxa"/>
            <w:tcBorders>
              <w:top w:val="none" w:sz="0" w:space="0" w:color="auto"/>
              <w:left w:val="none" w:sz="0" w:space="0" w:color="auto"/>
              <w:bottom w:val="none" w:sz="0" w:space="0" w:color="auto"/>
              <w:right w:val="none" w:sz="0" w:space="0" w:color="auto"/>
            </w:tcBorders>
            <w:shd w:val="clear" w:color="auto" w:fill="BCAEA6"/>
          </w:tcPr>
          <w:p w:rsidR="000D3E2E" w:rsidRPr="0090528B" w:rsidRDefault="000D3E2E" w:rsidP="000D3E2E">
            <w:pPr>
              <w:jc w:val="left"/>
              <w:rPr>
                <w:b w:val="0"/>
                <w:color w:val="auto"/>
              </w:rPr>
            </w:pPr>
            <w:r w:rsidRPr="0090528B">
              <w:rPr>
                <w:b w:val="0"/>
                <w:color w:val="auto"/>
              </w:rPr>
              <w:t>30</w:t>
            </w:r>
          </w:p>
          <w:p w:rsidR="000D3E2E" w:rsidRPr="0090528B" w:rsidRDefault="000D3E2E" w:rsidP="000D3E2E">
            <w:pPr>
              <w:jc w:val="left"/>
              <w:rPr>
                <w:b w:val="0"/>
                <w:color w:val="auto"/>
              </w:rPr>
            </w:pPr>
            <w:r w:rsidRPr="0090528B">
              <w:rPr>
                <w:b w:val="0"/>
                <w:color w:val="auto"/>
              </w:rPr>
              <w:t>100%</w:t>
            </w:r>
          </w:p>
        </w:tc>
      </w:tr>
    </w:tbl>
    <w:p w:rsidR="0090528B" w:rsidRDefault="00E507AF" w:rsidP="003F7C40">
      <w:r>
        <w:rPr>
          <w:noProof/>
          <w:lang w:eastAsia="es-ES"/>
        </w:rPr>
        <w:pict>
          <v:shapetype id="_x0000_t202" coordsize="21600,21600" o:spt="202" path="m,l,21600r21600,l21600,xe">
            <v:stroke joinstyle="miter"/>
            <v:path gradientshapeok="t" o:connecttype="rect"/>
          </v:shapetype>
          <v:shape id="_x0000_s1051" type="#_x0000_t202" style="position:absolute;left:0;text-align:left;margin-left:-27.35pt;margin-top:33pt;width:299.25pt;height:23.25pt;z-index:-251608064;mso-position-horizontal-relative:text;mso-position-vertical-relative:text" wrapcoords="0 0" filled="f" stroked="f">
            <v:textbox>
              <w:txbxContent>
                <w:p w:rsidR="00E507AF" w:rsidRDefault="00E507AF" w:rsidP="002C4EC4">
                  <w:pPr>
                    <w:pStyle w:val="Epgrafe"/>
                  </w:pPr>
                  <w:bookmarkStart w:id="27" w:name="_Toc512441278"/>
                  <w:r w:rsidRPr="00134F85">
                    <w:t xml:space="preserve">Tabla </w:t>
                  </w:r>
                  <w:fldSimple w:instr=" SEQ Tabla \* ARABIC ">
                    <w:r w:rsidRPr="00134F85">
                      <w:t>1</w:t>
                    </w:r>
                  </w:fldSimple>
                  <w:r w:rsidRPr="00134F85">
                    <w:t>. Tabla cruzada e</w:t>
                  </w:r>
                  <w:r>
                    <w:t>ntre hábito tabáquico y la edad.</w:t>
                  </w:r>
                  <w:bookmarkEnd w:id="27"/>
                </w:p>
                <w:p w:rsidR="00E507AF" w:rsidRPr="002C4EC4" w:rsidRDefault="00E507AF"/>
              </w:txbxContent>
            </v:textbox>
            <w10:wrap type="tight"/>
          </v:shape>
        </w:pict>
      </w:r>
      <w:r>
        <w:rPr>
          <w:noProof/>
        </w:rPr>
        <w:pict>
          <v:rect id="Rectángulo 6" o:spid="_x0000_s1045" style="position:absolute;left:0;text-align:left;margin-left:-27.35pt;margin-top:15pt;width:396.95pt;height:21.75pt;z-index:-251618304;visibility:visible;mso-wrap-distance-left:9pt;mso-wrap-distance-top:0;mso-wrap-distance-right:9pt;mso-wrap-distance-bottom:0;mso-position-horizontal-relative:text;mso-position-vertical-relative:text;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" filled="f" fillcolor="white [3212]" stroked="f" strokecolor="#ac956e [3206]" strokeweight="3pt">
            <v:textbox style="mso-next-textbox:#Rectángulo 6">
              <w:txbxContent>
                <w:p w:rsidR="00E507AF" w:rsidRPr="00134F85" w:rsidRDefault="00E507AF" w:rsidP="000D3E2E">
                  <w:pPr>
                    <w:pStyle w:val="Epgrafe"/>
                  </w:pPr>
                  <w:bookmarkStart w:id="28" w:name="_Toc512441279"/>
                  <w:r w:rsidRPr="00134F85">
                    <w:t>Figura 10. Diagrama de barras</w:t>
                  </w:r>
                  <w:r>
                    <w:t>: R</w:t>
                  </w:r>
                  <w:r w:rsidRPr="00134F85">
                    <w:t>elación entre edad y presencia de comorbilidades.</w:t>
                  </w:r>
                  <w:bookmarkEnd w:id="28"/>
                </w:p>
                <w:p w:rsidR="00E507AF" w:rsidRPr="000D3E2E" w:rsidRDefault="00E507AF" w:rsidP="000D3E2E"/>
                <w:p w:rsidR="00E507AF" w:rsidRPr="00730EF9" w:rsidRDefault="00E507AF" w:rsidP="003F7C40"/>
              </w:txbxContent>
            </v:textbox>
            <w10:wrap type="tight"/>
          </v:rect>
        </w:pict>
      </w:r>
      <w:r w:rsidR="000D3E2E">
        <w:rPr>
          <w:noProof/>
          <w:lang w:eastAsia="es-ES"/>
        </w:rPr>
        <w:drawing>
          <wp:anchor distT="0" distB="0" distL="114300" distR="114300" simplePos="0" relativeHeight="251696128" behindDoc="1" locked="0" layoutInCell="1" allowOverlap="1" wp14:anchorId="58D0E1F7" wp14:editId="6079A3EF">
            <wp:simplePos x="0" y="0"/>
            <wp:positionH relativeFrom="column">
              <wp:posOffset>3426460</wp:posOffset>
            </wp:positionH>
            <wp:positionV relativeFrom="paragraph">
              <wp:posOffset>495935</wp:posOffset>
            </wp:positionV>
            <wp:extent cx="2247900" cy="1736725"/>
            <wp:effectExtent l="0" t="0" r="0" b="0"/>
            <wp:wrapTight wrapText="bothSides">
              <wp:wrapPolygon edited="0">
                <wp:start x="0" y="0"/>
                <wp:lineTo x="0" y="21561"/>
                <wp:lineTo x="21600" y="21561"/>
                <wp:lineTo x="21600" y="0"/>
                <wp:lineTo x="0" y="0"/>
              </wp:wrapPolygon>
            </wp:wrapTight>
            <wp:docPr id="10" name="Gráfico 10"/>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14:sizeRelH relativeFrom="page">
              <wp14:pctWidth>0</wp14:pctWidth>
            </wp14:sizeRelH>
            <wp14:sizeRelV relativeFrom="page">
              <wp14:pctHeight>0</wp14:pctHeight>
            </wp14:sizeRelV>
          </wp:anchor>
        </w:drawing>
      </w:r>
      <w:r w:rsidR="0067534C">
        <w:t xml:space="preserve">Al analizar los datos recogidos se relacionaron entre sí, </w:t>
      </w:r>
      <w:r w:rsidR="00B95847">
        <w:t>encontramos</w:t>
      </w:r>
      <w:r w:rsidR="006B5E99">
        <w:t xml:space="preserve"> los siguientes resultados</w:t>
      </w:r>
      <w:r w:rsidR="0067534C">
        <w:t>:</w:t>
      </w:r>
    </w:p>
    <w:p w:rsidR="00AF7F2C" w:rsidRDefault="00E507AF" w:rsidP="00AF7F2C">
      <w:pPr>
        <w:pStyle w:val="Prrafodelista"/>
        <w:numPr>
          <w:ilvl w:val="0"/>
          <w:numId w:val="8"/>
        </w:numPr>
      </w:pPr>
      <w:r>
        <w:rPr>
          <w:noProof/>
          <w:lang w:eastAsia="es-ES"/>
        </w:rPr>
        <w:pict>
          <v:shape id="_x0000_s1046" type="#_x0000_t202" style="position:absolute;left:0;text-align:left;margin-left:226.35pt;margin-top:67.15pt;width:235.5pt;height:49.5pt;z-index:-251613184" wrapcoords="0 0" filled="f" stroked="f">
            <v:textbox style="mso-next-textbox:#_x0000_s1046">
              <w:txbxContent>
                <w:p w:rsidR="00E507AF" w:rsidRPr="00D94B1E" w:rsidRDefault="00E507AF" w:rsidP="00D94B1E">
                  <w:pPr>
                    <w:pStyle w:val="Epgrafe"/>
                  </w:pPr>
                  <w:bookmarkStart w:id="29" w:name="_Toc510797566"/>
                  <w:bookmarkStart w:id="30" w:name="_Toc512441280"/>
                  <w:r w:rsidRPr="00D94B1E">
                    <w:t>Figura 11. Diagrama de barras que representa la relación entre el sexo y la presencia de clínica neurológica al diagnóstico.</w:t>
                  </w:r>
                  <w:bookmarkEnd w:id="29"/>
                  <w:bookmarkEnd w:id="30"/>
                </w:p>
                <w:p w:rsidR="00E507AF" w:rsidRDefault="00E507AF"/>
              </w:txbxContent>
            </v:textbox>
            <w10:wrap type="tight"/>
          </v:shape>
        </w:pict>
      </w:r>
      <w:r w:rsidR="001F282C">
        <w:t xml:space="preserve">Se </w:t>
      </w:r>
      <w:r w:rsidR="00730EF9">
        <w:t xml:space="preserve">observó </w:t>
      </w:r>
      <w:r w:rsidR="00AF7F2C">
        <w:t>una</w:t>
      </w:r>
      <w:r w:rsidR="001F282C">
        <w:t xml:space="preserve"> relación </w:t>
      </w:r>
      <w:r w:rsidR="00730EF9">
        <w:t>entre</w:t>
      </w:r>
      <w:r w:rsidR="001F282C">
        <w:t xml:space="preserve"> la edad y el hábito tabáquico, y también </w:t>
      </w:r>
      <w:r w:rsidR="00730EF9">
        <w:t>entre la edad y</w:t>
      </w:r>
      <w:r w:rsidR="001F282C">
        <w:t xml:space="preserve"> la presencia de comorbilidad. </w:t>
      </w:r>
      <w:r w:rsidR="00DF61ED">
        <w:t xml:space="preserve">Los pacientes mayores de 60 </w:t>
      </w:r>
      <w:r w:rsidR="006B5E99">
        <w:t>años tenían más comorbilidades</w:t>
      </w:r>
      <w:r w:rsidR="00DF61ED">
        <w:t xml:space="preserve"> </w:t>
      </w:r>
      <w:r w:rsidR="006B5E99">
        <w:t>(</w:t>
      </w:r>
      <w:r w:rsidR="00DF61ED">
        <w:t>p=0.02</w:t>
      </w:r>
      <w:r w:rsidR="006B5E99">
        <w:t>)</w:t>
      </w:r>
      <w:r w:rsidR="00DF61ED">
        <w:t xml:space="preserve">. Además encontramos más pacientes expuestos al tabaco entre los </w:t>
      </w:r>
      <w:r w:rsidR="00F61E75">
        <w:t>menores</w:t>
      </w:r>
      <w:r w:rsidR="00DF61ED">
        <w:t xml:space="preserve"> de 60 con una OR</w:t>
      </w:r>
      <w:r w:rsidR="00F61E75">
        <w:t>=0.114 (IC 95% 0.18-0.716</w:t>
      </w:r>
      <w:r w:rsidR="00DF61ED">
        <w:t xml:space="preserve"> p=0.013</w:t>
      </w:r>
      <w:r w:rsidR="00F61E75">
        <w:t xml:space="preserve">), de forma que los pacientes menores de 60 tienen 8.77 más posibilidades de </w:t>
      </w:r>
      <w:r w:rsidR="006B5E99">
        <w:t xml:space="preserve">tener un hábito tabáquico </w:t>
      </w:r>
      <w:r w:rsidR="00F61E75">
        <w:t>que los mayores de 60 años</w:t>
      </w:r>
      <w:r w:rsidR="00DF61ED">
        <w:t>.</w:t>
      </w:r>
      <w:r w:rsidR="00B3352E" w:rsidRPr="00B3352E">
        <w:rPr>
          <w:noProof/>
          <w:lang w:eastAsia="es-ES"/>
        </w:rPr>
        <w:t xml:space="preserve"> </w:t>
      </w:r>
    </w:p>
    <w:p w:rsidR="00AD7442" w:rsidRDefault="00E507AF" w:rsidP="00AD7442">
      <w:pPr>
        <w:pStyle w:val="Prrafodelista"/>
        <w:numPr>
          <w:ilvl w:val="0"/>
          <w:numId w:val="7"/>
        </w:numPr>
      </w:pPr>
      <w:r>
        <w:rPr>
          <w:noProof/>
          <w:lang w:eastAsia="es-ES"/>
        </w:rPr>
        <w:pict>
          <v:shape id="_x0000_s1048" type="#_x0000_t202" style="position:absolute;left:0;text-align:left;margin-left:17.4pt;margin-top:250.2pt;width:451.95pt;height:50.05pt;z-index:-251612160" wrapcoords="0 0" filled="f" stroked="f">
            <v:textbox style="mso-next-textbox:#_x0000_s1048">
              <w:txbxContent>
                <w:p w:rsidR="00E507AF" w:rsidRDefault="00E507AF" w:rsidP="00D94B1E">
                  <w:pPr>
                    <w:pStyle w:val="Epgrafe"/>
                  </w:pPr>
                  <w:bookmarkStart w:id="31" w:name="_Toc510797567"/>
                  <w:bookmarkStart w:id="32" w:name="_Toc512441281"/>
                  <w:r>
                    <w:t>Figura 12.</w:t>
                  </w:r>
                  <w:r w:rsidRPr="00A401FA">
                    <w:t xml:space="preserve"> Diagrama de barras que representa la relación entre</w:t>
                  </w:r>
                  <w:r>
                    <w:t xml:space="preserve"> el consumo de alcohol y la presencia de clínica neurológica al diagnóstico.</w:t>
                  </w:r>
                  <w:bookmarkEnd w:id="31"/>
                  <w:bookmarkEnd w:id="32"/>
                </w:p>
                <w:p w:rsidR="00E507AF" w:rsidRPr="00A401FA" w:rsidRDefault="00E507AF" w:rsidP="00D94B1E">
                  <w:pPr>
                    <w:pStyle w:val="Epgrafe"/>
                  </w:pPr>
                  <w:bookmarkStart w:id="33" w:name="_Toc510797568"/>
                  <w:bookmarkStart w:id="34" w:name="_Toc512441282"/>
                  <w:r>
                    <w:t xml:space="preserve">Figura 13. </w:t>
                  </w:r>
                  <w:r w:rsidRPr="00A401FA">
                    <w:t>Diagrama de barras que representa la relación entre</w:t>
                  </w:r>
                  <w:r>
                    <w:t xml:space="preserve"> el sexo y el consumo de alcohol.</w:t>
                  </w:r>
                  <w:bookmarkEnd w:id="33"/>
                  <w:bookmarkEnd w:id="34"/>
                </w:p>
                <w:p w:rsidR="00E507AF" w:rsidRDefault="00E507AF"/>
              </w:txbxContent>
            </v:textbox>
            <w10:wrap type="tight"/>
          </v:shape>
        </w:pict>
      </w:r>
      <w:r w:rsidR="00D94B1E">
        <w:rPr>
          <w:noProof/>
          <w:lang w:eastAsia="es-ES"/>
        </w:rPr>
        <w:drawing>
          <wp:anchor distT="0" distB="0" distL="114300" distR="114300" simplePos="0" relativeHeight="251700224" behindDoc="1" locked="0" layoutInCell="1" allowOverlap="1" wp14:anchorId="310081EB" wp14:editId="7B84DE79">
            <wp:simplePos x="0" y="0"/>
            <wp:positionH relativeFrom="column">
              <wp:posOffset>2903220</wp:posOffset>
            </wp:positionH>
            <wp:positionV relativeFrom="paragraph">
              <wp:posOffset>1614805</wp:posOffset>
            </wp:positionV>
            <wp:extent cx="2676525" cy="1556385"/>
            <wp:effectExtent l="0" t="0" r="0" b="5715"/>
            <wp:wrapTight wrapText="bothSides">
              <wp:wrapPolygon edited="0">
                <wp:start x="0" y="0"/>
                <wp:lineTo x="0" y="21679"/>
                <wp:lineTo x="21523" y="21679"/>
                <wp:lineTo x="21523" y="0"/>
                <wp:lineTo x="0" y="0"/>
              </wp:wrapPolygon>
            </wp:wrapTight>
            <wp:docPr id="1" name="Gráfico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14:sizeRelH relativeFrom="page">
              <wp14:pctWidth>0</wp14:pctWidth>
            </wp14:sizeRelH>
            <wp14:sizeRelV relativeFrom="page">
              <wp14:pctHeight>0</wp14:pctHeight>
            </wp14:sizeRelV>
          </wp:anchor>
        </w:drawing>
      </w:r>
      <w:r w:rsidR="00D94B1E">
        <w:rPr>
          <w:noProof/>
          <w:lang w:eastAsia="es-ES"/>
        </w:rPr>
        <w:drawing>
          <wp:anchor distT="0" distB="0" distL="114300" distR="114300" simplePos="0" relativeHeight="251699200" behindDoc="1" locked="0" layoutInCell="1" allowOverlap="1" wp14:anchorId="3357BA73" wp14:editId="4798963C">
            <wp:simplePos x="0" y="0"/>
            <wp:positionH relativeFrom="column">
              <wp:posOffset>2903220</wp:posOffset>
            </wp:positionH>
            <wp:positionV relativeFrom="paragraph">
              <wp:posOffset>52705</wp:posOffset>
            </wp:positionV>
            <wp:extent cx="2677795" cy="1562100"/>
            <wp:effectExtent l="0" t="0" r="8255" b="0"/>
            <wp:wrapTight wrapText="bothSides">
              <wp:wrapPolygon edited="0">
                <wp:start x="0" y="0"/>
                <wp:lineTo x="0" y="21600"/>
                <wp:lineTo x="21667" y="21600"/>
                <wp:lineTo x="21667" y="0"/>
                <wp:lineTo x="0" y="0"/>
              </wp:wrapPolygon>
            </wp:wrapTight>
            <wp:docPr id="15" name="Gráfico 1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14:sizeRelH relativeFrom="page">
              <wp14:pctWidth>0</wp14:pctWidth>
            </wp14:sizeRelH>
            <wp14:sizeRelV relativeFrom="page">
              <wp14:pctHeight>0</wp14:pctHeight>
            </wp14:sizeRelV>
          </wp:anchor>
        </w:drawing>
      </w:r>
      <w:r w:rsidR="00D94B1E" w:rsidRPr="002C55F2">
        <w:rPr>
          <w:noProof/>
          <w:sz w:val="18"/>
          <w:szCs w:val="18"/>
          <w:lang w:eastAsia="es-ES"/>
        </w:rPr>
        <w:drawing>
          <wp:anchor distT="0" distB="0" distL="114300" distR="114300" simplePos="0" relativeHeight="251702272" behindDoc="1" locked="0" layoutInCell="1" allowOverlap="1" wp14:anchorId="43C84813" wp14:editId="7581D74B">
            <wp:simplePos x="0" y="0"/>
            <wp:positionH relativeFrom="column">
              <wp:posOffset>407670</wp:posOffset>
            </wp:positionH>
            <wp:positionV relativeFrom="paragraph">
              <wp:posOffset>1614805</wp:posOffset>
            </wp:positionV>
            <wp:extent cx="2491105" cy="1552575"/>
            <wp:effectExtent l="0" t="0" r="4445" b="0"/>
            <wp:wrapTight wrapText="bothSides">
              <wp:wrapPolygon edited="0">
                <wp:start x="0" y="0"/>
                <wp:lineTo x="0" y="21467"/>
                <wp:lineTo x="21639" y="21467"/>
                <wp:lineTo x="21639" y="0"/>
                <wp:lineTo x="0" y="0"/>
              </wp:wrapPolygon>
            </wp:wrapTight>
            <wp:docPr id="12" name="Gráfico 1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14:sizeRelH relativeFrom="page">
              <wp14:pctWidth>0</wp14:pctWidth>
            </wp14:sizeRelH>
            <wp14:sizeRelV relativeFrom="page">
              <wp14:pctHeight>0</wp14:pctHeight>
            </wp14:sizeRelV>
          </wp:anchor>
        </w:drawing>
      </w:r>
      <w:r w:rsidR="005B305F">
        <w:t xml:space="preserve">Encontramos que los hombres tenían 1.89 veces más probabilidad de beber alcohol que las mujeres </w:t>
      </w:r>
      <w:r w:rsidR="00730EF9">
        <w:t>(</w:t>
      </w:r>
      <w:r w:rsidR="005B305F">
        <w:t>p=0.005</w:t>
      </w:r>
      <w:r w:rsidR="00730EF9">
        <w:t>)</w:t>
      </w:r>
      <w:r w:rsidR="005B305F">
        <w:t>. Además, las mujeres presenta</w:t>
      </w:r>
      <w:r w:rsidR="00730EF9">
        <w:t>ban</w:t>
      </w:r>
      <w:r w:rsidR="005B305F">
        <w:t xml:space="preserve"> clínica neurológica al diagnóstico con una OR=5.31</w:t>
      </w:r>
      <w:r w:rsidR="00494357">
        <w:t xml:space="preserve"> (IC 95% 0.96-29.29</w:t>
      </w:r>
      <w:r w:rsidR="0020606F">
        <w:t xml:space="preserve"> p=0.046</w:t>
      </w:r>
      <w:r w:rsidR="00494357">
        <w:t xml:space="preserve">), es decir </w:t>
      </w:r>
      <w:r w:rsidR="0020606F">
        <w:t xml:space="preserve"> con </w:t>
      </w:r>
      <w:r w:rsidR="00494357">
        <w:t xml:space="preserve">5.31 veces más posibilidades </w:t>
      </w:r>
      <w:r w:rsidR="0020606F">
        <w:t>que los hombres</w:t>
      </w:r>
      <w:r w:rsidR="005B305F">
        <w:t>.</w:t>
      </w:r>
      <w:r w:rsidR="00F87F3E" w:rsidRPr="00F87F3E">
        <w:rPr>
          <w:noProof/>
          <w:lang w:eastAsia="es-ES"/>
        </w:rPr>
        <w:t xml:space="preserve"> </w:t>
      </w:r>
    </w:p>
    <w:p w:rsidR="00913661" w:rsidRDefault="005B305F" w:rsidP="00913661">
      <w:pPr>
        <w:pStyle w:val="Prrafodelista"/>
        <w:numPr>
          <w:ilvl w:val="0"/>
          <w:numId w:val="7"/>
        </w:numPr>
      </w:pPr>
      <w:r>
        <w:lastRenderedPageBreak/>
        <w:t>Respecto al alcohol se encontró relación con la presencia de clínica neurológica al diagnóstico. Los pacientes que no bebían alcohol presenta</w:t>
      </w:r>
      <w:r w:rsidR="00730EF9">
        <w:t>ban</w:t>
      </w:r>
      <w:r>
        <w:t xml:space="preserve"> con mayor frecuencia algún tipo de síntoma neurológico</w:t>
      </w:r>
      <w:r w:rsidR="00730EF9">
        <w:t xml:space="preserve">, el cual condujo </w:t>
      </w:r>
      <w:r>
        <w:t xml:space="preserve">al diagnóstico del aneurisma. Asimismo se halló que el consumo de alcohol guardaba relación con el tipo de materiales utilizados en la TEV: a los pacientes que no consumían alcohol se les puso </w:t>
      </w:r>
      <w:proofErr w:type="spellStart"/>
      <w:r>
        <w:t>stent</w:t>
      </w:r>
      <w:proofErr w:type="spellEnd"/>
      <w:r>
        <w:t xml:space="preserve"> con una mayor frecuencia (</w:t>
      </w:r>
      <w:r w:rsidR="00730EF9">
        <w:t>p=0.046)</w:t>
      </w:r>
      <w:r>
        <w:t>.</w:t>
      </w:r>
      <w:r w:rsidR="0020606F" w:rsidRPr="0020606F">
        <w:rPr>
          <w:noProof/>
          <w:sz w:val="18"/>
          <w:szCs w:val="18"/>
          <w:lang w:eastAsia="es-ES"/>
        </w:rPr>
        <w:t xml:space="preserve"> </w:t>
      </w:r>
    </w:p>
    <w:p w:rsidR="00AB772A" w:rsidRDefault="00AB772A" w:rsidP="001828C8">
      <w:pPr>
        <w:pStyle w:val="Prrafodelista"/>
        <w:numPr>
          <w:ilvl w:val="0"/>
          <w:numId w:val="7"/>
        </w:numPr>
      </w:pPr>
      <w:r>
        <w:t>Se observó una asociación entre la exposición al tabaco y el número de aneurismas. Ninguno de lo</w:t>
      </w:r>
      <w:r w:rsidR="001828C8">
        <w:t>s pacientes no expuestos poseía</w:t>
      </w:r>
      <w:r>
        <w:t xml:space="preserve"> más de un aneurisma y </w:t>
      </w:r>
      <w:r w:rsidR="001828C8">
        <w:t>el 47.6% de los sí expuestos tenía</w:t>
      </w:r>
      <w:r>
        <w:t xml:space="preserve"> más de un aneurisma (Chi-Cuadrado p=0.</w:t>
      </w:r>
      <w:r w:rsidR="00730EF9">
        <w:t>0</w:t>
      </w:r>
      <w:r>
        <w:t xml:space="preserve">11). También se vio que los pacientes que fumaban tenían aneurismas dependientes de la ACI y de la </w:t>
      </w:r>
      <w:proofErr w:type="spellStart"/>
      <w:r>
        <w:t>ACoA</w:t>
      </w:r>
      <w:proofErr w:type="spellEnd"/>
      <w:r>
        <w:t xml:space="preserve"> con mayor frecuencia que en otras localizaciones (Chi-Cuadrado p=0.</w:t>
      </w:r>
      <w:r w:rsidR="00730EF9">
        <w:t>0</w:t>
      </w:r>
      <w:r>
        <w:t>29).</w:t>
      </w:r>
    </w:p>
    <w:p w:rsidR="002701A3" w:rsidRDefault="00E507AF" w:rsidP="004A2FC1">
      <w:pPr>
        <w:pStyle w:val="Prrafodelista"/>
        <w:numPr>
          <w:ilvl w:val="0"/>
          <w:numId w:val="7"/>
        </w:numPr>
      </w:pPr>
      <w:r>
        <w:rPr>
          <w:noProof/>
          <w:lang w:eastAsia="es-ES"/>
        </w:rPr>
        <w:pict>
          <v:rect id="_x0000_s1050" style="position:absolute;left:0;text-align:left;margin-left:139.5pt;margin-top:110.55pt;width:392.55pt;height:22.35pt;z-index:-251610112" wrapcoords="0 0" filled="f" stroked="f">
            <v:textbox style="mso-next-textbox:#_x0000_s1050">
              <w:txbxContent>
                <w:p w:rsidR="00E507AF" w:rsidRPr="00734045" w:rsidRDefault="00E507AF" w:rsidP="00796C4E">
                  <w:pPr>
                    <w:pStyle w:val="Epgrafe"/>
                  </w:pPr>
                  <w:bookmarkStart w:id="35" w:name="_Toc512441283"/>
                  <w:r>
                    <w:t>Figura 14. Distribución de las localizaciones de los aneurismas según su tamaño</w:t>
                  </w:r>
                  <w:bookmarkEnd w:id="35"/>
                </w:p>
              </w:txbxContent>
            </v:textbox>
            <w10:wrap type="tight"/>
          </v:rect>
        </w:pict>
      </w:r>
      <w:r w:rsidR="00796C4E">
        <w:rPr>
          <w:noProof/>
          <w:lang w:eastAsia="es-ES"/>
        </w:rPr>
        <w:drawing>
          <wp:anchor distT="0" distB="0" distL="114300" distR="114300" simplePos="0" relativeHeight="251705344" behindDoc="0" locked="0" layoutInCell="1" allowOverlap="1" wp14:anchorId="1A32A03B" wp14:editId="2339AC69">
            <wp:simplePos x="0" y="0"/>
            <wp:positionH relativeFrom="column">
              <wp:posOffset>60960</wp:posOffset>
            </wp:positionH>
            <wp:positionV relativeFrom="paragraph">
              <wp:posOffset>1664335</wp:posOffset>
            </wp:positionV>
            <wp:extent cx="6353175" cy="2257425"/>
            <wp:effectExtent l="0" t="0" r="0" b="0"/>
            <wp:wrapSquare wrapText="bothSides"/>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14:sizeRelH relativeFrom="page">
              <wp14:pctWidth>0</wp14:pctWidth>
            </wp14:sizeRelH>
            <wp14:sizeRelV relativeFrom="page">
              <wp14:pctHeight>0</wp14:pctHeight>
            </wp14:sizeRelV>
          </wp:anchor>
        </w:drawing>
      </w:r>
      <w:r w:rsidR="00A60DFE">
        <w:t>Se vio</w:t>
      </w:r>
      <w:r w:rsidR="00B95847">
        <w:t xml:space="preserve"> que el tamaño del aneurisma </w:t>
      </w:r>
      <w:r w:rsidR="0071159E">
        <w:t>guardaba relación</w:t>
      </w:r>
      <w:r w:rsidR="00B95847">
        <w:t xml:space="preserve"> con la arteria de la cual dependía, de manera que los </w:t>
      </w:r>
      <w:r w:rsidR="00494357">
        <w:t>aneurismas de mayor tamaño</w:t>
      </w:r>
      <w:r w:rsidR="00B95847">
        <w:t xml:space="preserve"> se encontraron dependiendo de la ACI y de la ACM. La significaci</w:t>
      </w:r>
      <w:r w:rsidR="00B95847">
        <w:rPr>
          <w:rFonts w:hint="eastAsia"/>
        </w:rPr>
        <w:t>ó</w:t>
      </w:r>
      <w:r w:rsidR="00B95847">
        <w:t>n asint</w:t>
      </w:r>
      <w:r w:rsidR="00B95847">
        <w:rPr>
          <w:rFonts w:hint="eastAsia"/>
        </w:rPr>
        <w:t>ó</w:t>
      </w:r>
      <w:r w:rsidR="00B95847">
        <w:t>tica en la prueba Chi-</w:t>
      </w:r>
      <w:r w:rsidR="00494357">
        <w:t>Cuadrado de Pearson entre estas</w:t>
      </w:r>
      <w:r w:rsidR="00B95847">
        <w:t xml:space="preserve"> variables fue de 0,014 (p&lt;0.05).</w:t>
      </w:r>
      <w:r w:rsidR="0071159E">
        <w:t xml:space="preserve"> También se encontró asociación entre la morfología de los aneurismas y la localización de los mismos, de modo que los aneurismas saculares se encontraban en la circulación anterior mientras que en la posterior se hallaban los aneurismas que conten</w:t>
      </w:r>
      <w:r w:rsidR="0080226F">
        <w:t>ían lobulaciones (Chi-Cuadrado p=0.008)</w:t>
      </w:r>
      <w:r w:rsidR="00F61E75">
        <w:t>.</w:t>
      </w:r>
    </w:p>
    <w:p w:rsidR="000D66ED" w:rsidRDefault="000D66ED" w:rsidP="00796C4E">
      <w:pPr>
        <w:pStyle w:val="Prrafodelista"/>
        <w:spacing w:after="0"/>
        <w:sectPr w:rsidR="000D66ED" w:rsidSect="0090528B">
          <w:headerReference w:type="even" r:id="rId44"/>
          <w:headerReference w:type="default" r:id="rId45"/>
          <w:headerReference w:type="first" r:id="rId46"/>
          <w:type w:val="continuous"/>
          <w:pgSz w:w="11906" w:h="16838" w:code="9"/>
          <w:pgMar w:top="1134" w:right="1134" w:bottom="1134" w:left="1134" w:header="567" w:footer="567" w:gutter="1134"/>
          <w:cols w:space="708"/>
          <w:titlePg/>
          <w:docGrid w:linePitch="360"/>
        </w:sectPr>
      </w:pPr>
    </w:p>
    <w:p w:rsidR="000D66ED" w:rsidRDefault="00E507AF" w:rsidP="000D66ED">
      <w:pPr>
        <w:pStyle w:val="Prrafodelista"/>
      </w:pPr>
      <w:r>
        <w:rPr>
          <w:noProof/>
          <w:lang w:eastAsia="es-ES"/>
        </w:rPr>
        <w:pict>
          <v:shape id="_x0000_s1052" type="#_x0000_t202" style="position:absolute;left:0;text-align:left;margin-left:216.3pt;margin-top:196.45pt;width:221.25pt;height:32.25pt;z-index:-251607040" wrapcoords="0 0" filled="f" stroked="f">
            <v:textbox style="mso-next-textbox:#_x0000_s1052">
              <w:txbxContent>
                <w:p w:rsidR="00E507AF" w:rsidRPr="005A445E" w:rsidRDefault="00E507AF" w:rsidP="0041342B">
                  <w:pPr>
                    <w:pStyle w:val="Epgrafe"/>
                  </w:pPr>
                  <w:bookmarkStart w:id="36" w:name="_Toc512441284"/>
                  <w:r>
                    <w:t>Tabla 2.  Estimación de riesgo  para número de aneurismas y tamaño</w:t>
                  </w:r>
                  <w:bookmarkEnd w:id="36"/>
                </w:p>
              </w:txbxContent>
            </v:textbox>
            <w10:wrap type="square"/>
          </v:shape>
        </w:pict>
      </w:r>
    </w:p>
    <w:p w:rsidR="002701A3" w:rsidRDefault="00E507AF" w:rsidP="002C4EC4">
      <w:pPr>
        <w:pStyle w:val="Prrafodelista"/>
        <w:numPr>
          <w:ilvl w:val="0"/>
          <w:numId w:val="7"/>
        </w:numPr>
      </w:pPr>
      <w:r>
        <w:rPr>
          <w:noProof/>
          <w:lang w:eastAsia="es-ES"/>
        </w:rPr>
        <w:pict>
          <v:shape id="_x0000_s1053" type="#_x0000_t202" style="position:absolute;left:0;text-align:left;margin-left:216.3pt;margin-top:44.3pt;width:51pt;height:18pt;z-index:251710464" filled="f" stroked="f">
            <v:textbox>
              <w:txbxContent>
                <w:p w:rsidR="00E507AF" w:rsidRPr="0041342B" w:rsidRDefault="00E507AF" w:rsidP="0041342B">
                  <w:pPr>
                    <w:jc w:val="left"/>
                    <w:rPr>
                      <w:b/>
                      <w:i/>
                    </w:rPr>
                  </w:pPr>
                  <w:r>
                    <w:rPr>
                      <w:b/>
                      <w:i/>
                    </w:rPr>
                    <w:t>Tabla 2</w:t>
                  </w:r>
                </w:p>
              </w:txbxContent>
            </v:textbox>
          </v:shape>
        </w:pict>
      </w:r>
      <w:r w:rsidR="002C4EC4" w:rsidRPr="002C4EC4">
        <w:rPr>
          <w:noProof/>
          <w:lang w:eastAsia="es-ES"/>
        </w:rPr>
        <w:drawing>
          <wp:anchor distT="0" distB="0" distL="114300" distR="114300" simplePos="0" relativeHeight="251707392" behindDoc="0" locked="0" layoutInCell="1" allowOverlap="1" wp14:anchorId="0CB5C60F" wp14:editId="347BE6FF">
            <wp:simplePos x="0" y="0"/>
            <wp:positionH relativeFrom="column">
              <wp:posOffset>2718435</wp:posOffset>
            </wp:positionH>
            <wp:positionV relativeFrom="paragraph">
              <wp:posOffset>314960</wp:posOffset>
            </wp:positionV>
            <wp:extent cx="3811905" cy="1941195"/>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extLst>
                        <a:ext uri="{28A0092B-C50C-407E-A947-70E740481C1C}">
                          <a14:useLocalDpi xmlns:a14="http://schemas.microsoft.com/office/drawing/2010/main" val="0"/>
                        </a:ext>
                      </a:extLst>
                    </a:blip>
                    <a:stretch>
                      <a:fillRect/>
                    </a:stretch>
                  </pic:blipFill>
                  <pic:spPr>
                    <a:xfrm>
                      <a:off x="0" y="0"/>
                      <a:ext cx="3811905" cy="1941195"/>
                    </a:xfrm>
                    <a:prstGeom prst="rect">
                      <a:avLst/>
                    </a:prstGeom>
                  </pic:spPr>
                </pic:pic>
              </a:graphicData>
            </a:graphic>
            <wp14:sizeRelH relativeFrom="page">
              <wp14:pctWidth>0</wp14:pctWidth>
            </wp14:sizeRelH>
            <wp14:sizeRelV relativeFrom="page">
              <wp14:pctHeight>0</wp14:pctHeight>
            </wp14:sizeRelV>
          </wp:anchor>
        </w:drawing>
      </w:r>
      <w:r w:rsidR="002701A3">
        <w:t>Hallamos una OR de 8 (IC 95% 1.28-50.05) para los pacientes con un único ane</w:t>
      </w:r>
      <w:r w:rsidR="002C4EC4">
        <w:t>urisma y un tamaño menor de 5mm.</w:t>
      </w:r>
      <w:r w:rsidR="002701A3">
        <w:t xml:space="preserve"> Esto significa que los pacientes con un solo aneurisma tienen 8 veces más posibilidades de tener aneurismas más pequeños (Chi-Cuadrado de Pearson p=0.018).</w:t>
      </w:r>
      <w:r w:rsidR="002C4EC4" w:rsidRPr="002C4EC4">
        <w:rPr>
          <w:noProof/>
          <w:lang w:eastAsia="es-ES"/>
        </w:rPr>
        <w:t xml:space="preserve"> </w:t>
      </w:r>
    </w:p>
    <w:p w:rsidR="00C44778" w:rsidRDefault="006017E3" w:rsidP="00C44778">
      <w:pPr>
        <w:pStyle w:val="Prrafodelista"/>
        <w:numPr>
          <w:ilvl w:val="0"/>
          <w:numId w:val="7"/>
        </w:numPr>
      </w:pPr>
      <w:r>
        <w:t xml:space="preserve">Respecto a la antiagregación tras la intervención, </w:t>
      </w:r>
      <w:r w:rsidR="00600A9A">
        <w:t>ésta podía ser doble o simple. Se observó</w:t>
      </w:r>
      <w:r w:rsidR="00C44778">
        <w:t xml:space="preserve"> que el 81% de los pacientes que recibieron doble </w:t>
      </w:r>
      <w:r w:rsidR="00C44778">
        <w:lastRenderedPageBreak/>
        <w:t>antiagregación eran mujeres  mientras que los hombres tenían 5.31 más posibilidades de recibir antiagregación simple (OR=5.31 IC 95% 0.963-29.294 p=0.046</w:t>
      </w:r>
      <w:r w:rsidR="00A60DFE">
        <w:t>)</w:t>
      </w:r>
      <w:r w:rsidR="00C44778">
        <w:t xml:space="preserve">. Asimismo </w:t>
      </w:r>
      <w:r w:rsidR="00A158BF">
        <w:t xml:space="preserve"> los pacientes cuyo TEV implica la colocación de un </w:t>
      </w:r>
      <w:proofErr w:type="spellStart"/>
      <w:r w:rsidR="00A158BF">
        <w:t>stent</w:t>
      </w:r>
      <w:proofErr w:type="spellEnd"/>
      <w:r w:rsidR="00A158BF">
        <w:t xml:space="preserve"> tienen 40 veces más posibilidades de recibir doble antiagregación que los pacientes en los cuales únicamente se utilizaron coils. </w:t>
      </w:r>
      <w:r w:rsidR="00A60DFE">
        <w:t xml:space="preserve">Para </w:t>
      </w:r>
      <w:r w:rsidR="00A158BF">
        <w:t xml:space="preserve">6 de los 7 pacientes </w:t>
      </w:r>
      <w:r w:rsidR="00A60DFE">
        <w:t xml:space="preserve">en los cuales sólo se requirió </w:t>
      </w:r>
      <w:r w:rsidR="00A158BF">
        <w:t>el uso de coils recibieron antiagregación simple (Chi-Cuadrado de Pearson p=0.000).</w:t>
      </w:r>
    </w:p>
    <w:p w:rsidR="00F43E28" w:rsidRDefault="00A158BF" w:rsidP="00AF7F2C">
      <w:pPr>
        <w:pStyle w:val="Prrafodelista"/>
        <w:numPr>
          <w:ilvl w:val="0"/>
          <w:numId w:val="7"/>
        </w:numPr>
      </w:pPr>
      <w:r>
        <w:t xml:space="preserve">El número de intervenciones precisadas está relacionado </w:t>
      </w:r>
      <w:r w:rsidR="00193DAE">
        <w:t>con el fracaso del tratamiento. La significaci</w:t>
      </w:r>
      <w:r w:rsidR="00193DAE">
        <w:rPr>
          <w:rFonts w:hint="eastAsia"/>
        </w:rPr>
        <w:t>ó</w:t>
      </w:r>
      <w:r w:rsidR="00193DAE">
        <w:t>n asint</w:t>
      </w:r>
      <w:r w:rsidR="00193DAE">
        <w:rPr>
          <w:rFonts w:hint="eastAsia"/>
        </w:rPr>
        <w:t>ó</w:t>
      </w:r>
      <w:r w:rsidR="00193DAE">
        <w:t>tica en la prueba Chi-Cuadrado de Pearson entre estas variables fue de 0.000.</w:t>
      </w:r>
      <w:r w:rsidR="00412BCA">
        <w:t xml:space="preserve"> </w:t>
      </w:r>
    </w:p>
    <w:p w:rsidR="005B2838" w:rsidRDefault="00D25C8F" w:rsidP="00D25C8F">
      <w:pPr>
        <w:pStyle w:val="Prrafodelista"/>
        <w:numPr>
          <w:ilvl w:val="0"/>
          <w:numId w:val="7"/>
        </w:numPr>
      </w:pPr>
      <w:r w:rsidRPr="00000795">
        <w:rPr>
          <w:noProof/>
          <w:lang w:eastAsia="es-ES"/>
        </w:rPr>
        <w:drawing>
          <wp:anchor distT="0" distB="0" distL="114300" distR="114300" simplePos="0" relativeHeight="251711488" behindDoc="0" locked="0" layoutInCell="1" allowOverlap="1" wp14:anchorId="16B03AE6" wp14:editId="01D050F7">
            <wp:simplePos x="0" y="0"/>
            <wp:positionH relativeFrom="column">
              <wp:posOffset>-363855</wp:posOffset>
            </wp:positionH>
            <wp:positionV relativeFrom="paragraph">
              <wp:posOffset>553085</wp:posOffset>
            </wp:positionV>
            <wp:extent cx="2974340" cy="1743075"/>
            <wp:effectExtent l="0" t="0" r="0" b="0"/>
            <wp:wrapSquare wrapText="bothSides"/>
            <wp:docPr id="7" name="Gráfico 7"/>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14:sizeRelH relativeFrom="page">
              <wp14:pctWidth>0</wp14:pctWidth>
            </wp14:sizeRelH>
            <wp14:sizeRelV relativeFrom="page">
              <wp14:pctHeight>0</wp14:pctHeight>
            </wp14:sizeRelV>
          </wp:anchor>
        </w:drawing>
      </w:r>
      <w:r w:rsidR="006F6E87">
        <w:rPr>
          <w:noProof/>
          <w:lang w:eastAsia="es-ES"/>
        </w:rPr>
        <w:drawing>
          <wp:anchor distT="0" distB="0" distL="114300" distR="114300" simplePos="0" relativeHeight="251712512" behindDoc="0" locked="0" layoutInCell="1" allowOverlap="1" wp14:anchorId="18CCFE2F" wp14:editId="0B402226">
            <wp:simplePos x="0" y="0"/>
            <wp:positionH relativeFrom="column">
              <wp:posOffset>2607310</wp:posOffset>
            </wp:positionH>
            <wp:positionV relativeFrom="paragraph">
              <wp:posOffset>556260</wp:posOffset>
            </wp:positionV>
            <wp:extent cx="3209925" cy="1743075"/>
            <wp:effectExtent l="0" t="0" r="0" b="0"/>
            <wp:wrapSquare wrapText="bothSides"/>
            <wp:docPr id="8" name="Gráfico 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14:sizeRelH relativeFrom="page">
              <wp14:pctWidth>0</wp14:pctWidth>
            </wp14:sizeRelH>
            <wp14:sizeRelV relativeFrom="page">
              <wp14:pctHeight>0</wp14:pctHeight>
            </wp14:sizeRelV>
          </wp:anchor>
        </w:drawing>
      </w:r>
      <w:r w:rsidR="005B2838">
        <w:t>No se encontró relación</w:t>
      </w:r>
      <w:r w:rsidR="00F43E28">
        <w:t xml:space="preserve"> </w:t>
      </w:r>
      <w:r w:rsidR="00412BCA">
        <w:t>entre el número de intervenciones realizadas y los antecedentes personales de HSA</w:t>
      </w:r>
      <w:r w:rsidR="00195D6F">
        <w:t xml:space="preserve"> </w:t>
      </w:r>
      <w:r w:rsidR="005B2838">
        <w:t>(</w:t>
      </w:r>
      <w:r w:rsidR="00195D6F">
        <w:t>p=0.051</w:t>
      </w:r>
      <w:r w:rsidR="005B2838">
        <w:t>).</w:t>
      </w:r>
      <w:r w:rsidR="006F6E87" w:rsidRPr="006F6E87">
        <w:rPr>
          <w:noProof/>
          <w:lang w:eastAsia="es-ES"/>
        </w:rPr>
        <w:t xml:space="preserve"> </w:t>
      </w:r>
    </w:p>
    <w:p w:rsidR="00E507AF" w:rsidRDefault="002F70CD" w:rsidP="00D25C8F">
      <w:pPr>
        <w:pStyle w:val="Prrafodelista"/>
        <w:numPr>
          <w:ilvl w:val="0"/>
          <w:numId w:val="7"/>
        </w:numPr>
      </w:pPr>
      <w:r>
        <w:rPr>
          <w:noProof/>
          <w:lang w:eastAsia="es-ES"/>
        </w:rPr>
        <w:pict>
          <v:shape id="_x0000_s1055" type="#_x0000_t202" style="position:absolute;left:0;text-align:left;margin-left:-15.9pt;margin-top:151.8pt;width:440.25pt;height:48pt;z-index:-251602944" wrapcoords="0 0" filled="f" stroked="f">
            <v:textbox>
              <w:txbxContent>
                <w:p w:rsidR="00E507AF" w:rsidRDefault="00E507AF" w:rsidP="00D25C8F">
                  <w:pPr>
                    <w:pStyle w:val="Epgrafe"/>
                  </w:pPr>
                  <w:bookmarkStart w:id="37" w:name="_Toc512441285"/>
                  <w:r>
                    <w:t>Figura 15. Diagrama de barras que relaciona la técnica del TEV con el tipo de antiagregación.</w:t>
                  </w:r>
                  <w:bookmarkEnd w:id="37"/>
                </w:p>
                <w:p w:rsidR="00E507AF" w:rsidRPr="00D25C8F" w:rsidRDefault="00E507AF" w:rsidP="00D25C8F">
                  <w:pPr>
                    <w:pStyle w:val="Epgrafe"/>
                  </w:pPr>
                  <w:bookmarkStart w:id="38" w:name="_Toc512441286"/>
                  <w:r>
                    <w:t>Figura 16.Diagrama de barras que relaciona los antecedentes de HSA y el número de intervenciones realizadas.</w:t>
                  </w:r>
                  <w:bookmarkEnd w:id="38"/>
                </w:p>
              </w:txbxContent>
            </v:textbox>
            <w10:wrap type="tight"/>
          </v:shape>
        </w:pict>
      </w:r>
      <w:r>
        <w:t>No encontramos relación entre el tamaño del aneurisma y la presencia o no de complicaciones (p=0.246), ni tampoco entre el tamaño y el grado de oclusión del aneurisma (p=0.627).</w:t>
      </w:r>
    </w:p>
    <w:p w:rsidR="002F70CD" w:rsidRDefault="002F70CD" w:rsidP="00D25C8F">
      <w:pPr>
        <w:pStyle w:val="Prrafodelista"/>
        <w:numPr>
          <w:ilvl w:val="0"/>
          <w:numId w:val="7"/>
        </w:numPr>
      </w:pPr>
      <w:r>
        <w:t>No se vio relación entre la edad y la presencia o no de complicaciones (Chi-Cuadrado de Pearson p=0.321), ni tampoco entre la edad y la oclusión del aneurisma (p=0.773).</w:t>
      </w:r>
    </w:p>
    <w:p w:rsidR="00E507AF" w:rsidRDefault="002F70CD" w:rsidP="007A212F">
      <w:pPr>
        <w:pStyle w:val="Prrafodelista"/>
        <w:numPr>
          <w:ilvl w:val="0"/>
          <w:numId w:val="7"/>
        </w:numPr>
      </w:pPr>
      <w:r>
        <w:t xml:space="preserve">No hallamos que las variables localización  </w:t>
      </w:r>
      <w:r w:rsidR="001828C8">
        <w:t xml:space="preserve">y </w:t>
      </w:r>
      <w:r w:rsidR="007A212F">
        <w:t xml:space="preserve"> la presencia de complicaciones estuvieran asociadas (Chi-Cuadrado p=0.079).</w:t>
      </w:r>
      <w:bookmarkStart w:id="39" w:name="_GoBack"/>
      <w:bookmarkEnd w:id="39"/>
    </w:p>
    <w:p w:rsidR="0054730A" w:rsidRDefault="0054730A" w:rsidP="0054730A">
      <w:pPr>
        <w:pStyle w:val="Ttulo1"/>
      </w:pPr>
      <w:bookmarkStart w:id="40" w:name="_Toc512441308"/>
      <w:r>
        <w:t>Discusión</w:t>
      </w:r>
      <w:bookmarkEnd w:id="40"/>
    </w:p>
    <w:p w:rsidR="0054730A" w:rsidRDefault="0054730A" w:rsidP="0054730A">
      <w:pPr>
        <w:pStyle w:val="Ttulo1"/>
      </w:pPr>
      <w:bookmarkStart w:id="41" w:name="_Toc512441309"/>
      <w:r>
        <w:t>Conclusiones</w:t>
      </w:r>
      <w:bookmarkEnd w:id="41"/>
    </w:p>
    <w:p w:rsidR="00193DAE" w:rsidRPr="007C53E5" w:rsidRDefault="0054730A" w:rsidP="00412BCA">
      <w:pPr>
        <w:pStyle w:val="Ttulo1"/>
      </w:pPr>
      <w:bookmarkStart w:id="42" w:name="_Toc512441310"/>
      <w:r>
        <w:t>Bibliografí</w:t>
      </w:r>
      <w:r w:rsidR="00412BCA">
        <w:t>a</w:t>
      </w:r>
      <w:bookmarkEnd w:id="42"/>
    </w:p>
    <w:sectPr w:rsidR="00193DAE" w:rsidRPr="007C53E5" w:rsidSect="0090528B">
      <w:type w:val="continuous"/>
      <w:pgSz w:w="11906" w:h="16838" w:code="9"/>
      <w:pgMar w:top="1134" w:right="1134" w:bottom="1134" w:left="1134" w:header="567" w:footer="567" w:gutter="113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7127" w:rsidRDefault="00227127" w:rsidP="00B07406">
      <w:pPr>
        <w:spacing w:after="0" w:line="240" w:lineRule="auto"/>
      </w:pPr>
      <w:r>
        <w:separator/>
      </w:r>
    </w:p>
  </w:endnote>
  <w:endnote w:type="continuationSeparator" w:id="0">
    <w:p w:rsidR="00227127" w:rsidRDefault="00227127"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MS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73"/>
      <w:gridCol w:w="7861"/>
    </w:tblGrid>
    <w:tr w:rsidR="00E507AF">
      <w:tc>
        <w:tcPr>
          <w:tcW w:w="500" w:type="pct"/>
          <w:tcBorders>
            <w:top w:val="single" w:sz="4" w:space="0" w:color="554740" w:themeColor="accent2" w:themeShade="BF"/>
          </w:tcBorders>
          <w:shd w:val="clear" w:color="auto" w:fill="554740" w:themeFill="accent2" w:themeFillShade="BF"/>
        </w:tcPr>
        <w:p w:rsidR="00E507AF" w:rsidRDefault="00E507AF">
          <w:pPr>
            <w:pStyle w:val="Piedepgina"/>
            <w:jc w:val="right"/>
            <w:rPr>
              <w:b/>
              <w:color w:val="FFFFFF" w:themeColor="background1"/>
            </w:rPr>
          </w:pPr>
          <w:r>
            <w:fldChar w:fldCharType="begin"/>
          </w:r>
          <w:r>
            <w:instrText xml:space="preserve"> PAGE   \* MERGEFORMAT </w:instrText>
          </w:r>
          <w:r>
            <w:fldChar w:fldCharType="separate"/>
          </w:r>
          <w:r w:rsidR="007A212F" w:rsidRPr="007A212F">
            <w:rPr>
              <w:noProof/>
              <w:color w:val="FFFFFF" w:themeColor="background1"/>
            </w:rPr>
            <w:t>10</w:t>
          </w:r>
          <w:r>
            <w:rPr>
              <w:noProof/>
              <w:color w:val="FFFFFF" w:themeColor="background1"/>
            </w:rPr>
            <w:fldChar w:fldCharType="end"/>
          </w:r>
        </w:p>
      </w:tc>
      <w:tc>
        <w:tcPr>
          <w:tcW w:w="4500" w:type="pct"/>
          <w:tcBorders>
            <w:top w:val="single" w:sz="4" w:space="0" w:color="auto"/>
          </w:tcBorders>
        </w:tcPr>
        <w:p w:rsidR="00E507AF" w:rsidRDefault="00E507AF">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Content>
              <w:r>
                <w:rPr>
                  <w:i/>
                </w:rPr>
                <w:t>Lourdes Isabel Ruiz Ortega</w:t>
              </w:r>
            </w:sdtContent>
          </w:sdt>
          <w:r>
            <w:t xml:space="preserve"> | </w:t>
          </w:r>
          <w:sdt>
            <w:sdtPr>
              <w:rPr>
                <w:i/>
              </w:r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Content>
              <w:r>
                <w:rPr>
                  <w:i/>
                </w:rPr>
                <w:t>Grado en Medicina – Facultad de Medicina y Ciencias de la salud - Universidad de Oviedo</w:t>
              </w:r>
            </w:sdtContent>
          </w:sdt>
        </w:p>
      </w:tc>
    </w:tr>
  </w:tbl>
  <w:p w:rsidR="00E507AF" w:rsidRDefault="00E507A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E507AF">
      <w:tc>
        <w:tcPr>
          <w:tcW w:w="4500" w:type="pct"/>
          <w:tcBorders>
            <w:top w:val="single" w:sz="4" w:space="0" w:color="000000" w:themeColor="text1"/>
          </w:tcBorders>
        </w:tcPr>
        <w:p w:rsidR="00E507AF" w:rsidRDefault="00E507AF"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Content>
              <w:r>
                <w:t>Grado en Medicina – Facultad de Medicina y Ciencias de la salud - Universidad de Oviedo</w:t>
              </w:r>
            </w:sdtContent>
          </w:sdt>
          <w:r>
            <w:t xml:space="preserve"> |</w:t>
          </w:r>
          <w:r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Content>
              <w:r>
                <w:rPr>
                  <w:i/>
                </w:rPr>
                <w:t>Lourdes Isabel Ruiz Ortega</w:t>
              </w:r>
            </w:sdtContent>
          </w:sdt>
        </w:p>
      </w:tc>
      <w:tc>
        <w:tcPr>
          <w:tcW w:w="500" w:type="pct"/>
          <w:tcBorders>
            <w:top w:val="single" w:sz="4" w:space="0" w:color="726056" w:themeColor="accent2"/>
          </w:tcBorders>
          <w:shd w:val="clear" w:color="auto" w:fill="554740" w:themeFill="accent2" w:themeFillShade="BF"/>
        </w:tcPr>
        <w:p w:rsidR="00E507AF" w:rsidRDefault="00E507AF">
          <w:pPr>
            <w:pStyle w:val="Encabezado"/>
            <w:rPr>
              <w:color w:val="FFFFFF" w:themeColor="background1"/>
            </w:rPr>
          </w:pPr>
          <w:r>
            <w:fldChar w:fldCharType="begin"/>
          </w:r>
          <w:r>
            <w:instrText xml:space="preserve"> PAGE   \* MERGEFORMAT </w:instrText>
          </w:r>
          <w:r>
            <w:fldChar w:fldCharType="separate"/>
          </w:r>
          <w:r w:rsidR="007A212F" w:rsidRPr="007A212F">
            <w:rPr>
              <w:noProof/>
              <w:color w:val="FFFFFF" w:themeColor="background1"/>
            </w:rPr>
            <w:t>15</w:t>
          </w:r>
          <w:r>
            <w:rPr>
              <w:noProof/>
              <w:color w:val="FFFFFF" w:themeColor="background1"/>
            </w:rPr>
            <w:fldChar w:fldCharType="end"/>
          </w:r>
        </w:p>
      </w:tc>
    </w:tr>
  </w:tbl>
  <w:p w:rsidR="00E507AF" w:rsidRDefault="00E507AF" w:rsidP="00010FA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E507AF" w:rsidTr="009D1163">
      <w:tc>
        <w:tcPr>
          <w:tcW w:w="4500" w:type="pct"/>
          <w:tcBorders>
            <w:top w:val="single" w:sz="4" w:space="0" w:color="000000" w:themeColor="text1"/>
          </w:tcBorders>
        </w:tcPr>
        <w:p w:rsidR="00E507AF" w:rsidRDefault="00E507AF" w:rsidP="00F308D9">
          <w:pPr>
            <w:pStyle w:val="Piedepgina"/>
            <w:jc w:val="right"/>
          </w:pPr>
          <w:sdt>
            <w:sdt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Content>
              <w:r>
                <w:t>Grado en Medicina – Facultad de Medicina y Ciencias de la salud - Universidad de Oviedo</w:t>
              </w:r>
            </w:sdtContent>
          </w:sdt>
          <w:r>
            <w:t xml:space="preserve"> |</w:t>
          </w:r>
          <w:r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Content>
              <w:r>
                <w:rPr>
                  <w:i/>
                </w:rPr>
                <w:t>Lourdes Isabel Ruiz Ortega</w:t>
              </w:r>
            </w:sdtContent>
          </w:sdt>
        </w:p>
      </w:tc>
      <w:tc>
        <w:tcPr>
          <w:tcW w:w="500" w:type="pct"/>
          <w:tcBorders>
            <w:top w:val="single" w:sz="4" w:space="0" w:color="726056" w:themeColor="accent2"/>
          </w:tcBorders>
          <w:shd w:val="clear" w:color="auto" w:fill="554740" w:themeFill="accent2" w:themeFillShade="BF"/>
        </w:tcPr>
        <w:p w:rsidR="00E507AF" w:rsidRDefault="00E507AF" w:rsidP="009D1163">
          <w:pPr>
            <w:pStyle w:val="Encabezado"/>
            <w:rPr>
              <w:color w:val="FFFFFF" w:themeColor="background1"/>
            </w:rPr>
          </w:pPr>
          <w:r>
            <w:fldChar w:fldCharType="begin"/>
          </w:r>
          <w:r>
            <w:instrText xml:space="preserve"> PAGE   \* MERGEFORMAT </w:instrText>
          </w:r>
          <w:r>
            <w:fldChar w:fldCharType="separate"/>
          </w:r>
          <w:r w:rsidR="007A212F" w:rsidRPr="007A212F">
            <w:rPr>
              <w:noProof/>
              <w:color w:val="FFFFFF" w:themeColor="background1"/>
            </w:rPr>
            <w:t>1</w:t>
          </w:r>
          <w:r>
            <w:rPr>
              <w:noProof/>
              <w:color w:val="FFFFFF" w:themeColor="background1"/>
            </w:rPr>
            <w:fldChar w:fldCharType="end"/>
          </w:r>
        </w:p>
      </w:tc>
    </w:tr>
  </w:tbl>
  <w:p w:rsidR="00E507AF" w:rsidRDefault="00E507AF" w:rsidP="0098574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7127" w:rsidRDefault="00227127" w:rsidP="00B07406">
      <w:pPr>
        <w:spacing w:after="0" w:line="240" w:lineRule="auto"/>
      </w:pPr>
      <w:r>
        <w:separator/>
      </w:r>
    </w:p>
  </w:footnote>
  <w:footnote w:type="continuationSeparator" w:id="0">
    <w:p w:rsidR="00227127" w:rsidRDefault="00227127" w:rsidP="00B07406">
      <w:pPr>
        <w:spacing w:after="0" w:line="240" w:lineRule="auto"/>
      </w:pPr>
      <w:r>
        <w:continuationSeparator/>
      </w:r>
    </w:p>
  </w:footnote>
  <w:footnote w:id="1">
    <w:p w:rsidR="00E507AF" w:rsidRDefault="00E507AF" w:rsidP="00F308D9">
      <w:pPr>
        <w:pStyle w:val="Textonotapie"/>
      </w:pPr>
      <w:r>
        <w:rPr>
          <w:rStyle w:val="Refdenotaalpie"/>
        </w:rPr>
        <w:footnoteRef/>
      </w:r>
      <w:r>
        <w:t xml:space="preserve"> International </w:t>
      </w:r>
      <w:proofErr w:type="spellStart"/>
      <w:r>
        <w:t>Study</w:t>
      </w:r>
      <w:proofErr w:type="spellEnd"/>
      <w:r>
        <w:t xml:space="preserve"> of </w:t>
      </w:r>
      <w:proofErr w:type="spellStart"/>
      <w:r>
        <w:t>Unruptured</w:t>
      </w:r>
      <w:proofErr w:type="spellEnd"/>
      <w:r>
        <w:t xml:space="preserve"> </w:t>
      </w:r>
      <w:proofErr w:type="spellStart"/>
      <w:r>
        <w:t>Intracranial</w:t>
      </w:r>
      <w:proofErr w:type="spellEnd"/>
      <w:r>
        <w:t xml:space="preserve"> </w:t>
      </w:r>
      <w:proofErr w:type="spellStart"/>
      <w:r>
        <w:t>Aneusysms</w:t>
      </w:r>
      <w:proofErr w:type="spellEnd"/>
      <w:r>
        <w:t xml:space="preserve"> </w:t>
      </w:r>
      <w:proofErr w:type="spellStart"/>
      <w:r>
        <w:t>Investigators</w:t>
      </w:r>
      <w:proofErr w:type="spellEnd"/>
      <w:r>
        <w:t xml:space="preserve"> (ISUIA), un estudio dirigido por la Clínica Mayo y patrocinada por los </w:t>
      </w:r>
      <w:proofErr w:type="spellStart"/>
      <w:r>
        <w:t>National</w:t>
      </w:r>
      <w:proofErr w:type="spellEnd"/>
      <w:r>
        <w:t xml:space="preserve"> </w:t>
      </w:r>
      <w:proofErr w:type="spellStart"/>
      <w:r>
        <w:t>Institutes</w:t>
      </w:r>
      <w:proofErr w:type="spellEnd"/>
      <w:r>
        <w:t xml:space="preserve"> of </w:t>
      </w:r>
      <w:proofErr w:type="spellStart"/>
      <w:r>
        <w:t>Health</w:t>
      </w:r>
      <w:proofErr w:type="spellEnd"/>
      <w:r>
        <w:t xml:space="preserve"> (</w:t>
      </w:r>
      <w:proofErr w:type="spellStart"/>
      <w:r>
        <w:t>NIHs</w:t>
      </w:r>
      <w:proofErr w:type="spellEnd"/>
      <w:r>
        <w:t xml:space="preserve">). Es el mayor estudio </w:t>
      </w:r>
      <w:proofErr w:type="spellStart"/>
      <w:r>
        <w:t>multicéntrico</w:t>
      </w:r>
      <w:proofErr w:type="spellEnd"/>
      <w:r>
        <w:t xml:space="preserve"> realizado hasta el momento sobre los aneurismas intracraneales no rotos, cuyo fin es describir la historia natural del aneurisma y evaluar el riesgo asociado con su intervención en comparación con la observación. </w:t>
      </w:r>
    </w:p>
  </w:footnote>
  <w:footnote w:id="2">
    <w:p w:rsidR="00E507AF" w:rsidRDefault="00E507AF">
      <w:pPr>
        <w:pStyle w:val="Textonotapie"/>
      </w:pPr>
      <w:r>
        <w:rPr>
          <w:rStyle w:val="Refdenotaalpie"/>
        </w:rPr>
        <w:footnoteRef/>
      </w:r>
      <w:r>
        <w:t xml:space="preserve"> Coils: especie de muelle o espiral de material blando, generalmente de platino, muy fino, que se utiliza para la embolización de aneurismas o malformaciones </w:t>
      </w:r>
      <w:proofErr w:type="spellStart"/>
      <w:r>
        <w:t>arteriovenosas</w:t>
      </w:r>
      <w:proofErr w:type="spellEnd"/>
      <w:r>
        <w:t xml:space="preserve">.   </w:t>
      </w:r>
    </w:p>
  </w:footnote>
  <w:footnote w:id="3">
    <w:p w:rsidR="00E507AF" w:rsidRDefault="00E507AF" w:rsidP="00F308D9">
      <w:pPr>
        <w:pStyle w:val="Textonotapie"/>
        <w:spacing w:line="276" w:lineRule="auto"/>
      </w:pPr>
      <w:r>
        <w:rPr>
          <w:rStyle w:val="Refdenotaalpie"/>
        </w:rPr>
        <w:footnoteRef/>
      </w:r>
      <w:r>
        <w:t xml:space="preserve"> International </w:t>
      </w:r>
      <w:proofErr w:type="spellStart"/>
      <w:r>
        <w:t>Subarachnoid</w:t>
      </w:r>
      <w:proofErr w:type="spellEnd"/>
      <w:r>
        <w:t xml:space="preserve"> </w:t>
      </w:r>
      <w:proofErr w:type="spellStart"/>
      <w:r>
        <w:t>Aneurysm</w:t>
      </w:r>
      <w:proofErr w:type="spellEnd"/>
      <w:r>
        <w:t xml:space="preserve"> Trial (ISAT), ensayo clínico </w:t>
      </w:r>
      <w:proofErr w:type="spellStart"/>
      <w:r>
        <w:t>multicéntrico</w:t>
      </w:r>
      <w:proofErr w:type="spellEnd"/>
      <w:r>
        <w:t xml:space="preserve">, prospectivo, aleatorizado, que comparó la eficacia y seguridad entre el tratamiento endovascular con coils y el tratamiento </w:t>
      </w:r>
      <w:proofErr w:type="spellStart"/>
      <w:r>
        <w:t>neuroquirúrgico</w:t>
      </w:r>
      <w:proofErr w:type="spellEnd"/>
      <w:r>
        <w:t xml:space="preserve"> con clip para el tratamiento de aneurismas cerebrales rotos.</w:t>
      </w:r>
    </w:p>
  </w:footnote>
  <w:footnote w:id="4">
    <w:p w:rsidR="00E507AF" w:rsidRDefault="00E507AF">
      <w:pPr>
        <w:pStyle w:val="Textonotapie"/>
      </w:pPr>
      <w:r>
        <w:rPr>
          <w:rStyle w:val="Refdenotaalpie"/>
        </w:rPr>
        <w:footnoteRef/>
      </w:r>
      <w:proofErr w:type="spellStart"/>
      <w:r>
        <w:t>Analysis</w:t>
      </w:r>
      <w:proofErr w:type="spellEnd"/>
      <w:r>
        <w:t xml:space="preserve"> of </w:t>
      </w:r>
      <w:proofErr w:type="spellStart"/>
      <w:r>
        <w:t>Treatment</w:t>
      </w:r>
      <w:proofErr w:type="spellEnd"/>
      <w:r>
        <w:t xml:space="preserve"> </w:t>
      </w:r>
      <w:proofErr w:type="spellStart"/>
      <w:r>
        <w:t>by</w:t>
      </w:r>
      <w:proofErr w:type="spellEnd"/>
      <w:r>
        <w:t xml:space="preserve"> Endovascular </w:t>
      </w:r>
      <w:proofErr w:type="spellStart"/>
      <w:r>
        <w:t>approach</w:t>
      </w:r>
      <w:proofErr w:type="spellEnd"/>
      <w:r>
        <w:t xml:space="preserve"> of Non </w:t>
      </w:r>
      <w:proofErr w:type="spellStart"/>
      <w:r>
        <w:t>ruptured</w:t>
      </w:r>
      <w:proofErr w:type="spellEnd"/>
      <w:r>
        <w:t xml:space="preserve"> </w:t>
      </w:r>
      <w:proofErr w:type="spellStart"/>
      <w:r>
        <w:t>Aneurysms</w:t>
      </w:r>
      <w:proofErr w:type="spellEnd"/>
      <w:r>
        <w:t xml:space="preserve"> (ATENA), un estudio prospectivo </w:t>
      </w:r>
      <w:proofErr w:type="spellStart"/>
      <w:r>
        <w:t>multicéntrico</w:t>
      </w:r>
      <w:proofErr w:type="spellEnd"/>
      <w:r>
        <w:t xml:space="preserve"> realizado en Francia y Canadá para evaluar los resultados y los riesgos del tratamiento endovascular en aneurismas intracraneales no rotos. Fue dirigido por la Sociedad Francesa de </w:t>
      </w:r>
      <w:proofErr w:type="spellStart"/>
      <w:r>
        <w:t>Neurorradiología</w:t>
      </w:r>
      <w:proofErr w:type="spellEnd"/>
      <w:r>
        <w:t xml:space="preserve"> (SFNR) para evaluar los resultados del tratamiento endovascular a corto y largo plazo. </w:t>
      </w:r>
    </w:p>
  </w:footnote>
  <w:footnote w:id="5">
    <w:p w:rsidR="00E507AF" w:rsidRDefault="00E507AF" w:rsidP="00C0490A">
      <w:pPr>
        <w:pStyle w:val="Textonotaalfinal"/>
      </w:pPr>
      <w:r>
        <w:rPr>
          <w:rStyle w:val="Refdenotaalpie"/>
        </w:rPr>
        <w:footnoteRef/>
      </w:r>
      <w:r>
        <w:t xml:space="preserve">Se utiliza un catéter-balón que se coloca en el cuello del aneurisma se hincha de manera intermitente con la colocación de cada </w:t>
      </w:r>
      <w:proofErr w:type="spellStart"/>
      <w:r>
        <w:t>coil</w:t>
      </w:r>
      <w:proofErr w:type="spellEnd"/>
      <w:r>
        <w:t xml:space="preserve">. Al final del procedimiento se coloca un </w:t>
      </w:r>
      <w:proofErr w:type="spellStart"/>
      <w:r>
        <w:t>stent</w:t>
      </w:r>
      <w:proofErr w:type="spellEnd"/>
      <w:r>
        <w:t xml:space="preserve"> y se retira el catéter-balón.</w:t>
      </w:r>
    </w:p>
    <w:p w:rsidR="00E507AF" w:rsidRDefault="00E507AF" w:rsidP="00C0490A">
      <w:pPr>
        <w:pStyle w:val="Textonotaalfinal"/>
      </w:pPr>
      <w:r>
        <w:t xml:space="preserve">El </w:t>
      </w:r>
      <w:proofErr w:type="spellStart"/>
      <w:r>
        <w:t>stent</w:t>
      </w:r>
      <w:proofErr w:type="spellEnd"/>
      <w:r>
        <w:t xml:space="preserve"> evita la protrusión de los coils hacia el vaso portador del aneurisma, </w:t>
      </w:r>
      <w:proofErr w:type="spellStart"/>
      <w:r>
        <w:t>redirecciona</w:t>
      </w:r>
      <w:proofErr w:type="spellEnd"/>
      <w:r>
        <w:t xml:space="preserve"> el flujo y sirve de molde físico para la </w:t>
      </w:r>
      <w:proofErr w:type="spellStart"/>
      <w:r>
        <w:t>reendotelización</w:t>
      </w:r>
      <w:proofErr w:type="spellEnd"/>
      <w:r>
        <w:t xml:space="preserve"> del vaso. De esta manera se trata tanto el aneurisma como el problema de base de la arteria portadora</w:t>
      </w:r>
      <w:r>
        <w:fldChar w:fldCharType="begin"/>
      </w:r>
      <w:r>
        <w:instrText xml:space="preserve"> ADDIN ZOTERO_ITEM CSL_CITATION {"citationID":"a8qb9s3su6","properties":{"formattedCitation":"(15)","plainCitation":"(15)","noteIndex":1},"citationItems":[{"id":99,"uris":["http://zotero.org/users/local/I8IXatSK/items/ARNNSTLZ"],"uri":["http://zotero.org/users/local/I8IXatSK/items/ARNNSTLZ"],"itemData":{"id":99,"type":"article-journal","title":"Técnicas asistidas para el tratamiento endovascular de aneurismas cerebrales complejos o atípicos","container-title":"Radiología","page":"118-129","volume":"55","issue":"2","source":"CrossRef","DOI":"10.1016/j.rx.2011.11.011","ISSN":"00338338","language":"es","author":[{"family":"Meilán Martínez","given":"A."},{"family":"Murias Quintana","given":"E."},{"family":"Gil García","given":"A."},{"family":"Vega Valdés","given":"P."},{"family":"Saiz Ayala","given":"A."}],"issued":{"date-parts":[["2013",3]]}}}],"schema":"https://github.com/citation-style-language/schema/raw/master/csl-citation.json"} </w:instrText>
      </w:r>
      <w:r>
        <w:fldChar w:fldCharType="separate"/>
      </w:r>
      <w:r w:rsidRPr="003515D8">
        <w:rPr>
          <w:rFonts w:ascii="Calibri" w:hAnsi="Calibri" w:cs="Calibri"/>
        </w:rPr>
        <w:t>(15)</w:t>
      </w:r>
      <w:r>
        <w:fldChar w:fldCharType="end"/>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07AF" w:rsidRDefault="00E507AF" w:rsidP="00985747">
    <w:pPr>
      <w:pStyle w:val="Encabezado"/>
      <w:pBdr>
        <w:bottom w:val="thickThinSmallGap" w:sz="24" w:space="1" w:color="382F2A" w:themeColor="accent2" w:themeShade="7F"/>
      </w:pBdr>
      <w:rPr>
        <w:rFonts w:asciiTheme="majorHAnsi" w:eastAsiaTheme="majorEastAsia" w:hAnsiTheme="majorHAnsi" w:cstheme="majorBidi"/>
        <w:sz w:val="32"/>
        <w:szCs w:val="32"/>
      </w:rPr>
    </w:pPr>
    <w:sdt>
      <w:sdtPr>
        <w:rPr>
          <w:b/>
        </w:rPr>
        <w:alias w:val="Título"/>
        <w:id w:val="11342307"/>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Content>
        <w:r>
          <w:rPr>
            <w:b/>
          </w:rPr>
          <w:t>Tratamiento endovascular de aneurismas cerebrales incidentales</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07AF" w:rsidRDefault="00E507AF" w:rsidP="00985747">
    <w:pPr>
      <w:pStyle w:val="Encabezado"/>
      <w:pBdr>
        <w:bottom w:val="thickThinSmallGap" w:sz="24" w:space="1" w:color="382F2A" w:themeColor="accent2" w:themeShade="7F"/>
      </w:pBdr>
      <w:jc w:val="right"/>
      <w:rPr>
        <w:rFonts w:asciiTheme="majorHAnsi" w:eastAsiaTheme="majorEastAsia" w:hAnsiTheme="majorHAnsi" w:cstheme="majorBidi"/>
        <w:sz w:val="32"/>
        <w:szCs w:val="32"/>
      </w:rPr>
    </w:pPr>
    <w:sdt>
      <w:sdtPr>
        <w:rPr>
          <w:b/>
        </w:rPr>
        <w:alias w:val="Título"/>
        <w:id w:val="11342298"/>
        <w:placeholder>
          <w:docPart w:val="CF24B051E794489B84798EAD6AF942BC"/>
        </w:placeholder>
        <w:dataBinding w:prefixMappings="xmlns:ns0='http://schemas.openxmlformats.org/package/2006/metadata/core-properties' xmlns:ns1='http://purl.org/dc/elements/1.1/'" w:xpath="/ns0:coreProperties[1]/ns1:title[1]" w:storeItemID="{6C3C8BC8-F283-45AE-878A-BAB7291924A1}"/>
        <w:text/>
      </w:sdtPr>
      <w:sdtContent>
        <w:r>
          <w:rPr>
            <w:b/>
          </w:rPr>
          <w:t>Tratamiento endovascular de aneurismas cerebrales incidentales</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07AF" w:rsidRDefault="00E507AF" w:rsidP="0056742A">
    <w:pPr>
      <w:pStyle w:val="Encabezado"/>
      <w:pBdr>
        <w:bottom w:val="thickThinSmallGap" w:sz="24" w:space="1" w:color="382F2A" w:themeColor="accent2" w:themeShade="7F"/>
      </w:pBdr>
      <w:rPr>
        <w:rFonts w:asciiTheme="majorHAnsi" w:eastAsiaTheme="majorEastAsia" w:hAnsiTheme="majorHAnsi" w:cstheme="majorBidi"/>
        <w:sz w:val="32"/>
        <w:szCs w:val="32"/>
      </w:rPr>
    </w:pPr>
    <w:sdt>
      <w:sdtPr>
        <w:rPr>
          <w:b/>
        </w:rPr>
        <w:alias w:val="Título"/>
        <w:id w:val="-1322958132"/>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Content>
        <w:r>
          <w:rPr>
            <w:b/>
          </w:rPr>
          <w:t>Tratamiento endovascular de aneurismas cerebrales incidentales</w:t>
        </w:r>
      </w:sdtContent>
    </w:sdt>
    <w:r>
      <w:rPr>
        <w:rFonts w:asciiTheme="majorHAnsi" w:eastAsiaTheme="majorEastAsia" w:hAnsiTheme="majorHAnsi" w:cstheme="majorBidi"/>
        <w:sz w:val="32"/>
        <w:szCs w:val="32"/>
      </w:rPr>
      <w:t xml:space="preserve"> </w:t>
    </w:r>
    <w:r>
      <w:t>|</w:t>
    </w:r>
    <w:r>
      <w:rPr>
        <w:rFonts w:asciiTheme="majorHAnsi" w:eastAsiaTheme="majorEastAsia" w:hAnsiTheme="majorHAnsi" w:cstheme="majorBidi"/>
        <w:sz w:val="32"/>
        <w:szCs w:val="32"/>
      </w:rPr>
      <w:t xml:space="preserve"> </w:t>
    </w:r>
    <w:r w:rsidRPr="0087575A">
      <w:rPr>
        <w:i/>
      </w:rPr>
      <w:fldChar w:fldCharType="begin"/>
    </w:r>
    <w:r w:rsidRPr="0087575A">
      <w:rPr>
        <w:i/>
      </w:rPr>
      <w:instrText xml:space="preserve"> STYLEREF  "1"  </w:instrText>
    </w:r>
    <w:r w:rsidRPr="0087575A">
      <w:rPr>
        <w:i/>
      </w:rPr>
      <w:fldChar w:fldCharType="separate"/>
    </w:r>
    <w:r w:rsidR="007A212F">
      <w:rPr>
        <w:i/>
        <w:noProof/>
      </w:rPr>
      <w:t>Introducción</w:t>
    </w:r>
    <w:r w:rsidRPr="0087575A">
      <w:rPr>
        <w:i/>
      </w:rPr>
      <w:fldChar w:fldCharType="end"/>
    </w:r>
  </w:p>
  <w:p w:rsidR="00E507AF" w:rsidRDefault="00E507AF"/>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07AF" w:rsidRDefault="00E507AF" w:rsidP="00010FAF">
    <w:pPr>
      <w:pStyle w:val="Encabezado"/>
      <w:pBdr>
        <w:bottom w:val="thickThinSmallGap" w:sz="24" w:space="1" w:color="382F2A"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7A212F">
      <w:rPr>
        <w:i/>
        <w:noProof/>
      </w:rPr>
      <w:t>Introducción</w:t>
    </w:r>
    <w:r w:rsidRPr="003B0263">
      <w:rPr>
        <w:i/>
      </w:rPr>
      <w:fldChar w:fldCharType="end"/>
    </w:r>
    <w:r>
      <w:rPr>
        <w:i/>
      </w:rPr>
      <w:t xml:space="preserve"> </w:t>
    </w:r>
    <w:r>
      <w:t xml:space="preserve">| </w:t>
    </w:r>
    <w:sdt>
      <w:sdtPr>
        <w:rPr>
          <w:b/>
        </w:rPr>
        <w:alias w:val="Título"/>
        <w:id w:val="-516309332"/>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Content>
        <w:r>
          <w:rPr>
            <w:b/>
          </w:rPr>
          <w:t>Tratamiento endovascular de aneurismas cerebrales incidentales</w:t>
        </w:r>
      </w:sdtContent>
    </w:sdt>
  </w:p>
  <w:p w:rsidR="00E507AF" w:rsidRDefault="00E507AF"/>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07AF" w:rsidRDefault="00E507AF" w:rsidP="0030399E">
    <w:pPr>
      <w:pStyle w:val="Encabezado"/>
      <w:pBdr>
        <w:bottom w:val="thickThinSmallGap" w:sz="24" w:space="1" w:color="382F2A" w:themeColor="accent2" w:themeShade="7F"/>
      </w:pBdr>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Pr>
        <w:i/>
        <w:noProof/>
      </w:rPr>
      <w:t>Memoria del Proyecto</w:t>
    </w:r>
    <w:r w:rsidRPr="003B0263">
      <w:rPr>
        <w:i/>
      </w:rPr>
      <w:fldChar w:fldCharType="end"/>
    </w:r>
    <w:r>
      <w:rPr>
        <w:i/>
      </w:rPr>
      <w:t xml:space="preserve"> </w:t>
    </w:r>
    <w:r>
      <w:t xml:space="preserve">| </w:t>
    </w:r>
    <w:sdt>
      <w:sdtPr>
        <w:rPr>
          <w:b/>
        </w:rPr>
        <w:alias w:val="Título"/>
        <w:id w:val="931864607"/>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Content>
        <w:r>
          <w:rPr>
            <w:b/>
          </w:rPr>
          <w:t>Tratamiento endovascular de aneurismas cerebrales incidentales</w:t>
        </w:r>
      </w:sdtContent>
    </w:sdt>
  </w:p>
  <w:p w:rsidR="00E507AF" w:rsidRDefault="00E507A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62B13"/>
    <w:multiLevelType w:val="hybridMultilevel"/>
    <w:tmpl w:val="5538A5DA"/>
    <w:lvl w:ilvl="0" w:tplc="44365F84">
      <w:start w:val="1"/>
      <w:numFmt w:val="decimal"/>
      <w:lvlText w:val="%1."/>
      <w:lvlJc w:val="left"/>
      <w:pPr>
        <w:ind w:left="720" w:hanging="360"/>
      </w:pPr>
      <w:rPr>
        <w:rFonts w:ascii="Calibri" w:hAnsi="Calibri" w:cs="Calibri" w:hint="default"/>
        <w:b/>
        <w:color w:val="726056" w:themeColor="accent2"/>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39F76FB"/>
    <w:multiLevelType w:val="hybridMultilevel"/>
    <w:tmpl w:val="352681DC"/>
    <w:lvl w:ilvl="0" w:tplc="E8BACE02">
      <w:start w:val="1"/>
      <w:numFmt w:val="bullet"/>
      <w:lvlText w:val=""/>
      <w:lvlJc w:val="left"/>
      <w:pPr>
        <w:ind w:left="720" w:hanging="360"/>
      </w:pPr>
      <w:rPr>
        <w:rFonts w:ascii="Symbol" w:hAnsi="Symbol" w:hint="default"/>
        <w:color w:val="808DA9" w:themeColor="accent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43557AF"/>
    <w:multiLevelType w:val="hybridMultilevel"/>
    <w:tmpl w:val="0ECE6A56"/>
    <w:lvl w:ilvl="0" w:tplc="E8BACE02">
      <w:start w:val="1"/>
      <w:numFmt w:val="bullet"/>
      <w:lvlText w:val=""/>
      <w:lvlJc w:val="left"/>
      <w:pPr>
        <w:ind w:left="720" w:hanging="360"/>
      </w:pPr>
      <w:rPr>
        <w:rFonts w:ascii="Symbol" w:hAnsi="Symbol" w:hint="default"/>
        <w:color w:val="808DA9" w:themeColor="accent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6625E78"/>
    <w:multiLevelType w:val="hybridMultilevel"/>
    <w:tmpl w:val="CFDE0C36"/>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58572B8"/>
    <w:multiLevelType w:val="hybridMultilevel"/>
    <w:tmpl w:val="B7ACB2FE"/>
    <w:lvl w:ilvl="0" w:tplc="3F5CF640">
      <w:numFmt w:val="bullet"/>
      <w:lvlText w:val="-"/>
      <w:lvlJc w:val="left"/>
      <w:pPr>
        <w:ind w:left="720" w:hanging="360"/>
      </w:pPr>
      <w:rPr>
        <w:rFonts w:ascii="Calibri Light" w:eastAsiaTheme="min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A821FBA"/>
    <w:multiLevelType w:val="hybridMultilevel"/>
    <w:tmpl w:val="C92C524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nsid w:val="71F04C1E"/>
    <w:multiLevelType w:val="hybridMultilevel"/>
    <w:tmpl w:val="BA8290EC"/>
    <w:lvl w:ilvl="0" w:tplc="3F5CF640">
      <w:numFmt w:val="bullet"/>
      <w:lvlText w:val="-"/>
      <w:lvlJc w:val="left"/>
      <w:pPr>
        <w:ind w:left="720" w:hanging="360"/>
      </w:pPr>
      <w:rPr>
        <w:rFonts w:ascii="Calibri Light" w:eastAsiaTheme="minorEastAsia" w:hAnsi="Calibri Light" w:cs="Calibri Light" w:hint="default"/>
        <w:color w:val="AD0101" w:themeColor="accent1"/>
      </w:rPr>
    </w:lvl>
    <w:lvl w:ilvl="1" w:tplc="3F5CF640">
      <w:numFmt w:val="bullet"/>
      <w:lvlText w:val="-"/>
      <w:lvlJc w:val="left"/>
      <w:pPr>
        <w:ind w:left="1440" w:hanging="360"/>
      </w:pPr>
      <w:rPr>
        <w:rFonts w:ascii="Calibri Light" w:eastAsiaTheme="minorEastAsia" w:hAnsi="Calibri Light" w:cs="Calibri Light"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2CC3FCB"/>
    <w:multiLevelType w:val="hybridMultilevel"/>
    <w:tmpl w:val="9700451E"/>
    <w:lvl w:ilvl="0" w:tplc="3F5CF640">
      <w:numFmt w:val="bullet"/>
      <w:lvlText w:val="-"/>
      <w:lvlJc w:val="left"/>
      <w:pPr>
        <w:ind w:left="720" w:hanging="360"/>
      </w:pPr>
      <w:rPr>
        <w:rFonts w:ascii="Calibri Light" w:eastAsiaTheme="min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4"/>
  </w:num>
  <w:num w:numId="5">
    <w:abstractNumId w:val="5"/>
  </w:num>
  <w:num w:numId="6">
    <w:abstractNumId w:val="3"/>
  </w:num>
  <w:num w:numId="7">
    <w:abstractNumId w:val="2"/>
  </w:num>
  <w:num w:numId="8">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00E8E"/>
    <w:rsid w:val="00000795"/>
    <w:rsid w:val="00000F0A"/>
    <w:rsid w:val="000038F5"/>
    <w:rsid w:val="00010FAF"/>
    <w:rsid w:val="00017FB6"/>
    <w:rsid w:val="00022926"/>
    <w:rsid w:val="000266B2"/>
    <w:rsid w:val="00026A6A"/>
    <w:rsid w:val="000325ED"/>
    <w:rsid w:val="00037B6C"/>
    <w:rsid w:val="0004146D"/>
    <w:rsid w:val="00042540"/>
    <w:rsid w:val="000438C9"/>
    <w:rsid w:val="00045453"/>
    <w:rsid w:val="000560E3"/>
    <w:rsid w:val="000659CC"/>
    <w:rsid w:val="00066356"/>
    <w:rsid w:val="000703FC"/>
    <w:rsid w:val="00075754"/>
    <w:rsid w:val="000815A5"/>
    <w:rsid w:val="0008664F"/>
    <w:rsid w:val="00087411"/>
    <w:rsid w:val="00097FB6"/>
    <w:rsid w:val="000A565F"/>
    <w:rsid w:val="000A5B23"/>
    <w:rsid w:val="000A6662"/>
    <w:rsid w:val="000C7C78"/>
    <w:rsid w:val="000D3E2E"/>
    <w:rsid w:val="000D66ED"/>
    <w:rsid w:val="000D67BE"/>
    <w:rsid w:val="000E1BC9"/>
    <w:rsid w:val="000E2038"/>
    <w:rsid w:val="000E3E74"/>
    <w:rsid w:val="000E470F"/>
    <w:rsid w:val="000F6BED"/>
    <w:rsid w:val="00104333"/>
    <w:rsid w:val="001061F1"/>
    <w:rsid w:val="00106728"/>
    <w:rsid w:val="00111129"/>
    <w:rsid w:val="00121126"/>
    <w:rsid w:val="0012148F"/>
    <w:rsid w:val="001305AE"/>
    <w:rsid w:val="001327DC"/>
    <w:rsid w:val="00132CDC"/>
    <w:rsid w:val="00134399"/>
    <w:rsid w:val="001423BF"/>
    <w:rsid w:val="00144A9B"/>
    <w:rsid w:val="00147D13"/>
    <w:rsid w:val="00156B56"/>
    <w:rsid w:val="00157CEE"/>
    <w:rsid w:val="00164CEA"/>
    <w:rsid w:val="001650DE"/>
    <w:rsid w:val="00167FD1"/>
    <w:rsid w:val="00171FF3"/>
    <w:rsid w:val="0017479F"/>
    <w:rsid w:val="00180199"/>
    <w:rsid w:val="00181C82"/>
    <w:rsid w:val="001828C8"/>
    <w:rsid w:val="00186877"/>
    <w:rsid w:val="00186E58"/>
    <w:rsid w:val="00191004"/>
    <w:rsid w:val="00193DAE"/>
    <w:rsid w:val="00195D6F"/>
    <w:rsid w:val="001A0565"/>
    <w:rsid w:val="001A1A17"/>
    <w:rsid w:val="001A776F"/>
    <w:rsid w:val="001B694E"/>
    <w:rsid w:val="001C0498"/>
    <w:rsid w:val="001C0796"/>
    <w:rsid w:val="001D1746"/>
    <w:rsid w:val="001E04F5"/>
    <w:rsid w:val="001E2631"/>
    <w:rsid w:val="001E3D73"/>
    <w:rsid w:val="001E6977"/>
    <w:rsid w:val="001E6F28"/>
    <w:rsid w:val="001E752C"/>
    <w:rsid w:val="001F0B4B"/>
    <w:rsid w:val="001F282C"/>
    <w:rsid w:val="001F557A"/>
    <w:rsid w:val="0020056E"/>
    <w:rsid w:val="0020606F"/>
    <w:rsid w:val="00210AAD"/>
    <w:rsid w:val="00212745"/>
    <w:rsid w:val="00214244"/>
    <w:rsid w:val="00214852"/>
    <w:rsid w:val="0021485C"/>
    <w:rsid w:val="00215A22"/>
    <w:rsid w:val="00227127"/>
    <w:rsid w:val="00231DCA"/>
    <w:rsid w:val="002356C8"/>
    <w:rsid w:val="00252405"/>
    <w:rsid w:val="002534F8"/>
    <w:rsid w:val="00255B34"/>
    <w:rsid w:val="00255E6E"/>
    <w:rsid w:val="00260B41"/>
    <w:rsid w:val="00263FC7"/>
    <w:rsid w:val="002676DF"/>
    <w:rsid w:val="002701A3"/>
    <w:rsid w:val="00271364"/>
    <w:rsid w:val="002961DD"/>
    <w:rsid w:val="002A60F6"/>
    <w:rsid w:val="002B189A"/>
    <w:rsid w:val="002B219D"/>
    <w:rsid w:val="002B3996"/>
    <w:rsid w:val="002B3CAD"/>
    <w:rsid w:val="002B4119"/>
    <w:rsid w:val="002B6A0D"/>
    <w:rsid w:val="002B770A"/>
    <w:rsid w:val="002C4EC4"/>
    <w:rsid w:val="002C55F2"/>
    <w:rsid w:val="002C6295"/>
    <w:rsid w:val="002D14D9"/>
    <w:rsid w:val="002D30A4"/>
    <w:rsid w:val="002D692F"/>
    <w:rsid w:val="002E3A62"/>
    <w:rsid w:val="002E5074"/>
    <w:rsid w:val="002E5437"/>
    <w:rsid w:val="002F2F76"/>
    <w:rsid w:val="002F4B98"/>
    <w:rsid w:val="002F70CD"/>
    <w:rsid w:val="00301196"/>
    <w:rsid w:val="003012BD"/>
    <w:rsid w:val="0030399E"/>
    <w:rsid w:val="0031122F"/>
    <w:rsid w:val="00320ABA"/>
    <w:rsid w:val="003228F1"/>
    <w:rsid w:val="0032623D"/>
    <w:rsid w:val="0032689A"/>
    <w:rsid w:val="0032737D"/>
    <w:rsid w:val="0033051E"/>
    <w:rsid w:val="00330790"/>
    <w:rsid w:val="00330A73"/>
    <w:rsid w:val="003310A7"/>
    <w:rsid w:val="00334B33"/>
    <w:rsid w:val="00336DF9"/>
    <w:rsid w:val="00337A77"/>
    <w:rsid w:val="00345837"/>
    <w:rsid w:val="00346245"/>
    <w:rsid w:val="00346491"/>
    <w:rsid w:val="003515D8"/>
    <w:rsid w:val="00352497"/>
    <w:rsid w:val="003605F7"/>
    <w:rsid w:val="00360CBC"/>
    <w:rsid w:val="00360F69"/>
    <w:rsid w:val="00362B2D"/>
    <w:rsid w:val="00367DD5"/>
    <w:rsid w:val="00367E74"/>
    <w:rsid w:val="00374188"/>
    <w:rsid w:val="00374274"/>
    <w:rsid w:val="00376B50"/>
    <w:rsid w:val="00390567"/>
    <w:rsid w:val="00396F2A"/>
    <w:rsid w:val="00397508"/>
    <w:rsid w:val="00397B5C"/>
    <w:rsid w:val="003A1821"/>
    <w:rsid w:val="003A3068"/>
    <w:rsid w:val="003A55FE"/>
    <w:rsid w:val="003B0263"/>
    <w:rsid w:val="003B4ECA"/>
    <w:rsid w:val="003C077F"/>
    <w:rsid w:val="003C32BC"/>
    <w:rsid w:val="003C571F"/>
    <w:rsid w:val="003C64A6"/>
    <w:rsid w:val="003D7D42"/>
    <w:rsid w:val="003E1DC9"/>
    <w:rsid w:val="003E4FE8"/>
    <w:rsid w:val="003E6FFE"/>
    <w:rsid w:val="003F36A3"/>
    <w:rsid w:val="003F5158"/>
    <w:rsid w:val="003F74B0"/>
    <w:rsid w:val="003F7C40"/>
    <w:rsid w:val="0040129C"/>
    <w:rsid w:val="00404AFA"/>
    <w:rsid w:val="00410063"/>
    <w:rsid w:val="004111B0"/>
    <w:rsid w:val="00412BCA"/>
    <w:rsid w:val="0041342B"/>
    <w:rsid w:val="004160BD"/>
    <w:rsid w:val="004161B2"/>
    <w:rsid w:val="00423F19"/>
    <w:rsid w:val="004261CF"/>
    <w:rsid w:val="004267D5"/>
    <w:rsid w:val="00433C0D"/>
    <w:rsid w:val="00436C0A"/>
    <w:rsid w:val="004445C9"/>
    <w:rsid w:val="00446BA8"/>
    <w:rsid w:val="004523AB"/>
    <w:rsid w:val="00453D41"/>
    <w:rsid w:val="00454853"/>
    <w:rsid w:val="00474EE7"/>
    <w:rsid w:val="00477AFD"/>
    <w:rsid w:val="004905BE"/>
    <w:rsid w:val="004907C7"/>
    <w:rsid w:val="00492022"/>
    <w:rsid w:val="00492DB2"/>
    <w:rsid w:val="00494357"/>
    <w:rsid w:val="004A2FC1"/>
    <w:rsid w:val="004A4BEC"/>
    <w:rsid w:val="004B006F"/>
    <w:rsid w:val="004B37C8"/>
    <w:rsid w:val="004C377A"/>
    <w:rsid w:val="004C5B48"/>
    <w:rsid w:val="004D03C8"/>
    <w:rsid w:val="004D075D"/>
    <w:rsid w:val="004D393C"/>
    <w:rsid w:val="00502005"/>
    <w:rsid w:val="0051374B"/>
    <w:rsid w:val="0051698F"/>
    <w:rsid w:val="005202CB"/>
    <w:rsid w:val="005306B5"/>
    <w:rsid w:val="00536DAD"/>
    <w:rsid w:val="0054730A"/>
    <w:rsid w:val="005544FE"/>
    <w:rsid w:val="00554F55"/>
    <w:rsid w:val="00554FD5"/>
    <w:rsid w:val="00555CA6"/>
    <w:rsid w:val="005578FE"/>
    <w:rsid w:val="00561140"/>
    <w:rsid w:val="005645C1"/>
    <w:rsid w:val="00564774"/>
    <w:rsid w:val="0056742A"/>
    <w:rsid w:val="00571D5D"/>
    <w:rsid w:val="00576522"/>
    <w:rsid w:val="005921AA"/>
    <w:rsid w:val="005A0760"/>
    <w:rsid w:val="005A339E"/>
    <w:rsid w:val="005A445E"/>
    <w:rsid w:val="005A67D3"/>
    <w:rsid w:val="005A6A4A"/>
    <w:rsid w:val="005A6BB4"/>
    <w:rsid w:val="005A6CCB"/>
    <w:rsid w:val="005A7DC3"/>
    <w:rsid w:val="005B1AB1"/>
    <w:rsid w:val="005B2838"/>
    <w:rsid w:val="005B305F"/>
    <w:rsid w:val="005C04EA"/>
    <w:rsid w:val="005C0ACA"/>
    <w:rsid w:val="005C29E5"/>
    <w:rsid w:val="005C33BF"/>
    <w:rsid w:val="005C388F"/>
    <w:rsid w:val="005D567B"/>
    <w:rsid w:val="005E042D"/>
    <w:rsid w:val="005E0532"/>
    <w:rsid w:val="005F6A73"/>
    <w:rsid w:val="00600111"/>
    <w:rsid w:val="00600A9A"/>
    <w:rsid w:val="006017E3"/>
    <w:rsid w:val="0060594C"/>
    <w:rsid w:val="00606501"/>
    <w:rsid w:val="0061162C"/>
    <w:rsid w:val="00613E79"/>
    <w:rsid w:val="0061446B"/>
    <w:rsid w:val="00614F68"/>
    <w:rsid w:val="00621865"/>
    <w:rsid w:val="0062357F"/>
    <w:rsid w:val="006265DD"/>
    <w:rsid w:val="00633212"/>
    <w:rsid w:val="006422B8"/>
    <w:rsid w:val="00644072"/>
    <w:rsid w:val="00645763"/>
    <w:rsid w:val="00647D10"/>
    <w:rsid w:val="0065023C"/>
    <w:rsid w:val="00655B85"/>
    <w:rsid w:val="006710E7"/>
    <w:rsid w:val="00671AB1"/>
    <w:rsid w:val="0067534C"/>
    <w:rsid w:val="00677232"/>
    <w:rsid w:val="0068134C"/>
    <w:rsid w:val="00690148"/>
    <w:rsid w:val="00690539"/>
    <w:rsid w:val="0069169F"/>
    <w:rsid w:val="00694B5E"/>
    <w:rsid w:val="006B11F6"/>
    <w:rsid w:val="006B4F6F"/>
    <w:rsid w:val="006B5E99"/>
    <w:rsid w:val="006B61B6"/>
    <w:rsid w:val="006B6F18"/>
    <w:rsid w:val="006B77BF"/>
    <w:rsid w:val="006C0203"/>
    <w:rsid w:val="006C0E07"/>
    <w:rsid w:val="006C2A41"/>
    <w:rsid w:val="006C4A9F"/>
    <w:rsid w:val="006C6606"/>
    <w:rsid w:val="006E5F49"/>
    <w:rsid w:val="006E751B"/>
    <w:rsid w:val="006F3E10"/>
    <w:rsid w:val="006F65C4"/>
    <w:rsid w:val="006F6E87"/>
    <w:rsid w:val="00703BA3"/>
    <w:rsid w:val="00704100"/>
    <w:rsid w:val="00706D99"/>
    <w:rsid w:val="0071159E"/>
    <w:rsid w:val="00712B41"/>
    <w:rsid w:val="007132F8"/>
    <w:rsid w:val="00716004"/>
    <w:rsid w:val="007211EF"/>
    <w:rsid w:val="00727085"/>
    <w:rsid w:val="00730EF9"/>
    <w:rsid w:val="00731971"/>
    <w:rsid w:val="00731A25"/>
    <w:rsid w:val="007331AD"/>
    <w:rsid w:val="00734045"/>
    <w:rsid w:val="00735B68"/>
    <w:rsid w:val="00740D0A"/>
    <w:rsid w:val="00742337"/>
    <w:rsid w:val="00746B6E"/>
    <w:rsid w:val="00747039"/>
    <w:rsid w:val="0075488E"/>
    <w:rsid w:val="00754C1C"/>
    <w:rsid w:val="00756AFA"/>
    <w:rsid w:val="00761BDF"/>
    <w:rsid w:val="00761F38"/>
    <w:rsid w:val="007708BB"/>
    <w:rsid w:val="00770CE2"/>
    <w:rsid w:val="00776A3C"/>
    <w:rsid w:val="00780E86"/>
    <w:rsid w:val="00785377"/>
    <w:rsid w:val="0078771F"/>
    <w:rsid w:val="00793DA5"/>
    <w:rsid w:val="00796C4E"/>
    <w:rsid w:val="007A212F"/>
    <w:rsid w:val="007A51F4"/>
    <w:rsid w:val="007B2268"/>
    <w:rsid w:val="007B2621"/>
    <w:rsid w:val="007B51B8"/>
    <w:rsid w:val="007B5ADD"/>
    <w:rsid w:val="007C3483"/>
    <w:rsid w:val="007C46D1"/>
    <w:rsid w:val="007C53E5"/>
    <w:rsid w:val="007C6AAF"/>
    <w:rsid w:val="007D10D8"/>
    <w:rsid w:val="007D3BE5"/>
    <w:rsid w:val="007D46DA"/>
    <w:rsid w:val="007E0057"/>
    <w:rsid w:val="007E0EDB"/>
    <w:rsid w:val="007E5172"/>
    <w:rsid w:val="007E6E05"/>
    <w:rsid w:val="007F5861"/>
    <w:rsid w:val="00801DF3"/>
    <w:rsid w:val="0080226F"/>
    <w:rsid w:val="00802EB0"/>
    <w:rsid w:val="008030F4"/>
    <w:rsid w:val="00807916"/>
    <w:rsid w:val="00811B54"/>
    <w:rsid w:val="00816CDF"/>
    <w:rsid w:val="008221B8"/>
    <w:rsid w:val="00823DA4"/>
    <w:rsid w:val="00824C19"/>
    <w:rsid w:val="00826DE3"/>
    <w:rsid w:val="0083359A"/>
    <w:rsid w:val="00833CD5"/>
    <w:rsid w:val="008404D4"/>
    <w:rsid w:val="00840D43"/>
    <w:rsid w:val="008428FC"/>
    <w:rsid w:val="008443CD"/>
    <w:rsid w:val="00844702"/>
    <w:rsid w:val="0084616B"/>
    <w:rsid w:val="00853074"/>
    <w:rsid w:val="008555DE"/>
    <w:rsid w:val="0085785E"/>
    <w:rsid w:val="00861FE7"/>
    <w:rsid w:val="00862E9D"/>
    <w:rsid w:val="00866F51"/>
    <w:rsid w:val="0087324A"/>
    <w:rsid w:val="0087418A"/>
    <w:rsid w:val="0087575A"/>
    <w:rsid w:val="0088359D"/>
    <w:rsid w:val="00886FBB"/>
    <w:rsid w:val="00892269"/>
    <w:rsid w:val="008A6017"/>
    <w:rsid w:val="008B214A"/>
    <w:rsid w:val="008C04B8"/>
    <w:rsid w:val="008C291F"/>
    <w:rsid w:val="008C379B"/>
    <w:rsid w:val="008C6243"/>
    <w:rsid w:val="008D0AE8"/>
    <w:rsid w:val="008D2C4E"/>
    <w:rsid w:val="008D2E92"/>
    <w:rsid w:val="008E672F"/>
    <w:rsid w:val="008F7E7C"/>
    <w:rsid w:val="00900400"/>
    <w:rsid w:val="00900E8E"/>
    <w:rsid w:val="00903F8A"/>
    <w:rsid w:val="009041DD"/>
    <w:rsid w:val="0090528B"/>
    <w:rsid w:val="00905974"/>
    <w:rsid w:val="00907C4D"/>
    <w:rsid w:val="00910AC8"/>
    <w:rsid w:val="00913661"/>
    <w:rsid w:val="009149B2"/>
    <w:rsid w:val="00916665"/>
    <w:rsid w:val="00921568"/>
    <w:rsid w:val="00926994"/>
    <w:rsid w:val="00945E3B"/>
    <w:rsid w:val="009477BA"/>
    <w:rsid w:val="0095034A"/>
    <w:rsid w:val="009521DB"/>
    <w:rsid w:val="009526F9"/>
    <w:rsid w:val="00965AD1"/>
    <w:rsid w:val="00966B81"/>
    <w:rsid w:val="00975183"/>
    <w:rsid w:val="009767D4"/>
    <w:rsid w:val="0097782B"/>
    <w:rsid w:val="00977FEA"/>
    <w:rsid w:val="009836F1"/>
    <w:rsid w:val="00985747"/>
    <w:rsid w:val="00987207"/>
    <w:rsid w:val="00987D4F"/>
    <w:rsid w:val="00991CC3"/>
    <w:rsid w:val="009A0D91"/>
    <w:rsid w:val="009A301A"/>
    <w:rsid w:val="009A3F9E"/>
    <w:rsid w:val="009A4317"/>
    <w:rsid w:val="009A505A"/>
    <w:rsid w:val="009B1F46"/>
    <w:rsid w:val="009B203D"/>
    <w:rsid w:val="009B2CDB"/>
    <w:rsid w:val="009B4055"/>
    <w:rsid w:val="009B553E"/>
    <w:rsid w:val="009B719A"/>
    <w:rsid w:val="009B7B32"/>
    <w:rsid w:val="009C136D"/>
    <w:rsid w:val="009C554A"/>
    <w:rsid w:val="009D1163"/>
    <w:rsid w:val="009D5A70"/>
    <w:rsid w:val="009D7FEC"/>
    <w:rsid w:val="009F186F"/>
    <w:rsid w:val="009F3E84"/>
    <w:rsid w:val="009F7FD1"/>
    <w:rsid w:val="00A055C0"/>
    <w:rsid w:val="00A068B3"/>
    <w:rsid w:val="00A078AC"/>
    <w:rsid w:val="00A07F74"/>
    <w:rsid w:val="00A158BF"/>
    <w:rsid w:val="00A17939"/>
    <w:rsid w:val="00A2064D"/>
    <w:rsid w:val="00A230C9"/>
    <w:rsid w:val="00A30F9D"/>
    <w:rsid w:val="00A326B6"/>
    <w:rsid w:val="00A401FA"/>
    <w:rsid w:val="00A41734"/>
    <w:rsid w:val="00A46CB7"/>
    <w:rsid w:val="00A51872"/>
    <w:rsid w:val="00A51FC4"/>
    <w:rsid w:val="00A52B75"/>
    <w:rsid w:val="00A57556"/>
    <w:rsid w:val="00A57B3B"/>
    <w:rsid w:val="00A60373"/>
    <w:rsid w:val="00A60DFE"/>
    <w:rsid w:val="00A700B0"/>
    <w:rsid w:val="00A70FD7"/>
    <w:rsid w:val="00A7132F"/>
    <w:rsid w:val="00A76CCA"/>
    <w:rsid w:val="00A779A7"/>
    <w:rsid w:val="00AA12F8"/>
    <w:rsid w:val="00AA4566"/>
    <w:rsid w:val="00AB6AAC"/>
    <w:rsid w:val="00AB772A"/>
    <w:rsid w:val="00AC7702"/>
    <w:rsid w:val="00AD7442"/>
    <w:rsid w:val="00AE03D3"/>
    <w:rsid w:val="00AE1648"/>
    <w:rsid w:val="00AE24A5"/>
    <w:rsid w:val="00AE7441"/>
    <w:rsid w:val="00AF0C8D"/>
    <w:rsid w:val="00AF1319"/>
    <w:rsid w:val="00AF28A5"/>
    <w:rsid w:val="00AF7F2C"/>
    <w:rsid w:val="00B026A8"/>
    <w:rsid w:val="00B03153"/>
    <w:rsid w:val="00B035F3"/>
    <w:rsid w:val="00B0541B"/>
    <w:rsid w:val="00B07406"/>
    <w:rsid w:val="00B1278B"/>
    <w:rsid w:val="00B145CC"/>
    <w:rsid w:val="00B1669A"/>
    <w:rsid w:val="00B217A5"/>
    <w:rsid w:val="00B24195"/>
    <w:rsid w:val="00B272D4"/>
    <w:rsid w:val="00B3165D"/>
    <w:rsid w:val="00B3296D"/>
    <w:rsid w:val="00B33078"/>
    <w:rsid w:val="00B3352E"/>
    <w:rsid w:val="00B35544"/>
    <w:rsid w:val="00B35DD0"/>
    <w:rsid w:val="00B364B0"/>
    <w:rsid w:val="00B37576"/>
    <w:rsid w:val="00B404E9"/>
    <w:rsid w:val="00B44EA9"/>
    <w:rsid w:val="00B46E83"/>
    <w:rsid w:val="00B5074C"/>
    <w:rsid w:val="00B52E59"/>
    <w:rsid w:val="00B54845"/>
    <w:rsid w:val="00B62325"/>
    <w:rsid w:val="00B64A32"/>
    <w:rsid w:val="00B67564"/>
    <w:rsid w:val="00B70062"/>
    <w:rsid w:val="00B739CE"/>
    <w:rsid w:val="00B76CA6"/>
    <w:rsid w:val="00B82C68"/>
    <w:rsid w:val="00B8583E"/>
    <w:rsid w:val="00B91EE1"/>
    <w:rsid w:val="00B93BEC"/>
    <w:rsid w:val="00B9452C"/>
    <w:rsid w:val="00B95847"/>
    <w:rsid w:val="00B95B21"/>
    <w:rsid w:val="00B975BB"/>
    <w:rsid w:val="00BA07AE"/>
    <w:rsid w:val="00BA1A0F"/>
    <w:rsid w:val="00BA2CCA"/>
    <w:rsid w:val="00BA3FB7"/>
    <w:rsid w:val="00BA4D34"/>
    <w:rsid w:val="00BB1880"/>
    <w:rsid w:val="00BB2907"/>
    <w:rsid w:val="00BB3BCB"/>
    <w:rsid w:val="00BD2CD2"/>
    <w:rsid w:val="00BE2B5B"/>
    <w:rsid w:val="00BE4989"/>
    <w:rsid w:val="00BE5814"/>
    <w:rsid w:val="00BF3E1F"/>
    <w:rsid w:val="00C04694"/>
    <w:rsid w:val="00C0490A"/>
    <w:rsid w:val="00C04C42"/>
    <w:rsid w:val="00C1132E"/>
    <w:rsid w:val="00C114A7"/>
    <w:rsid w:val="00C12E10"/>
    <w:rsid w:val="00C20DA7"/>
    <w:rsid w:val="00C329A4"/>
    <w:rsid w:val="00C35549"/>
    <w:rsid w:val="00C3570C"/>
    <w:rsid w:val="00C44778"/>
    <w:rsid w:val="00C46346"/>
    <w:rsid w:val="00C541A9"/>
    <w:rsid w:val="00C55872"/>
    <w:rsid w:val="00C567E4"/>
    <w:rsid w:val="00C609B5"/>
    <w:rsid w:val="00C767E1"/>
    <w:rsid w:val="00C822C2"/>
    <w:rsid w:val="00C8582E"/>
    <w:rsid w:val="00C860C6"/>
    <w:rsid w:val="00C86B0A"/>
    <w:rsid w:val="00C873A1"/>
    <w:rsid w:val="00C90D84"/>
    <w:rsid w:val="00C90F1A"/>
    <w:rsid w:val="00C92367"/>
    <w:rsid w:val="00C94049"/>
    <w:rsid w:val="00C94258"/>
    <w:rsid w:val="00C960E7"/>
    <w:rsid w:val="00CA043C"/>
    <w:rsid w:val="00CA6F6B"/>
    <w:rsid w:val="00CB11F7"/>
    <w:rsid w:val="00CC1FAA"/>
    <w:rsid w:val="00CE72B9"/>
    <w:rsid w:val="00CF07A9"/>
    <w:rsid w:val="00CF41C8"/>
    <w:rsid w:val="00D006B4"/>
    <w:rsid w:val="00D0217A"/>
    <w:rsid w:val="00D02406"/>
    <w:rsid w:val="00D03706"/>
    <w:rsid w:val="00D20820"/>
    <w:rsid w:val="00D25404"/>
    <w:rsid w:val="00D25C8F"/>
    <w:rsid w:val="00D25E9F"/>
    <w:rsid w:val="00D26449"/>
    <w:rsid w:val="00D266FC"/>
    <w:rsid w:val="00D32AFD"/>
    <w:rsid w:val="00D373DB"/>
    <w:rsid w:val="00D42141"/>
    <w:rsid w:val="00D4577F"/>
    <w:rsid w:val="00D5353F"/>
    <w:rsid w:val="00D55F4B"/>
    <w:rsid w:val="00D56B1D"/>
    <w:rsid w:val="00D56B90"/>
    <w:rsid w:val="00D64856"/>
    <w:rsid w:val="00D83829"/>
    <w:rsid w:val="00D93D36"/>
    <w:rsid w:val="00D94B1E"/>
    <w:rsid w:val="00DA1786"/>
    <w:rsid w:val="00DA1884"/>
    <w:rsid w:val="00DA22C7"/>
    <w:rsid w:val="00DA477A"/>
    <w:rsid w:val="00DA56C7"/>
    <w:rsid w:val="00DB10AA"/>
    <w:rsid w:val="00DB20C2"/>
    <w:rsid w:val="00DB32CD"/>
    <w:rsid w:val="00DB36DF"/>
    <w:rsid w:val="00DB6C4A"/>
    <w:rsid w:val="00DC138E"/>
    <w:rsid w:val="00DD408A"/>
    <w:rsid w:val="00DE44F9"/>
    <w:rsid w:val="00DE4DE1"/>
    <w:rsid w:val="00DF4032"/>
    <w:rsid w:val="00DF61ED"/>
    <w:rsid w:val="00E00A5F"/>
    <w:rsid w:val="00E029A9"/>
    <w:rsid w:val="00E04B80"/>
    <w:rsid w:val="00E04F71"/>
    <w:rsid w:val="00E06FA2"/>
    <w:rsid w:val="00E104CA"/>
    <w:rsid w:val="00E20028"/>
    <w:rsid w:val="00E2056F"/>
    <w:rsid w:val="00E22B42"/>
    <w:rsid w:val="00E3034B"/>
    <w:rsid w:val="00E33441"/>
    <w:rsid w:val="00E34EB1"/>
    <w:rsid w:val="00E34FAA"/>
    <w:rsid w:val="00E3729E"/>
    <w:rsid w:val="00E379FC"/>
    <w:rsid w:val="00E47FF7"/>
    <w:rsid w:val="00E507AF"/>
    <w:rsid w:val="00E5355B"/>
    <w:rsid w:val="00E53788"/>
    <w:rsid w:val="00E563D8"/>
    <w:rsid w:val="00E61AE2"/>
    <w:rsid w:val="00E7284D"/>
    <w:rsid w:val="00E73C97"/>
    <w:rsid w:val="00E74392"/>
    <w:rsid w:val="00E75627"/>
    <w:rsid w:val="00E86396"/>
    <w:rsid w:val="00E91749"/>
    <w:rsid w:val="00E93E23"/>
    <w:rsid w:val="00E96C4F"/>
    <w:rsid w:val="00EB3114"/>
    <w:rsid w:val="00EB4FA9"/>
    <w:rsid w:val="00EB7406"/>
    <w:rsid w:val="00EC1B2B"/>
    <w:rsid w:val="00EC451A"/>
    <w:rsid w:val="00EC7595"/>
    <w:rsid w:val="00ED447D"/>
    <w:rsid w:val="00ED6DDC"/>
    <w:rsid w:val="00EE13FB"/>
    <w:rsid w:val="00EE256C"/>
    <w:rsid w:val="00EF16F2"/>
    <w:rsid w:val="00EF7460"/>
    <w:rsid w:val="00EF76C4"/>
    <w:rsid w:val="00F023D6"/>
    <w:rsid w:val="00F02883"/>
    <w:rsid w:val="00F04552"/>
    <w:rsid w:val="00F055E1"/>
    <w:rsid w:val="00F066FA"/>
    <w:rsid w:val="00F06FD9"/>
    <w:rsid w:val="00F12C1C"/>
    <w:rsid w:val="00F13E46"/>
    <w:rsid w:val="00F25B84"/>
    <w:rsid w:val="00F308D9"/>
    <w:rsid w:val="00F336CE"/>
    <w:rsid w:val="00F340F3"/>
    <w:rsid w:val="00F40EEC"/>
    <w:rsid w:val="00F43E28"/>
    <w:rsid w:val="00F547C9"/>
    <w:rsid w:val="00F5503D"/>
    <w:rsid w:val="00F559C3"/>
    <w:rsid w:val="00F56D6A"/>
    <w:rsid w:val="00F57602"/>
    <w:rsid w:val="00F617F1"/>
    <w:rsid w:val="00F61E75"/>
    <w:rsid w:val="00F632EC"/>
    <w:rsid w:val="00F63640"/>
    <w:rsid w:val="00F654E9"/>
    <w:rsid w:val="00F657AA"/>
    <w:rsid w:val="00F6753A"/>
    <w:rsid w:val="00F80935"/>
    <w:rsid w:val="00F81FA2"/>
    <w:rsid w:val="00F87F3E"/>
    <w:rsid w:val="00F95F95"/>
    <w:rsid w:val="00F9739C"/>
    <w:rsid w:val="00FA0CEB"/>
    <w:rsid w:val="00FA13DE"/>
    <w:rsid w:val="00FC2304"/>
    <w:rsid w:val="00FC4C04"/>
    <w:rsid w:val="00FC5120"/>
    <w:rsid w:val="00FC632E"/>
    <w:rsid w:val="00FE38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172"/>
    <w:pPr>
      <w:jc w:val="both"/>
    </w:pPr>
  </w:style>
  <w:style w:type="paragraph" w:styleId="Ttulo1">
    <w:name w:val="heading 1"/>
    <w:basedOn w:val="Normal"/>
    <w:next w:val="Normal"/>
    <w:link w:val="Ttulo1Car"/>
    <w:uiPriority w:val="9"/>
    <w:qFormat/>
    <w:rsid w:val="004D03C8"/>
    <w:pPr>
      <w:keepNext/>
      <w:keepLines/>
      <w:spacing w:before="480" w:after="0"/>
      <w:outlineLvl w:val="0"/>
    </w:pPr>
    <w:rPr>
      <w:rFonts w:asciiTheme="majorHAnsi" w:eastAsiaTheme="majorEastAsia" w:hAnsiTheme="majorHAnsi" w:cstheme="majorBidi"/>
      <w:b/>
      <w:bCs/>
      <w:color w:val="810000" w:themeColor="accent1" w:themeShade="BF"/>
      <w:sz w:val="44"/>
      <w:szCs w:val="28"/>
    </w:rPr>
  </w:style>
  <w:style w:type="paragraph" w:styleId="Ttulo2">
    <w:name w:val="heading 2"/>
    <w:basedOn w:val="Normal"/>
    <w:next w:val="Normal"/>
    <w:link w:val="Ttulo2Car"/>
    <w:uiPriority w:val="9"/>
    <w:unhideWhenUsed/>
    <w:qFormat/>
    <w:rsid w:val="00F308D9"/>
    <w:pPr>
      <w:keepNext/>
      <w:keepLines/>
      <w:spacing w:before="320" w:after="120"/>
      <w:outlineLvl w:val="1"/>
    </w:pPr>
    <w:rPr>
      <w:rFonts w:asciiTheme="majorHAnsi" w:eastAsiaTheme="majorEastAsia" w:hAnsiTheme="majorHAnsi" w:cstheme="majorBidi"/>
      <w:b/>
      <w:bCs/>
      <w:color w:val="AD0101" w:themeColor="accent1"/>
      <w:sz w:val="26"/>
      <w:szCs w:val="26"/>
    </w:rPr>
  </w:style>
  <w:style w:type="paragraph" w:styleId="Ttulo3">
    <w:name w:val="heading 3"/>
    <w:basedOn w:val="Normal"/>
    <w:next w:val="Normal"/>
    <w:link w:val="Ttulo3Car"/>
    <w:uiPriority w:val="9"/>
    <w:unhideWhenUsed/>
    <w:qFormat/>
    <w:rsid w:val="00F308D9"/>
    <w:pPr>
      <w:keepNext/>
      <w:keepLines/>
      <w:spacing w:before="320" w:after="120"/>
      <w:outlineLvl w:val="2"/>
    </w:pPr>
    <w:rPr>
      <w:rFonts w:asciiTheme="majorHAnsi" w:eastAsiaTheme="majorEastAsia" w:hAnsiTheme="majorHAnsi" w:cstheme="majorBidi"/>
      <w:b/>
      <w:bCs/>
      <w:color w:val="AD0101" w:themeColor="accent1"/>
    </w:rPr>
  </w:style>
  <w:style w:type="paragraph" w:styleId="Ttulo4">
    <w:name w:val="heading 4"/>
    <w:basedOn w:val="Normal"/>
    <w:next w:val="Normal"/>
    <w:link w:val="Ttulo4Car"/>
    <w:uiPriority w:val="9"/>
    <w:unhideWhenUsed/>
    <w:qFormat/>
    <w:rsid w:val="00E47FF7"/>
    <w:pPr>
      <w:keepNext/>
      <w:keepLines/>
      <w:spacing w:before="200" w:after="0"/>
      <w:outlineLvl w:val="3"/>
    </w:pPr>
    <w:rPr>
      <w:rFonts w:asciiTheme="majorHAnsi" w:eastAsiaTheme="majorEastAsia" w:hAnsiTheme="majorHAnsi" w:cstheme="majorBidi"/>
      <w:b/>
      <w:bCs/>
      <w:i/>
      <w:iCs/>
      <w:color w:val="AD0101" w:themeColor="accent1"/>
    </w:rPr>
  </w:style>
  <w:style w:type="paragraph" w:styleId="Ttulo5">
    <w:name w:val="heading 5"/>
    <w:basedOn w:val="Normal"/>
    <w:next w:val="Normal"/>
    <w:link w:val="Ttulo5Car"/>
    <w:uiPriority w:val="9"/>
    <w:unhideWhenUsed/>
    <w:qFormat/>
    <w:rsid w:val="005C29E5"/>
    <w:pPr>
      <w:keepNext/>
      <w:keepLines/>
      <w:spacing w:before="200" w:after="0"/>
      <w:outlineLvl w:val="4"/>
    </w:pPr>
    <w:rPr>
      <w:rFonts w:asciiTheme="majorHAnsi" w:eastAsiaTheme="majorEastAsia" w:hAnsiTheme="majorHAnsi" w:cstheme="majorBidi"/>
      <w:color w:val="550000" w:themeColor="accent1" w:themeShade="7F"/>
    </w:rPr>
  </w:style>
  <w:style w:type="paragraph" w:styleId="Ttulo6">
    <w:name w:val="heading 6"/>
    <w:basedOn w:val="Normal"/>
    <w:next w:val="Normal"/>
    <w:link w:val="Ttulo6Car"/>
    <w:uiPriority w:val="9"/>
    <w:semiHidden/>
    <w:unhideWhenUsed/>
    <w:qFormat/>
    <w:rsid w:val="008A6017"/>
    <w:pPr>
      <w:keepNext/>
      <w:keepLines/>
      <w:spacing w:before="200" w:after="0"/>
      <w:outlineLvl w:val="5"/>
    </w:pPr>
    <w:rPr>
      <w:rFonts w:asciiTheme="majorHAnsi" w:eastAsiaTheme="majorEastAsia" w:hAnsiTheme="majorHAnsi" w:cstheme="majorBidi"/>
      <w:i/>
      <w:iCs/>
      <w:color w:val="550000" w:themeColor="accent1" w:themeShade="7F"/>
    </w:rPr>
  </w:style>
  <w:style w:type="paragraph" w:styleId="Ttulo7">
    <w:name w:val="heading 7"/>
    <w:basedOn w:val="Normal"/>
    <w:next w:val="Normal"/>
    <w:link w:val="Ttulo7Car"/>
    <w:uiPriority w:val="9"/>
    <w:semiHidden/>
    <w:unhideWhenUsed/>
    <w:qFormat/>
    <w:rsid w:val="008A601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AD0101" w:themeColor="accent1"/>
      </w:pBdr>
      <w:spacing w:after="300" w:line="240" w:lineRule="auto"/>
      <w:contextualSpacing/>
    </w:pPr>
    <w:rPr>
      <w:rFonts w:asciiTheme="majorHAnsi" w:eastAsiaTheme="majorEastAsia" w:hAnsiTheme="majorHAnsi" w:cstheme="majorBidi"/>
      <w:color w:val="232323"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232323" w:themeColor="text2" w:themeShade="BF"/>
      <w:spacing w:val="5"/>
      <w:kern w:val="28"/>
      <w:sz w:val="52"/>
      <w:szCs w:val="52"/>
    </w:rPr>
  </w:style>
  <w:style w:type="paragraph" w:styleId="Textonotapie">
    <w:name w:val="footnote text"/>
    <w:basedOn w:val="Normal"/>
    <w:link w:val="TextonotapieCar"/>
    <w:uiPriority w:val="99"/>
    <w:unhideWhenUsed/>
    <w:rsid w:val="00F308D9"/>
    <w:pPr>
      <w:spacing w:before="120" w:after="120" w:line="240" w:lineRule="auto"/>
    </w:pPr>
    <w:rPr>
      <w:sz w:val="20"/>
      <w:szCs w:val="20"/>
    </w:rPr>
  </w:style>
  <w:style w:type="character" w:customStyle="1" w:styleId="TextonotapieCar">
    <w:name w:val="Texto nota pie Car"/>
    <w:basedOn w:val="Fuentedeprrafopredeter"/>
    <w:link w:val="Textonotapie"/>
    <w:uiPriority w:val="99"/>
    <w:rsid w:val="00F308D9"/>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4D03C8"/>
    <w:rPr>
      <w:rFonts w:asciiTheme="majorHAnsi" w:eastAsiaTheme="majorEastAsia" w:hAnsiTheme="majorHAnsi" w:cstheme="majorBidi"/>
      <w:b/>
      <w:bCs/>
      <w:color w:val="810000" w:themeColor="accent1" w:themeShade="BF"/>
      <w:sz w:val="44"/>
      <w:szCs w:val="28"/>
    </w:rPr>
  </w:style>
  <w:style w:type="paragraph" w:styleId="TtulodeTDC">
    <w:name w:val="TOC Heading"/>
    <w:basedOn w:val="Ttulo1"/>
    <w:next w:val="Normal"/>
    <w:uiPriority w:val="39"/>
    <w:semiHidden/>
    <w:unhideWhenUsed/>
    <w:qFormat/>
    <w:rsid w:val="007C3483"/>
    <w:pPr>
      <w:outlineLvl w:val="9"/>
    </w:pPr>
  </w:style>
  <w:style w:type="paragraph" w:styleId="TDC2">
    <w:name w:val="toc 2"/>
    <w:basedOn w:val="Normal"/>
    <w:next w:val="Normal"/>
    <w:autoRedefine/>
    <w:uiPriority w:val="39"/>
    <w:unhideWhenUsed/>
    <w:rsid w:val="00A17939"/>
    <w:pPr>
      <w:tabs>
        <w:tab w:val="left" w:pos="880"/>
        <w:tab w:val="right" w:leader="dot" w:pos="8494"/>
      </w:tabs>
      <w:spacing w:after="0"/>
      <w:ind w:left="220"/>
    </w:pPr>
    <w:rPr>
      <w:smallCaps/>
      <w:sz w:val="20"/>
      <w:szCs w:val="20"/>
    </w:rPr>
  </w:style>
  <w:style w:type="paragraph" w:styleId="TDC1">
    <w:name w:val="toc 1"/>
    <w:basedOn w:val="Normal"/>
    <w:next w:val="Normal"/>
    <w:autoRedefine/>
    <w:uiPriority w:val="39"/>
    <w:unhideWhenUsed/>
    <w:rsid w:val="007C3483"/>
    <w:pPr>
      <w:spacing w:before="120" w:after="120"/>
    </w:pPr>
    <w:rPr>
      <w:b/>
      <w:bCs/>
      <w:caps/>
      <w:sz w:val="20"/>
      <w:szCs w:val="20"/>
    </w:rPr>
  </w:style>
  <w:style w:type="paragraph" w:styleId="TDC3">
    <w:name w:val="toc 3"/>
    <w:basedOn w:val="Normal"/>
    <w:next w:val="Normal"/>
    <w:autoRedefine/>
    <w:uiPriority w:val="39"/>
    <w:unhideWhenUsed/>
    <w:rsid w:val="007C3483"/>
    <w:pPr>
      <w:spacing w:after="0"/>
      <w:ind w:left="440"/>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pPr>
    <w:rPr>
      <w:sz w:val="18"/>
      <w:szCs w:val="18"/>
    </w:rPr>
  </w:style>
  <w:style w:type="paragraph" w:styleId="TDC5">
    <w:name w:val="toc 5"/>
    <w:basedOn w:val="Normal"/>
    <w:next w:val="Normal"/>
    <w:autoRedefine/>
    <w:uiPriority w:val="39"/>
    <w:unhideWhenUsed/>
    <w:rsid w:val="007C3483"/>
    <w:pPr>
      <w:spacing w:after="0"/>
      <w:ind w:left="880"/>
    </w:pPr>
    <w:rPr>
      <w:sz w:val="18"/>
      <w:szCs w:val="18"/>
    </w:rPr>
  </w:style>
  <w:style w:type="paragraph" w:styleId="TDC6">
    <w:name w:val="toc 6"/>
    <w:basedOn w:val="Normal"/>
    <w:next w:val="Normal"/>
    <w:autoRedefine/>
    <w:uiPriority w:val="39"/>
    <w:unhideWhenUsed/>
    <w:rsid w:val="007C3483"/>
    <w:pPr>
      <w:spacing w:after="0"/>
      <w:ind w:left="1100"/>
    </w:pPr>
    <w:rPr>
      <w:sz w:val="18"/>
      <w:szCs w:val="18"/>
    </w:rPr>
  </w:style>
  <w:style w:type="paragraph" w:styleId="TDC7">
    <w:name w:val="toc 7"/>
    <w:basedOn w:val="Normal"/>
    <w:next w:val="Normal"/>
    <w:autoRedefine/>
    <w:uiPriority w:val="39"/>
    <w:unhideWhenUsed/>
    <w:rsid w:val="007C3483"/>
    <w:pPr>
      <w:spacing w:after="0"/>
      <w:ind w:left="1320"/>
    </w:pPr>
    <w:rPr>
      <w:sz w:val="18"/>
      <w:szCs w:val="18"/>
    </w:rPr>
  </w:style>
  <w:style w:type="paragraph" w:styleId="TDC8">
    <w:name w:val="toc 8"/>
    <w:basedOn w:val="Normal"/>
    <w:next w:val="Normal"/>
    <w:autoRedefine/>
    <w:uiPriority w:val="39"/>
    <w:unhideWhenUsed/>
    <w:rsid w:val="007C3483"/>
    <w:pPr>
      <w:spacing w:after="0"/>
      <w:ind w:left="1540"/>
    </w:pPr>
    <w:rPr>
      <w:sz w:val="18"/>
      <w:szCs w:val="18"/>
    </w:rPr>
  </w:style>
  <w:style w:type="paragraph" w:styleId="TDC9">
    <w:name w:val="toc 9"/>
    <w:basedOn w:val="Normal"/>
    <w:next w:val="Normal"/>
    <w:autoRedefine/>
    <w:uiPriority w:val="39"/>
    <w:unhideWhenUsed/>
    <w:rsid w:val="007C3483"/>
    <w:pPr>
      <w:spacing w:after="0"/>
      <w:ind w:left="1760"/>
    </w:pPr>
    <w:rPr>
      <w:sz w:val="18"/>
      <w:szCs w:val="18"/>
    </w:rPr>
  </w:style>
  <w:style w:type="paragraph" w:styleId="Tabladeilustraciones">
    <w:name w:val="table of figures"/>
    <w:basedOn w:val="Normal"/>
    <w:next w:val="Normal"/>
    <w:uiPriority w:val="99"/>
    <w:unhideWhenUsed/>
    <w:rsid w:val="007C3483"/>
    <w:pPr>
      <w:spacing w:after="0"/>
      <w:ind w:left="440" w:hanging="440"/>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D26900" w:themeColor="hyperlink"/>
      <w:u w:val="single"/>
    </w:rPr>
  </w:style>
  <w:style w:type="character" w:customStyle="1" w:styleId="Ttulo2Car">
    <w:name w:val="Título 2 Car"/>
    <w:basedOn w:val="Fuentedeprrafopredeter"/>
    <w:link w:val="Ttulo2"/>
    <w:uiPriority w:val="9"/>
    <w:rsid w:val="00F308D9"/>
    <w:rPr>
      <w:rFonts w:asciiTheme="majorHAnsi" w:eastAsiaTheme="majorEastAsia" w:hAnsiTheme="majorHAnsi" w:cstheme="majorBidi"/>
      <w:b/>
      <w:bCs/>
      <w:color w:val="AD0101" w:themeColor="accent1"/>
      <w:sz w:val="26"/>
      <w:szCs w:val="26"/>
    </w:rPr>
  </w:style>
  <w:style w:type="character" w:customStyle="1" w:styleId="Ttulo3Car">
    <w:name w:val="Título 3 Car"/>
    <w:basedOn w:val="Fuentedeprrafopredeter"/>
    <w:link w:val="Ttulo3"/>
    <w:uiPriority w:val="9"/>
    <w:rsid w:val="00F308D9"/>
    <w:rPr>
      <w:rFonts w:asciiTheme="majorHAnsi" w:eastAsiaTheme="majorEastAsia" w:hAnsiTheme="majorHAnsi" w:cstheme="majorBidi"/>
      <w:b/>
      <w:bCs/>
      <w:color w:val="AD0101" w:themeColor="accent1"/>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AD0101" w:themeColor="accent1"/>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color w:val="550000" w:themeColor="accent1" w:themeShade="7F"/>
    </w:rPr>
  </w:style>
  <w:style w:type="character" w:customStyle="1" w:styleId="Ttulo6Car">
    <w:name w:val="Título 6 Car"/>
    <w:basedOn w:val="Fuentedeprrafopredeter"/>
    <w:link w:val="Ttulo6"/>
    <w:uiPriority w:val="9"/>
    <w:semiHidden/>
    <w:rsid w:val="008A6017"/>
    <w:rPr>
      <w:rFonts w:asciiTheme="majorHAnsi" w:eastAsiaTheme="majorEastAsia" w:hAnsiTheme="majorHAnsi" w:cstheme="majorBidi"/>
      <w:i/>
      <w:iCs/>
      <w:color w:val="550000"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730EF9"/>
    <w:pPr>
      <w:spacing w:after="0" w:line="240" w:lineRule="auto"/>
      <w:jc w:val="left"/>
    </w:pPr>
    <w:rPr>
      <w:b/>
      <w:bCs/>
      <w:i/>
      <w:szCs w:val="18"/>
    </w:rPr>
  </w:style>
  <w:style w:type="paragraph" w:styleId="Prrafodelista">
    <w:name w:val="List Paragraph"/>
    <w:basedOn w:val="Normal"/>
    <w:uiPriority w:val="34"/>
    <w:qFormat/>
    <w:rsid w:val="002A60F6"/>
    <w:pPr>
      <w:ind w:left="720"/>
      <w:contextualSpacing/>
    </w:pPr>
  </w:style>
  <w:style w:type="table" w:styleId="Tablaconcuadrcula">
    <w:name w:val="Table Grid"/>
    <w:basedOn w:val="Tablanormal"/>
    <w:uiPriority w:val="59"/>
    <w:rsid w:val="003F74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dice1">
    <w:name w:val="index 1"/>
    <w:basedOn w:val="Normal"/>
    <w:next w:val="Normal"/>
    <w:autoRedefine/>
    <w:uiPriority w:val="99"/>
    <w:unhideWhenUsed/>
    <w:rsid w:val="00C12E10"/>
    <w:pPr>
      <w:spacing w:after="0"/>
      <w:ind w:left="220" w:hanging="220"/>
    </w:pPr>
    <w:rPr>
      <w:sz w:val="18"/>
      <w:szCs w:val="18"/>
    </w:rPr>
  </w:style>
  <w:style w:type="paragraph" w:styleId="ndice2">
    <w:name w:val="index 2"/>
    <w:basedOn w:val="Normal"/>
    <w:next w:val="Normal"/>
    <w:autoRedefine/>
    <w:uiPriority w:val="99"/>
    <w:unhideWhenUsed/>
    <w:rsid w:val="00C12E10"/>
    <w:pPr>
      <w:spacing w:after="0"/>
      <w:ind w:left="440" w:hanging="220"/>
    </w:pPr>
    <w:rPr>
      <w:sz w:val="18"/>
      <w:szCs w:val="18"/>
    </w:rPr>
  </w:style>
  <w:style w:type="paragraph" w:styleId="ndice3">
    <w:name w:val="index 3"/>
    <w:basedOn w:val="Normal"/>
    <w:next w:val="Normal"/>
    <w:autoRedefine/>
    <w:uiPriority w:val="99"/>
    <w:unhideWhenUsed/>
    <w:rsid w:val="00C12E10"/>
    <w:pPr>
      <w:spacing w:after="0"/>
      <w:ind w:left="660" w:hanging="220"/>
    </w:pPr>
    <w:rPr>
      <w:sz w:val="18"/>
      <w:szCs w:val="18"/>
    </w:rPr>
  </w:style>
  <w:style w:type="paragraph" w:styleId="ndice4">
    <w:name w:val="index 4"/>
    <w:basedOn w:val="Normal"/>
    <w:next w:val="Normal"/>
    <w:autoRedefine/>
    <w:uiPriority w:val="99"/>
    <w:unhideWhenUsed/>
    <w:rsid w:val="00C12E10"/>
    <w:pPr>
      <w:spacing w:after="0"/>
      <w:ind w:left="880" w:hanging="220"/>
    </w:pPr>
    <w:rPr>
      <w:sz w:val="18"/>
      <w:szCs w:val="18"/>
    </w:rPr>
  </w:style>
  <w:style w:type="paragraph" w:styleId="ndice5">
    <w:name w:val="index 5"/>
    <w:basedOn w:val="Normal"/>
    <w:next w:val="Normal"/>
    <w:autoRedefine/>
    <w:uiPriority w:val="99"/>
    <w:unhideWhenUsed/>
    <w:rsid w:val="00C12E10"/>
    <w:pPr>
      <w:spacing w:after="0"/>
      <w:ind w:left="1100" w:hanging="220"/>
    </w:pPr>
    <w:rPr>
      <w:sz w:val="18"/>
      <w:szCs w:val="18"/>
    </w:rPr>
  </w:style>
  <w:style w:type="paragraph" w:styleId="ndice6">
    <w:name w:val="index 6"/>
    <w:basedOn w:val="Normal"/>
    <w:next w:val="Normal"/>
    <w:autoRedefine/>
    <w:uiPriority w:val="99"/>
    <w:unhideWhenUsed/>
    <w:rsid w:val="00C12E10"/>
    <w:pPr>
      <w:spacing w:after="0"/>
      <w:ind w:left="1320" w:hanging="220"/>
    </w:pPr>
    <w:rPr>
      <w:sz w:val="18"/>
      <w:szCs w:val="18"/>
    </w:rPr>
  </w:style>
  <w:style w:type="paragraph" w:styleId="ndice7">
    <w:name w:val="index 7"/>
    <w:basedOn w:val="Normal"/>
    <w:next w:val="Normal"/>
    <w:autoRedefine/>
    <w:uiPriority w:val="99"/>
    <w:unhideWhenUsed/>
    <w:rsid w:val="00C12E10"/>
    <w:pPr>
      <w:spacing w:after="0"/>
      <w:ind w:left="1540" w:hanging="220"/>
    </w:pPr>
    <w:rPr>
      <w:sz w:val="18"/>
      <w:szCs w:val="18"/>
    </w:rPr>
  </w:style>
  <w:style w:type="paragraph" w:styleId="ndice8">
    <w:name w:val="index 8"/>
    <w:basedOn w:val="Normal"/>
    <w:next w:val="Normal"/>
    <w:autoRedefine/>
    <w:uiPriority w:val="99"/>
    <w:unhideWhenUsed/>
    <w:rsid w:val="00C12E10"/>
    <w:pPr>
      <w:spacing w:after="0"/>
      <w:ind w:left="1760" w:hanging="220"/>
    </w:pPr>
    <w:rPr>
      <w:sz w:val="18"/>
      <w:szCs w:val="18"/>
    </w:rPr>
  </w:style>
  <w:style w:type="paragraph" w:styleId="ndice9">
    <w:name w:val="index 9"/>
    <w:basedOn w:val="Normal"/>
    <w:next w:val="Normal"/>
    <w:autoRedefine/>
    <w:uiPriority w:val="99"/>
    <w:unhideWhenUsed/>
    <w:rsid w:val="00C12E10"/>
    <w:pPr>
      <w:spacing w:after="0"/>
      <w:ind w:left="1980" w:hanging="220"/>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D89243"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styleId="Sombreadomedio2-nfasis1">
    <w:name w:val="Medium Shading 2 Accent 1"/>
    <w:basedOn w:val="Tablanormal"/>
    <w:uiPriority w:val="64"/>
    <w:rsid w:val="00BE581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D0101"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D0101" w:themeFill="accent1"/>
      </w:tcPr>
    </w:tblStylePr>
    <w:tblStylePr w:type="lastCol">
      <w:rPr>
        <w:b/>
        <w:bCs/>
        <w:color w:val="FFFFFF" w:themeColor="background1"/>
      </w:rPr>
      <w:tblPr/>
      <w:tcPr>
        <w:tcBorders>
          <w:left w:val="nil"/>
          <w:right w:val="nil"/>
          <w:insideH w:val="nil"/>
          <w:insideV w:val="nil"/>
        </w:tcBorders>
        <w:shd w:val="clear" w:color="auto" w:fill="AD010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extonotaalfinal">
    <w:name w:val="endnote text"/>
    <w:basedOn w:val="Normal"/>
    <w:link w:val="TextonotaalfinalCar"/>
    <w:uiPriority w:val="99"/>
    <w:unhideWhenUsed/>
    <w:rsid w:val="00576522"/>
    <w:pPr>
      <w:spacing w:after="0" w:line="240" w:lineRule="auto"/>
    </w:pPr>
    <w:rPr>
      <w:sz w:val="20"/>
      <w:szCs w:val="20"/>
    </w:rPr>
  </w:style>
  <w:style w:type="character" w:customStyle="1" w:styleId="TextonotaalfinalCar">
    <w:name w:val="Texto nota al final Car"/>
    <w:basedOn w:val="Fuentedeprrafopredeter"/>
    <w:link w:val="Textonotaalfinal"/>
    <w:uiPriority w:val="99"/>
    <w:rsid w:val="00576522"/>
    <w:rPr>
      <w:sz w:val="20"/>
      <w:szCs w:val="20"/>
    </w:rPr>
  </w:style>
  <w:style w:type="character" w:styleId="Refdenotaalfinal">
    <w:name w:val="endnote reference"/>
    <w:basedOn w:val="Fuentedeprrafopredeter"/>
    <w:uiPriority w:val="99"/>
    <w:semiHidden/>
    <w:unhideWhenUsed/>
    <w:rsid w:val="00576522"/>
    <w:rPr>
      <w:vertAlign w:val="superscript"/>
    </w:rPr>
  </w:style>
  <w:style w:type="character" w:customStyle="1" w:styleId="elsevierstyleitalic">
    <w:name w:val="elsevierstyleitalic"/>
    <w:basedOn w:val="Fuentedeprrafopredeter"/>
    <w:rsid w:val="00576522"/>
  </w:style>
  <w:style w:type="character" w:customStyle="1" w:styleId="elsevierstylesup">
    <w:name w:val="elsevierstylesup"/>
    <w:basedOn w:val="Fuentedeprrafopredeter"/>
    <w:rsid w:val="00576522"/>
  </w:style>
  <w:style w:type="paragraph" w:styleId="Sinespaciado">
    <w:name w:val="No Spacing"/>
    <w:uiPriority w:val="1"/>
    <w:qFormat/>
    <w:rsid w:val="00F632EC"/>
    <w:pPr>
      <w:spacing w:after="0" w:line="240" w:lineRule="auto"/>
      <w:jc w:val="both"/>
    </w:pPr>
  </w:style>
  <w:style w:type="table" w:styleId="Listaoscura-nfasis5">
    <w:name w:val="Dark List Accent 5"/>
    <w:basedOn w:val="Tablanormal"/>
    <w:uiPriority w:val="70"/>
    <w:rsid w:val="007A51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24E5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62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3A4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3A43" w:themeFill="accent5" w:themeFillShade="BF"/>
      </w:tcPr>
    </w:tblStylePr>
    <w:tblStylePr w:type="band1Vert">
      <w:tblPr/>
      <w:tcPr>
        <w:tcBorders>
          <w:top w:val="nil"/>
          <w:left w:val="nil"/>
          <w:bottom w:val="nil"/>
          <w:right w:val="nil"/>
          <w:insideH w:val="nil"/>
          <w:insideV w:val="nil"/>
        </w:tcBorders>
        <w:shd w:val="clear" w:color="auto" w:fill="313A43" w:themeFill="accent5" w:themeFillShade="BF"/>
      </w:tcPr>
    </w:tblStylePr>
    <w:tblStylePr w:type="band1Horz">
      <w:tblPr/>
      <w:tcPr>
        <w:tcBorders>
          <w:top w:val="nil"/>
          <w:left w:val="nil"/>
          <w:bottom w:val="nil"/>
          <w:right w:val="nil"/>
          <w:insideH w:val="nil"/>
          <w:insideV w:val="nil"/>
        </w:tcBorders>
        <w:shd w:val="clear" w:color="auto" w:fill="313A43" w:themeFill="accent5" w:themeFillShade="BF"/>
      </w:tcPr>
    </w:tblStylePr>
  </w:style>
  <w:style w:type="table" w:styleId="Listaoscura-nfasis3">
    <w:name w:val="Dark List Accent 3"/>
    <w:basedOn w:val="Tablanormal"/>
    <w:uiPriority w:val="70"/>
    <w:rsid w:val="00AA4566"/>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AC956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94B33"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6704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6704C" w:themeFill="accent3" w:themeFillShade="BF"/>
      </w:tcPr>
    </w:tblStylePr>
    <w:tblStylePr w:type="band1Vert">
      <w:tblPr/>
      <w:tcPr>
        <w:tcBorders>
          <w:top w:val="nil"/>
          <w:left w:val="nil"/>
          <w:bottom w:val="nil"/>
          <w:right w:val="nil"/>
          <w:insideH w:val="nil"/>
          <w:insideV w:val="nil"/>
        </w:tcBorders>
        <w:shd w:val="clear" w:color="auto" w:fill="86704C" w:themeFill="accent3" w:themeFillShade="BF"/>
      </w:tcPr>
    </w:tblStylePr>
    <w:tblStylePr w:type="band1Horz">
      <w:tblPr/>
      <w:tcPr>
        <w:tcBorders>
          <w:top w:val="nil"/>
          <w:left w:val="nil"/>
          <w:bottom w:val="nil"/>
          <w:right w:val="nil"/>
          <w:insideH w:val="nil"/>
          <w:insideV w:val="nil"/>
        </w:tcBorders>
        <w:shd w:val="clear" w:color="auto" w:fill="86704C" w:themeFill="accent3" w:themeFillShade="BF"/>
      </w:tcPr>
    </w:tblStylePr>
  </w:style>
  <w:style w:type="table" w:styleId="Cuadrculamedia3-nfasis2">
    <w:name w:val="Medium Grid 3 Accent 2"/>
    <w:basedOn w:val="Tablanormal"/>
    <w:uiPriority w:val="69"/>
    <w:rsid w:val="00AA456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ED7D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260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260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260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260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AE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AEA6" w:themeFill="accent2" w:themeFillTint="7F"/>
      </w:tcPr>
    </w:tblStylePr>
  </w:style>
  <w:style w:type="table" w:styleId="Cuadrculamedia3">
    <w:name w:val="Medium Grid 3"/>
    <w:basedOn w:val="Tablanormal"/>
    <w:uiPriority w:val="69"/>
    <w:rsid w:val="00AA456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5">
    <w:name w:val="Medium Grid 3 Accent 5"/>
    <w:basedOn w:val="Tablanormal"/>
    <w:uiPriority w:val="69"/>
    <w:rsid w:val="00AA456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CD3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24E5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24E5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24E5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24E5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9A6B5"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9A6B5" w:themeFill="accent5" w:themeFillTint="7F"/>
      </w:tcPr>
    </w:tblStylePr>
  </w:style>
  <w:style w:type="paragraph" w:styleId="NormalWeb">
    <w:name w:val="Normal (Web)"/>
    <w:basedOn w:val="Normal"/>
    <w:uiPriority w:val="99"/>
    <w:unhideWhenUsed/>
    <w:rsid w:val="00C04C42"/>
    <w:pPr>
      <w:spacing w:before="100" w:beforeAutospacing="1" w:after="100" w:afterAutospacing="1" w:line="240" w:lineRule="auto"/>
      <w:jc w:val="left"/>
    </w:pPr>
    <w:rPr>
      <w:rFonts w:ascii="Times New Roman" w:eastAsiaTheme="minorEastAsia" w:hAnsi="Times New Roman" w:cs="Times New Roman"/>
      <w:sz w:val="24"/>
      <w:szCs w:val="24"/>
      <w:lang w:eastAsia="es-ES"/>
    </w:rPr>
  </w:style>
  <w:style w:type="table" w:styleId="Cuadrculamedia3-nfasis3">
    <w:name w:val="Medium Grid 3 Accent 3"/>
    <w:basedOn w:val="Tablanormal"/>
    <w:uiPriority w:val="69"/>
    <w:rsid w:val="006B5E9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AE4D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C956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C956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C956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C956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5CAB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5CAB6" w:themeFill="accent3" w:themeFillTint="7F"/>
      </w:tcPr>
    </w:tblStylePr>
  </w:style>
  <w:style w:type="table" w:styleId="Cuadrculamedia3-nfasis4">
    <w:name w:val="Medium Grid 3 Accent 4"/>
    <w:basedOn w:val="Tablanormal"/>
    <w:uiPriority w:val="69"/>
    <w:rsid w:val="0090528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2E9"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DA9"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DA9"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DA9"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DA9"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C5D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C5D4" w:themeFill="accent4" w:themeFillTint="7F"/>
      </w:tcPr>
    </w:tblStylePr>
  </w:style>
  <w:style w:type="table" w:styleId="Sombreadomedio2-nfasis2">
    <w:name w:val="Medium Shading 2 Accent 2"/>
    <w:basedOn w:val="Tablanormal"/>
    <w:uiPriority w:val="64"/>
    <w:rsid w:val="0090528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260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26056" w:themeFill="accent2"/>
      </w:tcPr>
    </w:tblStylePr>
    <w:tblStylePr w:type="lastCol">
      <w:rPr>
        <w:b/>
        <w:bCs/>
        <w:color w:val="FFFFFF" w:themeColor="background1"/>
      </w:rPr>
      <w:tblPr/>
      <w:tcPr>
        <w:tcBorders>
          <w:left w:val="nil"/>
          <w:right w:val="nil"/>
          <w:insideH w:val="nil"/>
          <w:insideV w:val="nil"/>
        </w:tcBorders>
        <w:shd w:val="clear" w:color="auto" w:fill="7260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oscura-nfasis4">
    <w:name w:val="Dark List Accent 4"/>
    <w:basedOn w:val="Tablanormal"/>
    <w:uiPriority w:val="70"/>
    <w:rsid w:val="0090528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8DA9"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B445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9678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96784" w:themeFill="accent4" w:themeFillShade="BF"/>
      </w:tcPr>
    </w:tblStylePr>
    <w:tblStylePr w:type="band1Vert">
      <w:tblPr/>
      <w:tcPr>
        <w:tcBorders>
          <w:top w:val="nil"/>
          <w:left w:val="nil"/>
          <w:bottom w:val="nil"/>
          <w:right w:val="nil"/>
          <w:insideH w:val="nil"/>
          <w:insideV w:val="nil"/>
        </w:tcBorders>
        <w:shd w:val="clear" w:color="auto" w:fill="596784" w:themeFill="accent4" w:themeFillShade="BF"/>
      </w:tcPr>
    </w:tblStylePr>
    <w:tblStylePr w:type="band1Horz">
      <w:tblPr/>
      <w:tcPr>
        <w:tcBorders>
          <w:top w:val="nil"/>
          <w:left w:val="nil"/>
          <w:bottom w:val="nil"/>
          <w:right w:val="nil"/>
          <w:insideH w:val="nil"/>
          <w:insideV w:val="nil"/>
        </w:tcBorders>
        <w:shd w:val="clear" w:color="auto" w:fill="596784" w:themeFill="accent4" w:themeFillShade="BF"/>
      </w:tcPr>
    </w:tblStylePr>
  </w:style>
  <w:style w:type="table" w:styleId="Listaoscura">
    <w:name w:val="Dark List"/>
    <w:basedOn w:val="Tablanormal"/>
    <w:uiPriority w:val="70"/>
    <w:rsid w:val="0090528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90528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AD0101"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000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81000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810000" w:themeFill="accent1" w:themeFillShade="BF"/>
      </w:tcPr>
    </w:tblStylePr>
    <w:tblStylePr w:type="band1Vert">
      <w:tblPr/>
      <w:tcPr>
        <w:tcBorders>
          <w:top w:val="nil"/>
          <w:left w:val="nil"/>
          <w:bottom w:val="nil"/>
          <w:right w:val="nil"/>
          <w:insideH w:val="nil"/>
          <w:insideV w:val="nil"/>
        </w:tcBorders>
        <w:shd w:val="clear" w:color="auto" w:fill="810000" w:themeFill="accent1" w:themeFillShade="BF"/>
      </w:tcPr>
    </w:tblStylePr>
    <w:tblStylePr w:type="band1Horz">
      <w:tblPr/>
      <w:tcPr>
        <w:tcBorders>
          <w:top w:val="nil"/>
          <w:left w:val="nil"/>
          <w:bottom w:val="nil"/>
          <w:right w:val="nil"/>
          <w:insideH w:val="nil"/>
          <w:insideV w:val="nil"/>
        </w:tcBorders>
        <w:shd w:val="clear" w:color="auto" w:fill="810000" w:themeFill="accent1" w:themeFillShade="BF"/>
      </w:tcPr>
    </w:tblStylePr>
  </w:style>
  <w:style w:type="table" w:styleId="Sombreadomedio2-nfasis5">
    <w:name w:val="Medium Shading 2 Accent 5"/>
    <w:basedOn w:val="Tablanormal"/>
    <w:uiPriority w:val="64"/>
    <w:rsid w:val="0090528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24E5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24E5B" w:themeFill="accent5"/>
      </w:tcPr>
    </w:tblStylePr>
    <w:tblStylePr w:type="lastCol">
      <w:rPr>
        <w:b/>
        <w:bCs/>
        <w:color w:val="FFFFFF" w:themeColor="background1"/>
      </w:rPr>
      <w:tblPr/>
      <w:tcPr>
        <w:tcBorders>
          <w:left w:val="nil"/>
          <w:right w:val="nil"/>
          <w:insideH w:val="nil"/>
          <w:insideV w:val="nil"/>
        </w:tcBorders>
        <w:shd w:val="clear" w:color="auto" w:fill="424E5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clara-nfasis6">
    <w:name w:val="Light Grid Accent 6"/>
    <w:basedOn w:val="Tablanormal"/>
    <w:uiPriority w:val="62"/>
    <w:rsid w:val="0090528B"/>
    <w:pPr>
      <w:spacing w:after="0" w:line="240" w:lineRule="auto"/>
    </w:pPr>
    <w:tblPr>
      <w:tblStyleRowBandSize w:val="1"/>
      <w:tblStyleColBandSize w:val="1"/>
      <w:tblInd w:w="0" w:type="dxa"/>
      <w:tblBorders>
        <w:top w:val="single" w:sz="8" w:space="0" w:color="730E00" w:themeColor="accent6"/>
        <w:left w:val="single" w:sz="8" w:space="0" w:color="730E00" w:themeColor="accent6"/>
        <w:bottom w:val="single" w:sz="8" w:space="0" w:color="730E00" w:themeColor="accent6"/>
        <w:right w:val="single" w:sz="8" w:space="0" w:color="730E00" w:themeColor="accent6"/>
        <w:insideH w:val="single" w:sz="8" w:space="0" w:color="730E00" w:themeColor="accent6"/>
        <w:insideV w:val="single" w:sz="8" w:space="0" w:color="730E00"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30E00" w:themeColor="accent6"/>
          <w:left w:val="single" w:sz="8" w:space="0" w:color="730E00" w:themeColor="accent6"/>
          <w:bottom w:val="single" w:sz="18" w:space="0" w:color="730E00" w:themeColor="accent6"/>
          <w:right w:val="single" w:sz="8" w:space="0" w:color="730E00" w:themeColor="accent6"/>
          <w:insideH w:val="nil"/>
          <w:insideV w:val="single" w:sz="8" w:space="0" w:color="730E0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0E00" w:themeColor="accent6"/>
          <w:left w:val="single" w:sz="8" w:space="0" w:color="730E00" w:themeColor="accent6"/>
          <w:bottom w:val="single" w:sz="8" w:space="0" w:color="730E00" w:themeColor="accent6"/>
          <w:right w:val="single" w:sz="8" w:space="0" w:color="730E00" w:themeColor="accent6"/>
          <w:insideH w:val="nil"/>
          <w:insideV w:val="single" w:sz="8" w:space="0" w:color="730E0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0E00" w:themeColor="accent6"/>
          <w:left w:val="single" w:sz="8" w:space="0" w:color="730E00" w:themeColor="accent6"/>
          <w:bottom w:val="single" w:sz="8" w:space="0" w:color="730E00" w:themeColor="accent6"/>
          <w:right w:val="single" w:sz="8" w:space="0" w:color="730E00" w:themeColor="accent6"/>
        </w:tcBorders>
      </w:tcPr>
    </w:tblStylePr>
    <w:tblStylePr w:type="band1Vert">
      <w:tblPr/>
      <w:tcPr>
        <w:tcBorders>
          <w:top w:val="single" w:sz="8" w:space="0" w:color="730E00" w:themeColor="accent6"/>
          <w:left w:val="single" w:sz="8" w:space="0" w:color="730E00" w:themeColor="accent6"/>
          <w:bottom w:val="single" w:sz="8" w:space="0" w:color="730E00" w:themeColor="accent6"/>
          <w:right w:val="single" w:sz="8" w:space="0" w:color="730E00" w:themeColor="accent6"/>
        </w:tcBorders>
        <w:shd w:val="clear" w:color="auto" w:fill="FFA99D" w:themeFill="accent6" w:themeFillTint="3F"/>
      </w:tcPr>
    </w:tblStylePr>
    <w:tblStylePr w:type="band1Horz">
      <w:tblPr/>
      <w:tcPr>
        <w:tcBorders>
          <w:top w:val="single" w:sz="8" w:space="0" w:color="730E00" w:themeColor="accent6"/>
          <w:left w:val="single" w:sz="8" w:space="0" w:color="730E00" w:themeColor="accent6"/>
          <w:bottom w:val="single" w:sz="8" w:space="0" w:color="730E00" w:themeColor="accent6"/>
          <w:right w:val="single" w:sz="8" w:space="0" w:color="730E00" w:themeColor="accent6"/>
          <w:insideV w:val="single" w:sz="8" w:space="0" w:color="730E00" w:themeColor="accent6"/>
        </w:tcBorders>
        <w:shd w:val="clear" w:color="auto" w:fill="FFA99D" w:themeFill="accent6" w:themeFillTint="3F"/>
      </w:tcPr>
    </w:tblStylePr>
    <w:tblStylePr w:type="band2Horz">
      <w:tblPr/>
      <w:tcPr>
        <w:tcBorders>
          <w:top w:val="single" w:sz="8" w:space="0" w:color="730E00" w:themeColor="accent6"/>
          <w:left w:val="single" w:sz="8" w:space="0" w:color="730E00" w:themeColor="accent6"/>
          <w:bottom w:val="single" w:sz="8" w:space="0" w:color="730E00" w:themeColor="accent6"/>
          <w:right w:val="single" w:sz="8" w:space="0" w:color="730E00" w:themeColor="accent6"/>
          <w:insideV w:val="single" w:sz="8" w:space="0" w:color="730E00" w:themeColor="accent6"/>
        </w:tcBorders>
      </w:tcPr>
    </w:tblStylePr>
  </w:style>
  <w:style w:type="table" w:styleId="Sombreadoclaro-nfasis3">
    <w:name w:val="Light Shading Accent 3"/>
    <w:basedOn w:val="Tablanormal"/>
    <w:uiPriority w:val="60"/>
    <w:rsid w:val="004A2FC1"/>
    <w:pPr>
      <w:spacing w:after="0" w:line="240" w:lineRule="auto"/>
    </w:pPr>
    <w:rPr>
      <w:color w:val="86704C" w:themeColor="accent3" w:themeShade="BF"/>
    </w:rPr>
    <w:tblPr>
      <w:tblStyleRowBandSize w:val="1"/>
      <w:tblStyleColBandSize w:val="1"/>
      <w:tblInd w:w="0" w:type="dxa"/>
      <w:tblBorders>
        <w:top w:val="single" w:sz="8" w:space="0" w:color="AC956E" w:themeColor="accent3"/>
        <w:bottom w:val="single" w:sz="8" w:space="0" w:color="AC956E"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C956E" w:themeColor="accent3"/>
          <w:left w:val="nil"/>
          <w:bottom w:val="single" w:sz="8" w:space="0" w:color="AC956E" w:themeColor="accent3"/>
          <w:right w:val="nil"/>
          <w:insideH w:val="nil"/>
          <w:insideV w:val="nil"/>
        </w:tcBorders>
      </w:tcPr>
    </w:tblStylePr>
    <w:tblStylePr w:type="lastRow">
      <w:pPr>
        <w:spacing w:before="0" w:after="0" w:line="240" w:lineRule="auto"/>
      </w:pPr>
      <w:rPr>
        <w:b/>
        <w:bCs/>
      </w:rPr>
      <w:tblPr/>
      <w:tcPr>
        <w:tcBorders>
          <w:top w:val="single" w:sz="8" w:space="0" w:color="AC956E" w:themeColor="accent3"/>
          <w:left w:val="nil"/>
          <w:bottom w:val="single" w:sz="8" w:space="0" w:color="AC956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4DB" w:themeFill="accent3" w:themeFillTint="3F"/>
      </w:tcPr>
    </w:tblStylePr>
    <w:tblStylePr w:type="band1Horz">
      <w:tblPr/>
      <w:tcPr>
        <w:tcBorders>
          <w:left w:val="nil"/>
          <w:right w:val="nil"/>
          <w:insideH w:val="nil"/>
          <w:insideV w:val="nil"/>
        </w:tcBorders>
        <w:shd w:val="clear" w:color="auto" w:fill="EAE4DB" w:themeFill="accent3" w:themeFillTint="3F"/>
      </w:tcPr>
    </w:tblStylePr>
  </w:style>
  <w:style w:type="table" w:styleId="Sombreadoclaro-nfasis2">
    <w:name w:val="Light Shading Accent 2"/>
    <w:basedOn w:val="Tablanormal"/>
    <w:uiPriority w:val="60"/>
    <w:rsid w:val="004A2FC1"/>
    <w:pPr>
      <w:spacing w:after="0" w:line="240" w:lineRule="auto"/>
    </w:pPr>
    <w:rPr>
      <w:color w:val="554740" w:themeColor="accent2" w:themeShade="BF"/>
    </w:rPr>
    <w:tblPr>
      <w:tblStyleRowBandSize w:val="1"/>
      <w:tblStyleColBandSize w:val="1"/>
      <w:tblInd w:w="0" w:type="dxa"/>
      <w:tblBorders>
        <w:top w:val="single" w:sz="8" w:space="0" w:color="726056" w:themeColor="accent2"/>
        <w:bottom w:val="single" w:sz="8" w:space="0" w:color="726056"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26056" w:themeColor="accent2"/>
          <w:left w:val="nil"/>
          <w:bottom w:val="single" w:sz="8" w:space="0" w:color="726056" w:themeColor="accent2"/>
          <w:right w:val="nil"/>
          <w:insideH w:val="nil"/>
          <w:insideV w:val="nil"/>
        </w:tcBorders>
      </w:tcPr>
    </w:tblStylePr>
    <w:tblStylePr w:type="lastRow">
      <w:pPr>
        <w:spacing w:before="0" w:after="0" w:line="240" w:lineRule="auto"/>
      </w:pPr>
      <w:rPr>
        <w:b/>
        <w:bCs/>
      </w:rPr>
      <w:tblPr/>
      <w:tcPr>
        <w:tcBorders>
          <w:top w:val="single" w:sz="8" w:space="0" w:color="726056" w:themeColor="accent2"/>
          <w:left w:val="nil"/>
          <w:bottom w:val="single" w:sz="8" w:space="0" w:color="7260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D7D3" w:themeFill="accent2" w:themeFillTint="3F"/>
      </w:tcPr>
    </w:tblStylePr>
    <w:tblStylePr w:type="band1Horz">
      <w:tblPr/>
      <w:tcPr>
        <w:tcBorders>
          <w:left w:val="nil"/>
          <w:right w:val="nil"/>
          <w:insideH w:val="nil"/>
          <w:insideV w:val="nil"/>
        </w:tcBorders>
        <w:shd w:val="clear" w:color="auto" w:fill="DED7D3" w:themeFill="accent2" w:themeFillTint="3F"/>
      </w:tcPr>
    </w:tblStylePr>
  </w:style>
  <w:style w:type="table" w:styleId="Sombreadoclaro-nfasis1">
    <w:name w:val="Light Shading Accent 1"/>
    <w:basedOn w:val="Tablanormal"/>
    <w:uiPriority w:val="60"/>
    <w:rsid w:val="004A2FC1"/>
    <w:pPr>
      <w:spacing w:after="0" w:line="240" w:lineRule="auto"/>
    </w:pPr>
    <w:rPr>
      <w:color w:val="810000" w:themeColor="accent1" w:themeShade="BF"/>
    </w:rPr>
    <w:tblPr>
      <w:tblStyleRowBandSize w:val="1"/>
      <w:tblStyleColBandSize w:val="1"/>
      <w:tblInd w:w="0" w:type="dxa"/>
      <w:tblBorders>
        <w:top w:val="single" w:sz="8" w:space="0" w:color="AD0101" w:themeColor="accent1"/>
        <w:bottom w:val="single" w:sz="8" w:space="0" w:color="AD0101"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la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CAC" w:themeFill="accent1" w:themeFillTint="3F"/>
      </w:tcPr>
    </w:tblStylePr>
    <w:tblStylePr w:type="band1Horz">
      <w:tblPr/>
      <w:tcPr>
        <w:tcBorders>
          <w:left w:val="nil"/>
          <w:right w:val="nil"/>
          <w:insideH w:val="nil"/>
          <w:insideV w:val="nil"/>
        </w:tcBorders>
        <w:shd w:val="clear" w:color="auto" w:fill="FEACAC" w:themeFill="accent1" w:themeFillTint="3F"/>
      </w:tcPr>
    </w:tblStylePr>
  </w:style>
  <w:style w:type="table" w:styleId="Listaoscura-nfasis2">
    <w:name w:val="Dark List Accent 2"/>
    <w:basedOn w:val="Tablanormal"/>
    <w:uiPriority w:val="70"/>
    <w:rsid w:val="000D66ED"/>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260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2F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547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54740" w:themeFill="accent2" w:themeFillShade="BF"/>
      </w:tcPr>
    </w:tblStylePr>
    <w:tblStylePr w:type="band1Vert">
      <w:tblPr/>
      <w:tcPr>
        <w:tcBorders>
          <w:top w:val="nil"/>
          <w:left w:val="nil"/>
          <w:bottom w:val="nil"/>
          <w:right w:val="nil"/>
          <w:insideH w:val="nil"/>
          <w:insideV w:val="nil"/>
        </w:tcBorders>
        <w:shd w:val="clear" w:color="auto" w:fill="554740" w:themeFill="accent2" w:themeFillShade="BF"/>
      </w:tcPr>
    </w:tblStylePr>
    <w:tblStylePr w:type="band1Horz">
      <w:tblPr/>
      <w:tcPr>
        <w:tcBorders>
          <w:top w:val="nil"/>
          <w:left w:val="nil"/>
          <w:bottom w:val="nil"/>
          <w:right w:val="nil"/>
          <w:insideH w:val="nil"/>
          <w:insideV w:val="nil"/>
        </w:tcBorders>
        <w:shd w:val="clear" w:color="auto" w:fill="554740" w:themeFill="accent2" w:themeFillShade="B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576557">
      <w:bodyDiv w:val="1"/>
      <w:marLeft w:val="0"/>
      <w:marRight w:val="0"/>
      <w:marTop w:val="0"/>
      <w:marBottom w:val="0"/>
      <w:divBdr>
        <w:top w:val="none" w:sz="0" w:space="0" w:color="auto"/>
        <w:left w:val="none" w:sz="0" w:space="0" w:color="auto"/>
        <w:bottom w:val="none" w:sz="0" w:space="0" w:color="auto"/>
        <w:right w:val="none" w:sz="0" w:space="0" w:color="auto"/>
      </w:divBdr>
    </w:div>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1360201216">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967471153">
              <w:marLeft w:val="0"/>
              <w:marRight w:val="0"/>
              <w:marTop w:val="0"/>
              <w:marBottom w:val="0"/>
              <w:divBdr>
                <w:top w:val="none" w:sz="0" w:space="0" w:color="auto"/>
                <w:left w:val="none" w:sz="0" w:space="0" w:color="auto"/>
                <w:bottom w:val="none" w:sz="0" w:space="0" w:color="auto"/>
                <w:right w:val="none" w:sz="0" w:space="0" w:color="auto"/>
              </w:divBdr>
            </w:div>
            <w:div w:id="154534770">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sChild>
        </w:div>
        <w:div w:id="607354456">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353194970">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31000682">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6481150">
          <w:marLeft w:val="0"/>
          <w:marRight w:val="0"/>
          <w:marTop w:val="0"/>
          <w:marBottom w:val="0"/>
          <w:divBdr>
            <w:top w:val="none" w:sz="0" w:space="0" w:color="auto"/>
            <w:left w:val="none" w:sz="0" w:space="0" w:color="auto"/>
            <w:bottom w:val="none" w:sz="0" w:space="0" w:color="auto"/>
            <w:right w:val="none" w:sz="0" w:space="0" w:color="auto"/>
          </w:divBdr>
        </w:div>
      </w:divsChild>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875049159">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1130442188">
      <w:bodyDiv w:val="1"/>
      <w:marLeft w:val="0"/>
      <w:marRight w:val="0"/>
      <w:marTop w:val="0"/>
      <w:marBottom w:val="0"/>
      <w:divBdr>
        <w:top w:val="none" w:sz="0" w:space="0" w:color="auto"/>
        <w:left w:val="none" w:sz="0" w:space="0" w:color="auto"/>
        <w:bottom w:val="none" w:sz="0" w:space="0" w:color="auto"/>
        <w:right w:val="none" w:sz="0" w:space="0" w:color="auto"/>
      </w:divBdr>
      <w:divsChild>
        <w:div w:id="760026790">
          <w:marLeft w:val="0"/>
          <w:marRight w:val="0"/>
          <w:marTop w:val="0"/>
          <w:marBottom w:val="0"/>
          <w:divBdr>
            <w:top w:val="none" w:sz="0" w:space="0" w:color="auto"/>
            <w:left w:val="none" w:sz="0" w:space="0" w:color="auto"/>
            <w:bottom w:val="none" w:sz="0" w:space="0" w:color="auto"/>
            <w:right w:val="none" w:sz="0" w:space="0" w:color="auto"/>
          </w:divBdr>
        </w:div>
        <w:div w:id="1827013454">
          <w:marLeft w:val="0"/>
          <w:marRight w:val="0"/>
          <w:marTop w:val="0"/>
          <w:marBottom w:val="0"/>
          <w:divBdr>
            <w:top w:val="none" w:sz="0" w:space="0" w:color="auto"/>
            <w:left w:val="none" w:sz="0" w:space="0" w:color="auto"/>
            <w:bottom w:val="none" w:sz="0" w:space="0" w:color="auto"/>
            <w:right w:val="none" w:sz="0" w:space="0" w:color="auto"/>
          </w:divBdr>
        </w:div>
        <w:div w:id="1290892104">
          <w:marLeft w:val="0"/>
          <w:marRight w:val="0"/>
          <w:marTop w:val="0"/>
          <w:marBottom w:val="0"/>
          <w:divBdr>
            <w:top w:val="none" w:sz="0" w:space="0" w:color="auto"/>
            <w:left w:val="none" w:sz="0" w:space="0" w:color="auto"/>
            <w:bottom w:val="none" w:sz="0" w:space="0" w:color="auto"/>
            <w:right w:val="none" w:sz="0" w:space="0" w:color="auto"/>
          </w:divBdr>
        </w:div>
        <w:div w:id="1190100148">
          <w:marLeft w:val="0"/>
          <w:marRight w:val="0"/>
          <w:marTop w:val="0"/>
          <w:marBottom w:val="0"/>
          <w:divBdr>
            <w:top w:val="none" w:sz="0" w:space="0" w:color="auto"/>
            <w:left w:val="none" w:sz="0" w:space="0" w:color="auto"/>
            <w:bottom w:val="none" w:sz="0" w:space="0" w:color="auto"/>
            <w:right w:val="none" w:sz="0" w:space="0" w:color="auto"/>
          </w:divBdr>
        </w:div>
      </w:divsChild>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749273090">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81239509">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484393695">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1579365068">
                  <w:marLeft w:val="0"/>
                  <w:marRight w:val="0"/>
                  <w:marTop w:val="0"/>
                  <w:marBottom w:val="0"/>
                  <w:divBdr>
                    <w:top w:val="none" w:sz="0" w:space="0" w:color="auto"/>
                    <w:left w:val="none" w:sz="0" w:space="0" w:color="auto"/>
                    <w:bottom w:val="none" w:sz="0" w:space="0" w:color="auto"/>
                    <w:right w:val="none" w:sz="0" w:space="0" w:color="auto"/>
                  </w:divBdr>
                </w:div>
                <w:div w:id="1198467987">
                  <w:marLeft w:val="0"/>
                  <w:marRight w:val="0"/>
                  <w:marTop w:val="0"/>
                  <w:marBottom w:val="0"/>
                  <w:divBdr>
                    <w:top w:val="none" w:sz="0" w:space="0" w:color="auto"/>
                    <w:left w:val="none" w:sz="0" w:space="0" w:color="auto"/>
                    <w:bottom w:val="none" w:sz="0" w:space="0" w:color="auto"/>
                    <w:right w:val="none" w:sz="0" w:space="0" w:color="auto"/>
                  </w:divBdr>
                </w:div>
                <w:div w:id="783622459">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1280724604">
                          <w:marLeft w:val="0"/>
                          <w:marRight w:val="0"/>
                          <w:marTop w:val="0"/>
                          <w:marBottom w:val="0"/>
                          <w:divBdr>
                            <w:top w:val="none" w:sz="0" w:space="0" w:color="auto"/>
                            <w:left w:val="none" w:sz="0" w:space="0" w:color="auto"/>
                            <w:bottom w:val="none" w:sz="0" w:space="0" w:color="auto"/>
                            <w:right w:val="none" w:sz="0" w:space="0" w:color="auto"/>
                          </w:divBdr>
                        </w:div>
                        <w:div w:id="3822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1172">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 w:id="1146049221">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904873549">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179051024">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432622399">
      <w:bodyDiv w:val="1"/>
      <w:marLeft w:val="0"/>
      <w:marRight w:val="0"/>
      <w:marTop w:val="0"/>
      <w:marBottom w:val="0"/>
      <w:divBdr>
        <w:top w:val="none" w:sz="0" w:space="0" w:color="auto"/>
        <w:left w:val="none" w:sz="0" w:space="0" w:color="auto"/>
        <w:bottom w:val="none" w:sz="0" w:space="0" w:color="auto"/>
        <w:right w:val="none" w:sz="0" w:space="0" w:color="auto"/>
      </w:divBdr>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 w:id="210456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file:///D:\Carpetas%20personales\Escritorio\Tratamiento-endovascular-de-aneurismas-cerebrales-incidentales\TFG_Lourdes_Ruiz_Ortega.docx" TargetMode="External"/><Relationship Id="rId26" Type="http://schemas.openxmlformats.org/officeDocument/2006/relationships/hyperlink" Target="file:///D:\Carpetas%20personales\Escritorio\Tratamiento-endovascular-de-aneurismas-cerebrales-incidentales\TFG_Lourdes_Ruiz_Ortega.docx" TargetMode="External"/><Relationship Id="rId39" Type="http://schemas.openxmlformats.org/officeDocument/2006/relationships/chart" Target="charts/chart10.xml"/><Relationship Id="rId3" Type="http://schemas.openxmlformats.org/officeDocument/2006/relationships/styles" Target="styles.xml"/><Relationship Id="rId21" Type="http://schemas.openxmlformats.org/officeDocument/2006/relationships/hyperlink" Target="file:///D:\Carpetas%20personales\Escritorio\Tratamiento-endovascular-de-aneurismas-cerebrales-incidentales\TFG_Lourdes_Ruiz_Ortega.docx" TargetMode="External"/><Relationship Id="rId34" Type="http://schemas.openxmlformats.org/officeDocument/2006/relationships/chart" Target="charts/chart5.xml"/><Relationship Id="rId42" Type="http://schemas.openxmlformats.org/officeDocument/2006/relationships/chart" Target="charts/chart13.xml"/><Relationship Id="rId47" Type="http://schemas.openxmlformats.org/officeDocument/2006/relationships/image" Target="media/image2.png"/><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file:///D:\Carpetas%20personales\Escritorio\Tratamiento-endovascular-de-aneurismas-cerebrales-incidentales\TFG_Lourdes_Ruiz_Ortega.docx" TargetMode="External"/><Relationship Id="rId25" Type="http://schemas.openxmlformats.org/officeDocument/2006/relationships/hyperlink" Target="file:///D:\Carpetas%20personales\Escritorio\Tratamiento-endovascular-de-aneurismas-cerebrales-incidentales\TFG_Lourdes_Ruiz_Ortega.docx" TargetMode="External"/><Relationship Id="rId33" Type="http://schemas.openxmlformats.org/officeDocument/2006/relationships/chart" Target="charts/chart4.xml"/><Relationship Id="rId38" Type="http://schemas.openxmlformats.org/officeDocument/2006/relationships/chart" Target="charts/chart9.xml"/><Relationship Id="rId46"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file:///D:\Carpetas%20personales\Escritorio\Tratamiento-endovascular-de-aneurismas-cerebrales-incidentales\TFG_Lourdes_Ruiz_Ortega.docx" TargetMode="External"/><Relationship Id="rId20" Type="http://schemas.openxmlformats.org/officeDocument/2006/relationships/hyperlink" Target="file:///D:\Carpetas%20personales\Escritorio\Tratamiento-endovascular-de-aneurismas-cerebrales-incidentales\TFG_Lourdes_Ruiz_Ortega.docx" TargetMode="External"/><Relationship Id="rId29" Type="http://schemas.openxmlformats.org/officeDocument/2006/relationships/chart" Target="charts/chart1.xml"/><Relationship Id="rId41" Type="http://schemas.openxmlformats.org/officeDocument/2006/relationships/chart" Target="charts/chart1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file:///D:\Carpetas%20personales\Escritorio\Tratamiento-endovascular-de-aneurismas-cerebrales-incidentales\TFG_Lourdes_Ruiz_Ortega.docx" TargetMode="External"/><Relationship Id="rId32" Type="http://schemas.openxmlformats.org/officeDocument/2006/relationships/image" Target="media/image1.png"/><Relationship Id="rId37" Type="http://schemas.openxmlformats.org/officeDocument/2006/relationships/chart" Target="charts/chart8.xml"/><Relationship Id="rId40" Type="http://schemas.openxmlformats.org/officeDocument/2006/relationships/chart" Target="charts/chart11.xml"/><Relationship Id="rId45"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hyperlink" Target="file:///D:\Carpetas%20personales\Escritorio\Tratamiento-endovascular-de-aneurismas-cerebrales-incidentales\TFG_Lourdes_Ruiz_Ortega.docx" TargetMode="External"/><Relationship Id="rId23" Type="http://schemas.openxmlformats.org/officeDocument/2006/relationships/hyperlink" Target="file:///D:\Carpetas%20personales\Escritorio\Tratamiento-endovascular-de-aneurismas-cerebrales-incidentales\TFG_Lourdes_Ruiz_Ortega.docx" TargetMode="External"/><Relationship Id="rId28" Type="http://schemas.openxmlformats.org/officeDocument/2006/relationships/hyperlink" Target="file:///D:\Carpetas%20personales\Escritorio\Tratamiento-endovascular-de-aneurismas-cerebrales-incidentales\TFG_Lourdes_Ruiz_Ortega.docx" TargetMode="External"/><Relationship Id="rId36" Type="http://schemas.openxmlformats.org/officeDocument/2006/relationships/chart" Target="charts/chart7.xml"/><Relationship Id="rId49" Type="http://schemas.openxmlformats.org/officeDocument/2006/relationships/chart" Target="charts/chart16.xml"/><Relationship Id="rId10" Type="http://schemas.openxmlformats.org/officeDocument/2006/relationships/footer" Target="footer1.xml"/><Relationship Id="rId19" Type="http://schemas.openxmlformats.org/officeDocument/2006/relationships/hyperlink" Target="file:///D:\Carpetas%20personales\Escritorio\Tratamiento-endovascular-de-aneurismas-cerebrales-incidentales\TFG_Lourdes_Ruiz_Ortega.docx" TargetMode="External"/><Relationship Id="rId31" Type="http://schemas.openxmlformats.org/officeDocument/2006/relationships/chart" Target="charts/chart3.xml"/><Relationship Id="rId44" Type="http://schemas.openxmlformats.org/officeDocument/2006/relationships/header" Target="header3.xml"/><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file:///D:\Carpetas%20personales\Escritorio\Tratamiento-endovascular-de-aneurismas-cerebrales-incidentales\TFG_Lourdes_Ruiz_Ortega.docx" TargetMode="External"/><Relationship Id="rId22" Type="http://schemas.openxmlformats.org/officeDocument/2006/relationships/hyperlink" Target="file:///D:\Carpetas%20personales\Escritorio\Tratamiento-endovascular-de-aneurismas-cerebrales-incidentales\TFG_Lourdes_Ruiz_Ortega.docx" TargetMode="External"/><Relationship Id="rId27" Type="http://schemas.openxmlformats.org/officeDocument/2006/relationships/hyperlink" Target="file:///D:\Carpetas%20personales\Escritorio\Tratamiento-endovascular-de-aneurismas-cerebrales-incidentales\TFG_Lourdes_Ruiz_Ortega.docx" TargetMode="External"/><Relationship Id="rId30" Type="http://schemas.openxmlformats.org/officeDocument/2006/relationships/chart" Target="charts/chart2.xml"/><Relationship Id="rId35" Type="http://schemas.openxmlformats.org/officeDocument/2006/relationships/chart" Target="charts/chart6.xml"/><Relationship Id="rId43" Type="http://schemas.openxmlformats.org/officeDocument/2006/relationships/chart" Target="charts/chart14.xml"/><Relationship Id="rId48" Type="http://schemas.openxmlformats.org/officeDocument/2006/relationships/chart" Target="charts/chart15.xml"/><Relationship Id="rId8" Type="http://schemas.openxmlformats.org/officeDocument/2006/relationships/endnotes" Target="endnotes.xml"/><Relationship Id="rId51"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Hoja_de_c_lculo_de_Microsoft_Excel1.xlsx"/></Relationships>
</file>

<file path=word/charts/_rels/chart10.xml.rels><?xml version="1.0" encoding="UTF-8" standalone="yes"?>
<Relationships xmlns="http://schemas.openxmlformats.org/package/2006/relationships"><Relationship Id="rId2" Type="http://schemas.openxmlformats.org/officeDocument/2006/relationships/chartUserShapes" Target="../drawings/drawing10.xml"/><Relationship Id="rId1" Type="http://schemas.openxmlformats.org/officeDocument/2006/relationships/package" Target="../embeddings/Hoja_de_c_lculo_de_Microsoft_Excel10.xlsx"/></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11.xml"/><Relationship Id="rId1" Type="http://schemas.openxmlformats.org/officeDocument/2006/relationships/package" Target="../embeddings/Hoja_de_c_lculo_de_Microsoft_Excel11.xlsx"/></Relationships>
</file>

<file path=word/charts/_rels/chart12.xml.rels><?xml version="1.0" encoding="UTF-8" standalone="yes"?>
<Relationships xmlns="http://schemas.openxmlformats.org/package/2006/relationships"><Relationship Id="rId2" Type="http://schemas.openxmlformats.org/officeDocument/2006/relationships/chartUserShapes" Target="../drawings/drawing12.xml"/><Relationship Id="rId1" Type="http://schemas.openxmlformats.org/officeDocument/2006/relationships/package" Target="../embeddings/Hoja_de_c_lculo_de_Microsoft_Excel12.xlsx"/></Relationships>
</file>

<file path=word/charts/_rels/chart13.xml.rels><?xml version="1.0" encoding="UTF-8" standalone="yes"?>
<Relationships xmlns="http://schemas.openxmlformats.org/package/2006/relationships"><Relationship Id="rId2" Type="http://schemas.openxmlformats.org/officeDocument/2006/relationships/chartUserShapes" Target="../drawings/drawing13.xml"/><Relationship Id="rId1" Type="http://schemas.openxmlformats.org/officeDocument/2006/relationships/package" Target="../embeddings/Hoja_de_c_lculo_de_Microsoft_Excel13.xlsx"/></Relationships>
</file>

<file path=word/charts/_rels/chart14.xml.rels><?xml version="1.0" encoding="UTF-8" standalone="yes"?>
<Relationships xmlns="http://schemas.openxmlformats.org/package/2006/relationships"><Relationship Id="rId2" Type="http://schemas.openxmlformats.org/officeDocument/2006/relationships/chartUserShapes" Target="../drawings/drawing14.xml"/><Relationship Id="rId1" Type="http://schemas.openxmlformats.org/officeDocument/2006/relationships/package" Target="../embeddings/Hoja_de_c_lculo_de_Microsoft_Excel14.xlsx"/></Relationships>
</file>

<file path=word/charts/_rels/chart15.xml.rels><?xml version="1.0" encoding="UTF-8" standalone="yes"?>
<Relationships xmlns="http://schemas.openxmlformats.org/package/2006/relationships"><Relationship Id="rId2" Type="http://schemas.openxmlformats.org/officeDocument/2006/relationships/chartUserShapes" Target="../drawings/drawing15.xml"/><Relationship Id="rId1" Type="http://schemas.openxmlformats.org/officeDocument/2006/relationships/package" Target="../embeddings/Hoja_de_c_lculo_de_Microsoft_Excel15.xlsx"/></Relationships>
</file>

<file path=word/charts/_rels/chart16.xml.rels><?xml version="1.0" encoding="UTF-8" standalone="yes"?>
<Relationships xmlns="http://schemas.openxmlformats.org/package/2006/relationships"><Relationship Id="rId2" Type="http://schemas.openxmlformats.org/officeDocument/2006/relationships/chartUserShapes" Target="../drawings/drawing16.xml"/><Relationship Id="rId1" Type="http://schemas.openxmlformats.org/officeDocument/2006/relationships/package" Target="../embeddings/Hoja_de_c_lculo_de_Microsoft_Excel16.xlsx"/></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package" Target="../embeddings/Hoja_de_c_lculo_de_Microsoft_Excel2.xlsx"/></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package" Target="../embeddings/Hoja_de_c_lculo_de_Microsoft_Excel3.xlsx"/></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package" Target="../embeddings/Hoja_de_c_lculo_de_Microsoft_Excel4.xlsx"/></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package" Target="../embeddings/Hoja_de_c_lculo_de_Microsoft_Excel5.xlsx"/></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package" Target="../embeddings/Hoja_de_c_lculo_de_Microsoft_Excel6.xlsx"/></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package" Target="../embeddings/Hoja_de_c_lculo_de_Microsoft_Excel7.xlsx"/></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package" Target="../embeddings/Hoja_de_c_lculo_de_Microsoft_Excel8.xlsx"/></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9.xml"/><Relationship Id="rId1" Type="http://schemas.openxmlformats.org/officeDocument/2006/relationships/package" Target="../embeddings/Hoja_de_c_lculo_de_Microsoft_Excel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51237589866484079"/>
          <c:y val="6.1403628894214309E-2"/>
        </c:manualLayout>
      </c:layout>
      <c:overlay val="0"/>
      <c:txPr>
        <a:bodyPr/>
        <a:lstStyle/>
        <a:p>
          <a:pPr>
            <a:defRPr sz="1400"/>
          </a:pPr>
          <a:endParaRPr lang="es-ES"/>
        </a:p>
      </c:txPr>
    </c:title>
    <c:autoTitleDeleted val="0"/>
    <c:plotArea>
      <c:layout>
        <c:manualLayout>
          <c:layoutTarget val="inner"/>
          <c:xMode val="edge"/>
          <c:yMode val="edge"/>
          <c:x val="6.7723382403286542E-2"/>
          <c:y val="0.13684745928498068"/>
          <c:w val="0.48152383126022291"/>
          <c:h val="0.82546942501752496"/>
        </c:manualLayout>
      </c:layout>
      <c:doughnutChart>
        <c:varyColors val="1"/>
        <c:ser>
          <c:idx val="0"/>
          <c:order val="0"/>
          <c:tx>
            <c:strRef>
              <c:f>Hoja1!$B$1</c:f>
              <c:strCache>
                <c:ptCount val="1"/>
                <c:pt idx="0">
                  <c:v>Edad</c:v>
                </c:pt>
              </c:strCache>
            </c:strRef>
          </c:tx>
          <c:dLbls>
            <c:spPr>
              <a:solidFill>
                <a:schemeClr val="tx1"/>
              </a:solidFill>
            </c:spPr>
            <c:txPr>
              <a:bodyPr/>
              <a:lstStyle/>
              <a:p>
                <a:pPr>
                  <a:defRPr sz="900">
                    <a:solidFill>
                      <a:schemeClr val="bg1"/>
                    </a:solidFill>
                  </a:defRPr>
                </a:pPr>
                <a:endParaRPr lang="es-ES"/>
              </a:p>
            </c:txPr>
            <c:showLegendKey val="0"/>
            <c:showVal val="1"/>
            <c:showCatName val="0"/>
            <c:showSerName val="0"/>
            <c:showPercent val="0"/>
            <c:showBubbleSize val="0"/>
            <c:showLeaderLines val="1"/>
          </c:dLbls>
          <c:cat>
            <c:strRef>
              <c:f>Hoja1!$A$2:$A$3</c:f>
              <c:strCache>
                <c:ptCount val="2"/>
                <c:pt idx="0">
                  <c:v>Mayores de 60 años</c:v>
                </c:pt>
                <c:pt idx="1">
                  <c:v>Menor o igual a 60 años</c:v>
                </c:pt>
              </c:strCache>
            </c:strRef>
          </c:cat>
          <c:val>
            <c:numRef>
              <c:f>Hoja1!$B$2:$B$3</c:f>
              <c:numCache>
                <c:formatCode>0.00%</c:formatCode>
                <c:ptCount val="2"/>
                <c:pt idx="0">
                  <c:v>0.433</c:v>
                </c:pt>
                <c:pt idx="1">
                  <c:v>0.56699999999999995</c:v>
                </c:pt>
              </c:numCache>
            </c:numRef>
          </c:val>
        </c:ser>
        <c:dLbls>
          <c:showLegendKey val="0"/>
          <c:showVal val="0"/>
          <c:showCatName val="0"/>
          <c:showSerName val="0"/>
          <c:showPercent val="0"/>
          <c:showBubbleSize val="0"/>
          <c:showLeaderLines val="1"/>
        </c:dLbls>
        <c:firstSliceAng val="0"/>
        <c:holeSize val="50"/>
      </c:doughnutChart>
    </c:plotArea>
    <c:legend>
      <c:legendPos val="r"/>
      <c:layout>
        <c:manualLayout>
          <c:xMode val="edge"/>
          <c:yMode val="edge"/>
          <c:x val="0.56074214861073401"/>
          <c:y val="0.28000552562508635"/>
          <c:w val="0.40912902511227017"/>
          <c:h val="0.51972579085509052"/>
        </c:manualLayout>
      </c:layout>
      <c:overlay val="0"/>
    </c:legend>
    <c:plotVisOnly val="1"/>
    <c:dispBlanksAs val="gap"/>
    <c:showDLblsOverMax val="0"/>
  </c:chart>
  <c:spPr>
    <a:ln>
      <a:gradFill flip="none" rotWithShape="1">
        <a:gsLst>
          <a:gs pos="0">
            <a:schemeClr val="accent6"/>
          </a:gs>
          <a:gs pos="50000">
            <a:schemeClr val="accent1"/>
          </a:gs>
          <a:gs pos="100000">
            <a:schemeClr val="accent6">
              <a:lumMod val="60000"/>
              <a:lumOff val="40000"/>
            </a:schemeClr>
          </a:gs>
        </a:gsLst>
        <a:path path="circle">
          <a:fillToRect l="100000" t="100000"/>
        </a:path>
        <a:tileRect r="-100000" b="-100000"/>
      </a:gradFill>
    </a:ln>
  </c:spPr>
  <c:externalData r:id="rId1">
    <c:autoUpdate val="0"/>
  </c:externalData>
  <c:userShapes r:id="rId2"/>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s-ES" sz="1200"/>
              <a:t>Edad y comorbilidades</a:t>
            </a:r>
          </a:p>
        </c:rich>
      </c:tx>
      <c:layout>
        <c:manualLayout>
          <c:xMode val="edge"/>
          <c:yMode val="edge"/>
          <c:x val="0.34206526423003097"/>
          <c:y val="4.2681268250925053E-2"/>
        </c:manualLayout>
      </c:layout>
      <c:overlay val="0"/>
    </c:title>
    <c:autoTitleDeleted val="0"/>
    <c:view3D>
      <c:rotX val="15"/>
      <c:rotY val="20"/>
      <c:rAngAx val="1"/>
    </c:view3D>
    <c:floor>
      <c:thickness val="0"/>
      <c:spPr>
        <a:noFill/>
        <a:ln w="9525">
          <a:noFill/>
        </a:ln>
      </c:spPr>
    </c:floor>
    <c:sideWall>
      <c:thickness val="0"/>
      <c:spPr>
        <a:noFill/>
      </c:spPr>
    </c:sideWall>
    <c:backWall>
      <c:thickness val="0"/>
      <c:spPr>
        <a:noFill/>
        <a:ln w="25400">
          <a:noFill/>
        </a:ln>
      </c:spPr>
    </c:backWall>
    <c:plotArea>
      <c:layout>
        <c:manualLayout>
          <c:layoutTarget val="inner"/>
          <c:xMode val="edge"/>
          <c:yMode val="edge"/>
          <c:x val="0.25859246407758352"/>
          <c:y val="0.33119636096676214"/>
          <c:w val="0.71743448658352371"/>
          <c:h val="0.44882198548710822"/>
        </c:manualLayout>
      </c:layout>
      <c:bar3DChart>
        <c:barDir val="col"/>
        <c:grouping val="clustered"/>
        <c:varyColors val="0"/>
        <c:ser>
          <c:idx val="0"/>
          <c:order val="0"/>
          <c:tx>
            <c:strRef>
              <c:f>Hoja1!$B$1</c:f>
              <c:strCache>
                <c:ptCount val="1"/>
                <c:pt idx="0">
                  <c:v>Ausencia de comorbilidades</c:v>
                </c:pt>
              </c:strCache>
            </c:strRef>
          </c:tx>
          <c:invertIfNegative val="0"/>
          <c:dLbls>
            <c:dLbl>
              <c:idx val="0"/>
              <c:layout>
                <c:manualLayout>
                  <c:x val="-0.11380481985206395"/>
                  <c:y val="0.16358561062220164"/>
                </c:manualLayout>
              </c:layout>
              <c:showLegendKey val="0"/>
              <c:showVal val="1"/>
              <c:showCatName val="0"/>
              <c:showSerName val="0"/>
              <c:showPercent val="0"/>
              <c:showBubbleSize val="0"/>
            </c:dLbl>
            <c:dLbl>
              <c:idx val="1"/>
              <c:layout>
                <c:manualLayout>
                  <c:x val="-3.2996420901932715E-2"/>
                  <c:y val="-1.5686892079666514E-2"/>
                </c:manualLayout>
              </c:layout>
              <c:showLegendKey val="0"/>
              <c:showVal val="1"/>
              <c:showCatName val="0"/>
              <c:showSerName val="0"/>
              <c:showPercent val="0"/>
              <c:showBubbleSize val="0"/>
            </c:dLbl>
            <c:spPr>
              <a:solidFill>
                <a:schemeClr val="tx1"/>
              </a:solidFill>
            </c:spPr>
            <c:txPr>
              <a:bodyPr/>
              <a:lstStyle/>
              <a:p>
                <a:pPr>
                  <a:defRPr sz="850" baseline="0">
                    <a:solidFill>
                      <a:schemeClr val="bg1"/>
                    </a:solidFill>
                  </a:defRPr>
                </a:pPr>
                <a:endParaRPr lang="es-ES"/>
              </a:p>
            </c:txPr>
            <c:showLegendKey val="0"/>
            <c:showVal val="1"/>
            <c:showCatName val="0"/>
            <c:showSerName val="0"/>
            <c:showPercent val="0"/>
            <c:showBubbleSize val="0"/>
            <c:showLeaderLines val="0"/>
          </c:dLbls>
          <c:cat>
            <c:strRef>
              <c:f>Hoja1!$A$2:$A$3</c:f>
              <c:strCache>
                <c:ptCount val="2"/>
                <c:pt idx="0">
                  <c:v>Edad menor o igual a 60</c:v>
                </c:pt>
                <c:pt idx="1">
                  <c:v>Edad mayor de 60</c:v>
                </c:pt>
              </c:strCache>
            </c:strRef>
          </c:cat>
          <c:val>
            <c:numRef>
              <c:f>Hoja1!$B$2:$B$3</c:f>
              <c:numCache>
                <c:formatCode>0.00%</c:formatCode>
                <c:ptCount val="2"/>
                <c:pt idx="0">
                  <c:v>0.47099999999999997</c:v>
                </c:pt>
                <c:pt idx="1">
                  <c:v>7.6999999999999999E-2</c:v>
                </c:pt>
              </c:numCache>
            </c:numRef>
          </c:val>
        </c:ser>
        <c:ser>
          <c:idx val="1"/>
          <c:order val="1"/>
          <c:tx>
            <c:strRef>
              <c:f>Hoja1!$C$1</c:f>
              <c:strCache>
                <c:ptCount val="1"/>
                <c:pt idx="0">
                  <c:v>Presencia de comorbilidades</c:v>
                </c:pt>
              </c:strCache>
            </c:strRef>
          </c:tx>
          <c:invertIfNegative val="0"/>
          <c:dLbls>
            <c:dLbl>
              <c:idx val="0"/>
              <c:layout>
                <c:manualLayout>
                  <c:x val="1.2458124552612741E-2"/>
                  <c:y val="-1.5312644742936544E-2"/>
                </c:manualLayout>
              </c:layout>
              <c:showLegendKey val="0"/>
              <c:showVal val="1"/>
              <c:showCatName val="0"/>
              <c:showSerName val="0"/>
              <c:showPercent val="0"/>
              <c:showBubbleSize val="0"/>
            </c:dLbl>
            <c:dLbl>
              <c:idx val="1"/>
              <c:layout>
                <c:manualLayout>
                  <c:x val="8.4175137198759242E-2"/>
                  <c:y val="0.20130739539910453"/>
                </c:manualLayout>
              </c:layout>
              <c:showLegendKey val="0"/>
              <c:showVal val="1"/>
              <c:showCatName val="0"/>
              <c:showSerName val="0"/>
              <c:showPercent val="0"/>
              <c:showBubbleSize val="0"/>
            </c:dLbl>
            <c:spPr>
              <a:solidFill>
                <a:schemeClr val="tx1"/>
              </a:solidFill>
            </c:spPr>
            <c:txPr>
              <a:bodyPr/>
              <a:lstStyle/>
              <a:p>
                <a:pPr>
                  <a:defRPr sz="800">
                    <a:solidFill>
                      <a:schemeClr val="bg1"/>
                    </a:solidFill>
                  </a:defRPr>
                </a:pPr>
                <a:endParaRPr lang="es-ES"/>
              </a:p>
            </c:txPr>
            <c:showLegendKey val="0"/>
            <c:showVal val="1"/>
            <c:showCatName val="0"/>
            <c:showSerName val="0"/>
            <c:showPercent val="0"/>
            <c:showBubbleSize val="0"/>
            <c:showLeaderLines val="0"/>
          </c:dLbls>
          <c:cat>
            <c:strRef>
              <c:f>Hoja1!$A$2:$A$3</c:f>
              <c:strCache>
                <c:ptCount val="2"/>
                <c:pt idx="0">
                  <c:v>Edad menor o igual a 60</c:v>
                </c:pt>
                <c:pt idx="1">
                  <c:v>Edad mayor de 60</c:v>
                </c:pt>
              </c:strCache>
            </c:strRef>
          </c:cat>
          <c:val>
            <c:numRef>
              <c:f>Hoja1!$C$2:$C$3</c:f>
              <c:numCache>
                <c:formatCode>0.00%</c:formatCode>
                <c:ptCount val="2"/>
                <c:pt idx="0">
                  <c:v>0.52900000000000003</c:v>
                </c:pt>
                <c:pt idx="1">
                  <c:v>0.92300000000000004</c:v>
                </c:pt>
              </c:numCache>
            </c:numRef>
          </c:val>
        </c:ser>
        <c:dLbls>
          <c:showLegendKey val="0"/>
          <c:showVal val="0"/>
          <c:showCatName val="0"/>
          <c:showSerName val="0"/>
          <c:showPercent val="0"/>
          <c:showBubbleSize val="0"/>
        </c:dLbls>
        <c:gapWidth val="150"/>
        <c:shape val="pyramid"/>
        <c:axId val="314407168"/>
        <c:axId val="314408960"/>
        <c:axId val="0"/>
      </c:bar3DChart>
      <c:catAx>
        <c:axId val="314407168"/>
        <c:scaling>
          <c:orientation val="minMax"/>
        </c:scaling>
        <c:delete val="0"/>
        <c:axPos val="b"/>
        <c:majorTickMark val="out"/>
        <c:minorTickMark val="none"/>
        <c:tickLblPos val="nextTo"/>
        <c:txPr>
          <a:bodyPr/>
          <a:lstStyle/>
          <a:p>
            <a:pPr>
              <a:defRPr sz="900"/>
            </a:pPr>
            <a:endParaRPr lang="es-ES"/>
          </a:p>
        </c:txPr>
        <c:crossAx val="314408960"/>
        <c:crosses val="autoZero"/>
        <c:auto val="1"/>
        <c:lblAlgn val="ctr"/>
        <c:lblOffset val="100"/>
        <c:noMultiLvlLbl val="0"/>
      </c:catAx>
      <c:valAx>
        <c:axId val="314408960"/>
        <c:scaling>
          <c:orientation val="minMax"/>
        </c:scaling>
        <c:delete val="0"/>
        <c:axPos val="l"/>
        <c:majorGridlines/>
        <c:numFmt formatCode="0.00%" sourceLinked="1"/>
        <c:majorTickMark val="out"/>
        <c:minorTickMark val="none"/>
        <c:tickLblPos val="nextTo"/>
        <c:crossAx val="314407168"/>
        <c:crosses val="autoZero"/>
        <c:crossBetween val="between"/>
      </c:valAx>
      <c:spPr>
        <a:ln w="25400">
          <a:noFill/>
        </a:ln>
      </c:spPr>
    </c:plotArea>
    <c:legend>
      <c:legendPos val="t"/>
      <c:layout>
        <c:manualLayout>
          <c:xMode val="edge"/>
          <c:yMode val="edge"/>
          <c:x val="3.36896239984543E-2"/>
          <c:y val="0.16474417168442179"/>
          <c:w val="0.9600343593414461"/>
          <c:h val="0.1799536822603057"/>
        </c:manualLayout>
      </c:layout>
      <c:overlay val="0"/>
      <c:txPr>
        <a:bodyPr/>
        <a:lstStyle/>
        <a:p>
          <a:pPr>
            <a:defRPr sz="900"/>
          </a:pPr>
          <a:endParaRPr lang="es-ES"/>
        </a:p>
      </c:txPr>
    </c:legend>
    <c:plotVisOnly val="1"/>
    <c:dispBlanksAs val="gap"/>
    <c:showDLblsOverMax val="0"/>
  </c:chart>
  <c:spPr>
    <a:ln>
      <a:gradFill flip="none" rotWithShape="1">
        <a:gsLst>
          <a:gs pos="0">
            <a:schemeClr val="accent1">
              <a:lumMod val="50000"/>
            </a:schemeClr>
          </a:gs>
          <a:gs pos="50000">
            <a:schemeClr val="accent1">
              <a:lumMod val="75000"/>
            </a:schemeClr>
          </a:gs>
          <a:gs pos="100000">
            <a:schemeClr val="accent1">
              <a:lumMod val="60000"/>
              <a:lumOff val="40000"/>
            </a:schemeClr>
          </a:gs>
        </a:gsLst>
        <a:path path="circle">
          <a:fillToRect l="100000" t="100000"/>
        </a:path>
        <a:tileRect r="-100000" b="-100000"/>
      </a:gradFill>
    </a:ln>
  </c:spPr>
  <c:externalData r:id="rId1">
    <c:autoUpdate val="0"/>
  </c:externalData>
  <c:userShapes r:id="rId2"/>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pPr>
            <a:r>
              <a:rPr lang="es-ES" sz="1200"/>
              <a:t>Alcohol y clínica neurológica</a:t>
            </a:r>
          </a:p>
        </c:rich>
      </c:tx>
      <c:layout>
        <c:manualLayout>
          <c:xMode val="edge"/>
          <c:yMode val="edge"/>
          <c:x val="0.30146215708801527"/>
          <c:y val="6.5722812800174764E-3"/>
        </c:manualLayout>
      </c:layout>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0.14653540171277873"/>
          <c:y val="0.17440024261066403"/>
          <c:w val="0.52421105724773731"/>
          <c:h val="0.68236970378702666"/>
        </c:manualLayout>
      </c:layout>
      <c:bar3DChart>
        <c:barDir val="col"/>
        <c:grouping val="clustered"/>
        <c:varyColors val="0"/>
        <c:ser>
          <c:idx val="0"/>
          <c:order val="0"/>
          <c:tx>
            <c:strRef>
              <c:f>Hoja1!$B$1</c:f>
              <c:strCache>
                <c:ptCount val="1"/>
                <c:pt idx="0">
                  <c:v>Clínica neurológica al diagnóstico</c:v>
                </c:pt>
              </c:strCache>
            </c:strRef>
          </c:tx>
          <c:invertIfNegative val="0"/>
          <c:dLbls>
            <c:dLbl>
              <c:idx val="0"/>
              <c:layout>
                <c:manualLayout>
                  <c:x val="-4.6109510086455328E-2"/>
                  <c:y val="0.11822660098522167"/>
                </c:manualLayout>
              </c:layout>
              <c:showLegendKey val="0"/>
              <c:showVal val="1"/>
              <c:showCatName val="0"/>
              <c:showSerName val="0"/>
              <c:showPercent val="0"/>
              <c:showBubbleSize val="0"/>
            </c:dLbl>
            <c:dLbl>
              <c:idx val="1"/>
              <c:layout>
                <c:manualLayout>
                  <c:x val="-7.684918347742555E-3"/>
                  <c:y val="0.19047619047619041"/>
                </c:manualLayout>
              </c:layout>
              <c:showLegendKey val="0"/>
              <c:showVal val="1"/>
              <c:showCatName val="0"/>
              <c:showSerName val="0"/>
              <c:showPercent val="0"/>
              <c:showBubbleSize val="0"/>
            </c:dLbl>
            <c:spPr>
              <a:solidFill>
                <a:schemeClr val="tx1"/>
              </a:solidFill>
            </c:spPr>
            <c:txPr>
              <a:bodyPr/>
              <a:lstStyle/>
              <a:p>
                <a:pPr>
                  <a:defRPr sz="800">
                    <a:solidFill>
                      <a:schemeClr val="bg1"/>
                    </a:solidFill>
                  </a:defRPr>
                </a:pPr>
                <a:endParaRPr lang="es-ES"/>
              </a:p>
            </c:txPr>
            <c:showLegendKey val="0"/>
            <c:showVal val="1"/>
            <c:showCatName val="0"/>
            <c:showSerName val="0"/>
            <c:showPercent val="0"/>
            <c:showBubbleSize val="0"/>
            <c:showLeaderLines val="0"/>
          </c:dLbls>
          <c:cat>
            <c:strRef>
              <c:f>Hoja1!$A$2:$A$3</c:f>
              <c:strCache>
                <c:ptCount val="2"/>
                <c:pt idx="0">
                  <c:v>Bebedores</c:v>
                </c:pt>
                <c:pt idx="1">
                  <c:v>No bebedores</c:v>
                </c:pt>
              </c:strCache>
            </c:strRef>
          </c:cat>
          <c:val>
            <c:numRef>
              <c:f>Hoja1!$B$2:$B$3</c:f>
              <c:numCache>
                <c:formatCode>0.00%</c:formatCode>
                <c:ptCount val="2"/>
                <c:pt idx="0" formatCode="0%">
                  <c:v>0.4</c:v>
                </c:pt>
                <c:pt idx="1">
                  <c:v>0.82599999999999996</c:v>
                </c:pt>
              </c:numCache>
            </c:numRef>
          </c:val>
        </c:ser>
        <c:ser>
          <c:idx val="1"/>
          <c:order val="1"/>
          <c:tx>
            <c:strRef>
              <c:f>Hoja1!$C$1</c:f>
              <c:strCache>
                <c:ptCount val="1"/>
                <c:pt idx="0">
                  <c:v>Ausencia de clínica neurológica al diagnóstico</c:v>
                </c:pt>
              </c:strCache>
            </c:strRef>
          </c:tx>
          <c:invertIfNegative val="0"/>
          <c:dLbls>
            <c:dLbl>
              <c:idx val="0"/>
              <c:layout>
                <c:manualLayout>
                  <c:x val="3.4582132564841501E-2"/>
                  <c:y val="0.19047619047619047"/>
                </c:manualLayout>
              </c:layout>
              <c:spPr>
                <a:solidFill>
                  <a:schemeClr val="tx1"/>
                </a:solidFill>
              </c:spPr>
              <c:txPr>
                <a:bodyPr/>
                <a:lstStyle/>
                <a:p>
                  <a:pPr>
                    <a:defRPr sz="800">
                      <a:solidFill>
                        <a:schemeClr val="bg1"/>
                      </a:solidFill>
                    </a:defRPr>
                  </a:pPr>
                  <a:endParaRPr lang="es-ES"/>
                </a:p>
              </c:txPr>
              <c:showLegendKey val="0"/>
              <c:showVal val="1"/>
              <c:showCatName val="0"/>
              <c:showSerName val="0"/>
              <c:showPercent val="0"/>
              <c:showBubbleSize val="0"/>
            </c:dLbl>
            <c:dLbl>
              <c:idx val="1"/>
              <c:layout>
                <c:manualLayout>
                  <c:x val="6.147934678194051E-2"/>
                  <c:y val="0"/>
                </c:manualLayout>
              </c:layout>
              <c:spPr>
                <a:solidFill>
                  <a:schemeClr val="tx1"/>
                </a:solidFill>
              </c:spPr>
              <c:txPr>
                <a:bodyPr/>
                <a:lstStyle/>
                <a:p>
                  <a:pPr>
                    <a:defRPr sz="800">
                      <a:solidFill>
                        <a:schemeClr val="bg1"/>
                      </a:solidFill>
                    </a:defRPr>
                  </a:pPr>
                  <a:endParaRPr lang="es-ES"/>
                </a:p>
              </c:txPr>
              <c:showLegendKey val="0"/>
              <c:showVal val="1"/>
              <c:showCatName val="0"/>
              <c:showSerName val="0"/>
              <c:showPercent val="0"/>
              <c:showBubbleSize val="0"/>
            </c:dLbl>
            <c:spPr>
              <a:solidFill>
                <a:schemeClr val="tx1"/>
              </a:solidFill>
            </c:spPr>
            <c:txPr>
              <a:bodyPr/>
              <a:lstStyle/>
              <a:p>
                <a:pPr>
                  <a:defRPr>
                    <a:solidFill>
                      <a:schemeClr val="bg1"/>
                    </a:solidFill>
                  </a:defRPr>
                </a:pPr>
                <a:endParaRPr lang="es-ES"/>
              </a:p>
            </c:txPr>
            <c:showLegendKey val="0"/>
            <c:showVal val="1"/>
            <c:showCatName val="0"/>
            <c:showSerName val="0"/>
            <c:showPercent val="0"/>
            <c:showBubbleSize val="0"/>
            <c:showLeaderLines val="0"/>
          </c:dLbls>
          <c:cat>
            <c:strRef>
              <c:f>Hoja1!$A$2:$A$3</c:f>
              <c:strCache>
                <c:ptCount val="2"/>
                <c:pt idx="0">
                  <c:v>Bebedores</c:v>
                </c:pt>
                <c:pt idx="1">
                  <c:v>No bebedores</c:v>
                </c:pt>
              </c:strCache>
            </c:strRef>
          </c:cat>
          <c:val>
            <c:numRef>
              <c:f>Hoja1!$C$2:$C$3</c:f>
              <c:numCache>
                <c:formatCode>0.00%</c:formatCode>
                <c:ptCount val="2"/>
                <c:pt idx="0" formatCode="0%">
                  <c:v>0.6</c:v>
                </c:pt>
                <c:pt idx="1">
                  <c:v>0.17399999999999999</c:v>
                </c:pt>
              </c:numCache>
            </c:numRef>
          </c:val>
        </c:ser>
        <c:dLbls>
          <c:showLegendKey val="0"/>
          <c:showVal val="0"/>
          <c:showCatName val="0"/>
          <c:showSerName val="0"/>
          <c:showPercent val="0"/>
          <c:showBubbleSize val="0"/>
        </c:dLbls>
        <c:gapWidth val="150"/>
        <c:shape val="pyramid"/>
        <c:axId val="314555392"/>
        <c:axId val="314565376"/>
        <c:axId val="0"/>
      </c:bar3DChart>
      <c:catAx>
        <c:axId val="314555392"/>
        <c:scaling>
          <c:orientation val="minMax"/>
        </c:scaling>
        <c:delete val="0"/>
        <c:axPos val="b"/>
        <c:majorTickMark val="out"/>
        <c:minorTickMark val="none"/>
        <c:tickLblPos val="nextTo"/>
        <c:txPr>
          <a:bodyPr/>
          <a:lstStyle/>
          <a:p>
            <a:pPr>
              <a:defRPr sz="900"/>
            </a:pPr>
            <a:endParaRPr lang="es-ES"/>
          </a:p>
        </c:txPr>
        <c:crossAx val="314565376"/>
        <c:crosses val="autoZero"/>
        <c:auto val="1"/>
        <c:lblAlgn val="ctr"/>
        <c:lblOffset val="100"/>
        <c:noMultiLvlLbl val="0"/>
      </c:catAx>
      <c:valAx>
        <c:axId val="314565376"/>
        <c:scaling>
          <c:orientation val="minMax"/>
        </c:scaling>
        <c:delete val="0"/>
        <c:axPos val="l"/>
        <c:majorGridlines/>
        <c:numFmt formatCode="0%" sourceLinked="1"/>
        <c:majorTickMark val="out"/>
        <c:minorTickMark val="none"/>
        <c:tickLblPos val="nextTo"/>
        <c:crossAx val="314555392"/>
        <c:crosses val="autoZero"/>
        <c:crossBetween val="between"/>
      </c:valAx>
    </c:plotArea>
    <c:legend>
      <c:legendPos val="r"/>
      <c:layout>
        <c:manualLayout>
          <c:xMode val="edge"/>
          <c:yMode val="edge"/>
          <c:x val="0.687220267679306"/>
          <c:y val="0.2032923628448883"/>
          <c:w val="0.30650955864559482"/>
          <c:h val="0.63053709749695919"/>
        </c:manualLayout>
      </c:layout>
      <c:overlay val="0"/>
      <c:txPr>
        <a:bodyPr/>
        <a:lstStyle/>
        <a:p>
          <a:pPr>
            <a:defRPr sz="900"/>
          </a:pPr>
          <a:endParaRPr lang="es-ES"/>
        </a:p>
      </c:txPr>
    </c:legend>
    <c:plotVisOnly val="1"/>
    <c:dispBlanksAs val="gap"/>
    <c:showDLblsOverMax val="0"/>
  </c:chart>
  <c:spPr>
    <a:ln>
      <a:gradFill flip="none" rotWithShape="1">
        <a:gsLst>
          <a:gs pos="100000">
            <a:schemeClr val="accent6"/>
          </a:gs>
          <a:gs pos="50000">
            <a:schemeClr val="accent1"/>
          </a:gs>
          <a:gs pos="0">
            <a:schemeClr val="accent6">
              <a:lumMod val="60000"/>
              <a:lumOff val="40000"/>
            </a:schemeClr>
          </a:gs>
        </a:gsLst>
        <a:path path="circle">
          <a:fillToRect l="100000" t="100000"/>
        </a:path>
        <a:tileRect r="-100000" b="-100000"/>
      </a:gradFill>
    </a:ln>
  </c:spPr>
  <c:externalData r:id="rId1">
    <c:autoUpdate val="0"/>
  </c:externalData>
  <c:userShapes r:id="rId2"/>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s-ES" sz="1200"/>
              <a:t>Sexo y clínica neurológica</a:t>
            </a:r>
          </a:p>
        </c:rich>
      </c:tx>
      <c:layout>
        <c:manualLayout>
          <c:xMode val="edge"/>
          <c:yMode val="edge"/>
          <c:x val="0.33958360187183007"/>
          <c:y val="4.2476794059279177E-2"/>
        </c:manualLayout>
      </c:layout>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0.19303232697051118"/>
          <c:y val="0.21338198578836182"/>
          <c:w val="0.50552861589479403"/>
          <c:h val="0.6386646181422444"/>
        </c:manualLayout>
      </c:layout>
      <c:bar3DChart>
        <c:barDir val="col"/>
        <c:grouping val="clustered"/>
        <c:varyColors val="0"/>
        <c:ser>
          <c:idx val="0"/>
          <c:order val="0"/>
          <c:tx>
            <c:strRef>
              <c:f>Hoja1!$B$1</c:f>
              <c:strCache>
                <c:ptCount val="1"/>
                <c:pt idx="0">
                  <c:v>Clínica neurológica al diagnóstico</c:v>
                </c:pt>
              </c:strCache>
            </c:strRef>
          </c:tx>
          <c:invertIfNegative val="0"/>
          <c:dLbls>
            <c:dLbl>
              <c:idx val="0"/>
              <c:layout>
                <c:manualLayout>
                  <c:x val="-5.0447568399499799E-2"/>
                  <c:y val="0.17371844214540447"/>
                </c:manualLayout>
              </c:layout>
              <c:tx>
                <c:rich>
                  <a:bodyPr/>
                  <a:lstStyle/>
                  <a:p>
                    <a:r>
                      <a:rPr lang="en-US"/>
                      <a:t>44,4%</a:t>
                    </a:r>
                  </a:p>
                </c:rich>
              </c:tx>
              <c:showLegendKey val="0"/>
              <c:showVal val="1"/>
              <c:showCatName val="0"/>
              <c:showSerName val="0"/>
              <c:showPercent val="0"/>
              <c:showBubbleSize val="0"/>
            </c:dLbl>
            <c:dLbl>
              <c:idx val="1"/>
              <c:layout>
                <c:manualLayout>
                  <c:x val="-1.1525001682481998E-3"/>
                  <c:y val="0.23602969232370183"/>
                </c:manualLayout>
              </c:layout>
              <c:showLegendKey val="0"/>
              <c:showVal val="1"/>
              <c:showCatName val="0"/>
              <c:showSerName val="0"/>
              <c:showPercent val="0"/>
              <c:showBubbleSize val="0"/>
            </c:dLbl>
            <c:spPr>
              <a:solidFill>
                <a:schemeClr val="tx1"/>
              </a:solidFill>
            </c:spPr>
            <c:txPr>
              <a:bodyPr/>
              <a:lstStyle/>
              <a:p>
                <a:pPr>
                  <a:defRPr sz="800">
                    <a:solidFill>
                      <a:schemeClr val="bg1"/>
                    </a:solidFill>
                  </a:defRPr>
                </a:pPr>
                <a:endParaRPr lang="es-ES"/>
              </a:p>
            </c:txPr>
            <c:showLegendKey val="0"/>
            <c:showVal val="1"/>
            <c:showCatName val="0"/>
            <c:showSerName val="0"/>
            <c:showPercent val="0"/>
            <c:showBubbleSize val="0"/>
            <c:showLeaderLines val="0"/>
          </c:dLbls>
          <c:cat>
            <c:strRef>
              <c:f>Hoja1!$A$2:$A$3</c:f>
              <c:strCache>
                <c:ptCount val="2"/>
                <c:pt idx="0">
                  <c:v>Varones</c:v>
                </c:pt>
                <c:pt idx="1">
                  <c:v>Mujeres</c:v>
                </c:pt>
              </c:strCache>
            </c:strRef>
          </c:cat>
          <c:val>
            <c:numRef>
              <c:f>Hoja1!$B$2:$B$3</c:f>
              <c:numCache>
                <c:formatCode>0%</c:formatCode>
                <c:ptCount val="2"/>
                <c:pt idx="0" formatCode="0.00%">
                  <c:v>0.44400000000000001</c:v>
                </c:pt>
                <c:pt idx="1">
                  <c:v>0.81</c:v>
                </c:pt>
              </c:numCache>
            </c:numRef>
          </c:val>
        </c:ser>
        <c:ser>
          <c:idx val="1"/>
          <c:order val="1"/>
          <c:tx>
            <c:strRef>
              <c:f>Hoja1!$C$1</c:f>
              <c:strCache>
                <c:ptCount val="1"/>
                <c:pt idx="0">
                  <c:v>Ausencia de clínica neurológica</c:v>
                </c:pt>
              </c:strCache>
            </c:strRef>
          </c:tx>
          <c:invertIfNegative val="0"/>
          <c:dLbls>
            <c:dLbl>
              <c:idx val="0"/>
              <c:layout>
                <c:manualLayout>
                  <c:x val="3.8837723818554097E-2"/>
                  <c:y val="0.22438708614338007"/>
                </c:manualLayout>
              </c:layout>
              <c:tx>
                <c:rich>
                  <a:bodyPr/>
                  <a:lstStyle/>
                  <a:p>
                    <a:r>
                      <a:rPr lang="en-US"/>
                      <a:t>55,6%</a:t>
                    </a:r>
                  </a:p>
                </c:rich>
              </c:tx>
              <c:showLegendKey val="0"/>
              <c:showVal val="1"/>
              <c:showCatName val="0"/>
              <c:showSerName val="0"/>
              <c:showPercent val="0"/>
              <c:showBubbleSize val="0"/>
            </c:dLbl>
            <c:dLbl>
              <c:idx val="1"/>
              <c:layout>
                <c:manualLayout>
                  <c:x val="6.1120179471820871E-2"/>
                  <c:y val="2.6474106288379994E-2"/>
                </c:manualLayout>
              </c:layout>
              <c:showLegendKey val="0"/>
              <c:showVal val="1"/>
              <c:showCatName val="0"/>
              <c:showSerName val="0"/>
              <c:showPercent val="0"/>
              <c:showBubbleSize val="0"/>
            </c:dLbl>
            <c:spPr>
              <a:solidFill>
                <a:schemeClr val="tx1"/>
              </a:solidFill>
            </c:spPr>
            <c:txPr>
              <a:bodyPr/>
              <a:lstStyle/>
              <a:p>
                <a:pPr>
                  <a:defRPr sz="800">
                    <a:solidFill>
                      <a:schemeClr val="bg1"/>
                    </a:solidFill>
                  </a:defRPr>
                </a:pPr>
                <a:endParaRPr lang="es-ES"/>
              </a:p>
            </c:txPr>
            <c:showLegendKey val="0"/>
            <c:showVal val="1"/>
            <c:showCatName val="0"/>
            <c:showSerName val="0"/>
            <c:showPercent val="0"/>
            <c:showBubbleSize val="0"/>
            <c:showLeaderLines val="0"/>
          </c:dLbls>
          <c:cat>
            <c:strRef>
              <c:f>Hoja1!$A$2:$A$3</c:f>
              <c:strCache>
                <c:ptCount val="2"/>
                <c:pt idx="0">
                  <c:v>Varones</c:v>
                </c:pt>
                <c:pt idx="1">
                  <c:v>Mujeres</c:v>
                </c:pt>
              </c:strCache>
            </c:strRef>
          </c:cat>
          <c:val>
            <c:numRef>
              <c:f>Hoja1!$C$2:$C$3</c:f>
              <c:numCache>
                <c:formatCode>0%</c:formatCode>
                <c:ptCount val="2"/>
                <c:pt idx="0" formatCode="0.00%">
                  <c:v>0.55600000000000005</c:v>
                </c:pt>
                <c:pt idx="1">
                  <c:v>0.19</c:v>
                </c:pt>
              </c:numCache>
            </c:numRef>
          </c:val>
        </c:ser>
        <c:dLbls>
          <c:showLegendKey val="0"/>
          <c:showVal val="0"/>
          <c:showCatName val="0"/>
          <c:showSerName val="0"/>
          <c:showPercent val="0"/>
          <c:showBubbleSize val="0"/>
        </c:dLbls>
        <c:gapWidth val="150"/>
        <c:shape val="pyramid"/>
        <c:axId val="314584064"/>
        <c:axId val="314594048"/>
        <c:axId val="0"/>
      </c:bar3DChart>
      <c:catAx>
        <c:axId val="314584064"/>
        <c:scaling>
          <c:orientation val="minMax"/>
        </c:scaling>
        <c:delete val="0"/>
        <c:axPos val="b"/>
        <c:majorTickMark val="out"/>
        <c:minorTickMark val="none"/>
        <c:tickLblPos val="nextTo"/>
        <c:txPr>
          <a:bodyPr/>
          <a:lstStyle/>
          <a:p>
            <a:pPr>
              <a:defRPr sz="900"/>
            </a:pPr>
            <a:endParaRPr lang="es-ES"/>
          </a:p>
        </c:txPr>
        <c:crossAx val="314594048"/>
        <c:crosses val="autoZero"/>
        <c:auto val="1"/>
        <c:lblAlgn val="ctr"/>
        <c:lblOffset val="100"/>
        <c:noMultiLvlLbl val="0"/>
      </c:catAx>
      <c:valAx>
        <c:axId val="314594048"/>
        <c:scaling>
          <c:orientation val="minMax"/>
        </c:scaling>
        <c:delete val="0"/>
        <c:axPos val="l"/>
        <c:majorGridlines/>
        <c:numFmt formatCode="0.0%" sourceLinked="0"/>
        <c:majorTickMark val="out"/>
        <c:minorTickMark val="none"/>
        <c:tickLblPos val="nextTo"/>
        <c:crossAx val="314584064"/>
        <c:crosses val="autoZero"/>
        <c:crossBetween val="between"/>
      </c:valAx>
    </c:plotArea>
    <c:legend>
      <c:legendPos val="r"/>
      <c:layout>
        <c:manualLayout>
          <c:xMode val="edge"/>
          <c:yMode val="edge"/>
          <c:x val="0.66096583196249159"/>
          <c:y val="0.24079956468856026"/>
          <c:w val="0.33198553638242029"/>
          <c:h val="0.58989181230394983"/>
        </c:manualLayout>
      </c:layout>
      <c:overlay val="0"/>
      <c:txPr>
        <a:bodyPr/>
        <a:lstStyle/>
        <a:p>
          <a:pPr>
            <a:defRPr sz="900"/>
          </a:pPr>
          <a:endParaRPr lang="es-ES"/>
        </a:p>
      </c:txPr>
    </c:legend>
    <c:plotVisOnly val="1"/>
    <c:dispBlanksAs val="gap"/>
    <c:showDLblsOverMax val="0"/>
  </c:chart>
  <c:spPr>
    <a:ln>
      <a:gradFill flip="none" rotWithShape="1">
        <a:gsLst>
          <a:gs pos="0">
            <a:schemeClr val="accent6"/>
          </a:gs>
          <a:gs pos="50000">
            <a:schemeClr val="accent1"/>
          </a:gs>
          <a:gs pos="100000">
            <a:schemeClr val="accent1">
              <a:lumMod val="60000"/>
              <a:lumOff val="40000"/>
            </a:schemeClr>
          </a:gs>
        </a:gsLst>
        <a:path path="circle">
          <a:fillToRect l="100000" t="100000"/>
        </a:path>
        <a:tileRect r="-100000" b="-100000"/>
      </a:gradFill>
    </a:ln>
  </c:spPr>
  <c:externalData r:id="rId1">
    <c:autoUpdate val="0"/>
  </c:externalData>
  <c:userShapes r:id="rId2"/>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s-ES" sz="1200"/>
              <a:t>Sexo</a:t>
            </a:r>
            <a:r>
              <a:rPr lang="es-ES" sz="1200" baseline="0"/>
              <a:t> y consumo de alcohol</a:t>
            </a:r>
            <a:endParaRPr lang="es-ES" sz="1200"/>
          </a:p>
        </c:rich>
      </c:tx>
      <c:layout>
        <c:manualLayout>
          <c:xMode val="edge"/>
          <c:yMode val="edge"/>
          <c:x val="0.30190308301014612"/>
          <c:y val="0"/>
        </c:manualLayout>
      </c:layout>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0.16485485956046539"/>
          <c:y val="0.12562982699788225"/>
          <c:w val="0.55185294002428797"/>
          <c:h val="0.70599945956476107"/>
        </c:manualLayout>
      </c:layout>
      <c:bar3DChart>
        <c:barDir val="col"/>
        <c:grouping val="clustered"/>
        <c:varyColors val="0"/>
        <c:ser>
          <c:idx val="0"/>
          <c:order val="0"/>
          <c:tx>
            <c:strRef>
              <c:f>Hoja1!$B$1</c:f>
              <c:strCache>
                <c:ptCount val="1"/>
                <c:pt idx="0">
                  <c:v>Consumo de alcohol</c:v>
                </c:pt>
              </c:strCache>
            </c:strRef>
          </c:tx>
          <c:invertIfNegative val="0"/>
          <c:dLbls>
            <c:dLbl>
              <c:idx val="0"/>
              <c:layout>
                <c:manualLayout>
                  <c:x val="-3.6882851475626616E-2"/>
                  <c:y val="0.26225270920889487"/>
                </c:manualLayout>
              </c:layout>
              <c:showLegendKey val="0"/>
              <c:showVal val="1"/>
              <c:showCatName val="0"/>
              <c:showSerName val="0"/>
              <c:showPercent val="0"/>
              <c:showBubbleSize val="0"/>
            </c:dLbl>
            <c:dLbl>
              <c:idx val="1"/>
              <c:layout>
                <c:manualLayout>
                  <c:x val="-8.9158702490432975E-3"/>
                  <c:y val="-6.357180812521134E-4"/>
                </c:manualLayout>
              </c:layout>
              <c:tx>
                <c:rich>
                  <a:bodyPr/>
                  <a:lstStyle/>
                  <a:p>
                    <a:r>
                      <a:rPr lang="en-US"/>
                      <a:t>17,9%</a:t>
                    </a:r>
                  </a:p>
                </c:rich>
              </c:tx>
              <c:showLegendKey val="0"/>
              <c:showVal val="1"/>
              <c:showCatName val="0"/>
              <c:showSerName val="0"/>
              <c:showPercent val="0"/>
              <c:showBubbleSize val="0"/>
            </c:dLbl>
            <c:spPr>
              <a:solidFill>
                <a:schemeClr val="tx1"/>
              </a:solidFill>
            </c:spPr>
            <c:txPr>
              <a:bodyPr/>
              <a:lstStyle/>
              <a:p>
                <a:pPr>
                  <a:defRPr sz="800">
                    <a:solidFill>
                      <a:schemeClr val="bg1"/>
                    </a:solidFill>
                  </a:defRPr>
                </a:pPr>
                <a:endParaRPr lang="es-ES"/>
              </a:p>
            </c:txPr>
            <c:showLegendKey val="0"/>
            <c:showVal val="1"/>
            <c:showCatName val="0"/>
            <c:showSerName val="0"/>
            <c:showPercent val="0"/>
            <c:showBubbleSize val="0"/>
            <c:showLeaderLines val="0"/>
          </c:dLbls>
          <c:cat>
            <c:strRef>
              <c:f>Hoja1!$A$2:$A$3</c:f>
              <c:strCache>
                <c:ptCount val="2"/>
                <c:pt idx="0">
                  <c:v>Varón</c:v>
                </c:pt>
                <c:pt idx="1">
                  <c:v>Mujer</c:v>
                </c:pt>
              </c:strCache>
            </c:strRef>
          </c:cat>
          <c:val>
            <c:numRef>
              <c:f>Hoja1!$B$2:$B$3</c:f>
              <c:numCache>
                <c:formatCode>0.00%</c:formatCode>
                <c:ptCount val="2"/>
                <c:pt idx="0" formatCode="0%">
                  <c:v>0.5</c:v>
                </c:pt>
                <c:pt idx="1">
                  <c:v>0.17899999999999999</c:v>
                </c:pt>
              </c:numCache>
            </c:numRef>
          </c:val>
        </c:ser>
        <c:ser>
          <c:idx val="1"/>
          <c:order val="1"/>
          <c:tx>
            <c:strRef>
              <c:f>Hoja1!$C$1</c:f>
              <c:strCache>
                <c:ptCount val="1"/>
                <c:pt idx="0">
                  <c:v>No consumo de alcohol</c:v>
                </c:pt>
              </c:strCache>
            </c:strRef>
          </c:tx>
          <c:invertIfNegative val="0"/>
          <c:dLbls>
            <c:dLbl>
              <c:idx val="0"/>
              <c:layout>
                <c:manualLayout>
                  <c:x val="4.5209673218328625E-2"/>
                  <c:y val="0.26462425325668654"/>
                </c:manualLayout>
              </c:layout>
              <c:showLegendKey val="0"/>
              <c:showVal val="1"/>
              <c:showCatName val="0"/>
              <c:showSerName val="0"/>
              <c:showPercent val="0"/>
              <c:showBubbleSize val="0"/>
            </c:dLbl>
            <c:dLbl>
              <c:idx val="1"/>
              <c:layout>
                <c:manualLayout>
                  <c:x val="3.8745366752820018E-2"/>
                  <c:y val="0.30264818124728282"/>
                </c:manualLayout>
              </c:layout>
              <c:tx>
                <c:rich>
                  <a:bodyPr/>
                  <a:lstStyle/>
                  <a:p>
                    <a:r>
                      <a:rPr lang="en-US"/>
                      <a:t>82,1%</a:t>
                    </a:r>
                  </a:p>
                </c:rich>
              </c:tx>
              <c:showLegendKey val="0"/>
              <c:showVal val="1"/>
              <c:showCatName val="0"/>
              <c:showSerName val="0"/>
              <c:showPercent val="0"/>
              <c:showBubbleSize val="0"/>
            </c:dLbl>
            <c:spPr>
              <a:solidFill>
                <a:schemeClr val="tx1"/>
              </a:solidFill>
            </c:spPr>
            <c:txPr>
              <a:bodyPr/>
              <a:lstStyle/>
              <a:p>
                <a:pPr>
                  <a:defRPr sz="800">
                    <a:solidFill>
                      <a:schemeClr val="bg1"/>
                    </a:solidFill>
                  </a:defRPr>
                </a:pPr>
                <a:endParaRPr lang="es-ES"/>
              </a:p>
            </c:txPr>
            <c:showLegendKey val="0"/>
            <c:showVal val="1"/>
            <c:showCatName val="0"/>
            <c:showSerName val="0"/>
            <c:showPercent val="0"/>
            <c:showBubbleSize val="0"/>
            <c:showLeaderLines val="0"/>
          </c:dLbls>
          <c:cat>
            <c:strRef>
              <c:f>Hoja1!$A$2:$A$3</c:f>
              <c:strCache>
                <c:ptCount val="2"/>
                <c:pt idx="0">
                  <c:v>Varón</c:v>
                </c:pt>
                <c:pt idx="1">
                  <c:v>Mujer</c:v>
                </c:pt>
              </c:strCache>
            </c:strRef>
          </c:cat>
          <c:val>
            <c:numRef>
              <c:f>Hoja1!$C$2:$C$3</c:f>
              <c:numCache>
                <c:formatCode>0.00%</c:formatCode>
                <c:ptCount val="2"/>
                <c:pt idx="0" formatCode="0%">
                  <c:v>0.5</c:v>
                </c:pt>
                <c:pt idx="1">
                  <c:v>0.82099999999999995</c:v>
                </c:pt>
              </c:numCache>
            </c:numRef>
          </c:val>
        </c:ser>
        <c:dLbls>
          <c:showLegendKey val="0"/>
          <c:showVal val="0"/>
          <c:showCatName val="0"/>
          <c:showSerName val="0"/>
          <c:showPercent val="0"/>
          <c:showBubbleSize val="0"/>
        </c:dLbls>
        <c:gapWidth val="150"/>
        <c:shape val="pyramid"/>
        <c:axId val="314289152"/>
        <c:axId val="314385152"/>
        <c:axId val="0"/>
      </c:bar3DChart>
      <c:catAx>
        <c:axId val="314289152"/>
        <c:scaling>
          <c:orientation val="minMax"/>
        </c:scaling>
        <c:delete val="0"/>
        <c:axPos val="b"/>
        <c:majorTickMark val="out"/>
        <c:minorTickMark val="none"/>
        <c:tickLblPos val="nextTo"/>
        <c:txPr>
          <a:bodyPr/>
          <a:lstStyle/>
          <a:p>
            <a:pPr>
              <a:defRPr sz="900"/>
            </a:pPr>
            <a:endParaRPr lang="es-ES"/>
          </a:p>
        </c:txPr>
        <c:crossAx val="314385152"/>
        <c:crosses val="autoZero"/>
        <c:auto val="1"/>
        <c:lblAlgn val="ctr"/>
        <c:lblOffset val="100"/>
        <c:noMultiLvlLbl val="0"/>
      </c:catAx>
      <c:valAx>
        <c:axId val="314385152"/>
        <c:scaling>
          <c:orientation val="minMax"/>
        </c:scaling>
        <c:delete val="0"/>
        <c:axPos val="l"/>
        <c:majorGridlines/>
        <c:numFmt formatCode="0%" sourceLinked="1"/>
        <c:majorTickMark val="out"/>
        <c:minorTickMark val="none"/>
        <c:tickLblPos val="nextTo"/>
        <c:txPr>
          <a:bodyPr/>
          <a:lstStyle/>
          <a:p>
            <a:pPr>
              <a:defRPr sz="1000"/>
            </a:pPr>
            <a:endParaRPr lang="es-ES"/>
          </a:p>
        </c:txPr>
        <c:crossAx val="314289152"/>
        <c:crosses val="autoZero"/>
        <c:crossBetween val="between"/>
      </c:valAx>
    </c:plotArea>
    <c:legend>
      <c:legendPos val="r"/>
      <c:layout>
        <c:manualLayout>
          <c:xMode val="edge"/>
          <c:yMode val="edge"/>
          <c:x val="0.72337094057272688"/>
          <c:y val="0.22037252326699386"/>
          <c:w val="0.26867208443864304"/>
          <c:h val="0.55255661904537379"/>
        </c:manualLayout>
      </c:layout>
      <c:overlay val="0"/>
      <c:txPr>
        <a:bodyPr/>
        <a:lstStyle/>
        <a:p>
          <a:pPr>
            <a:defRPr sz="900"/>
          </a:pPr>
          <a:endParaRPr lang="es-ES"/>
        </a:p>
      </c:txPr>
    </c:legend>
    <c:plotVisOnly val="1"/>
    <c:dispBlanksAs val="gap"/>
    <c:showDLblsOverMax val="0"/>
  </c:chart>
  <c:spPr>
    <a:ln>
      <a:gradFill flip="none" rotWithShape="1">
        <a:gsLst>
          <a:gs pos="0">
            <a:schemeClr val="accent6"/>
          </a:gs>
          <a:gs pos="50000">
            <a:schemeClr val="accent1"/>
          </a:gs>
          <a:gs pos="100000">
            <a:schemeClr val="accent1">
              <a:lumMod val="60000"/>
              <a:lumOff val="40000"/>
            </a:schemeClr>
          </a:gs>
        </a:gsLst>
        <a:path path="circle">
          <a:fillToRect l="100000" t="100000"/>
        </a:path>
        <a:tileRect r="-100000" b="-100000"/>
      </a:gradFill>
    </a:ln>
  </c:spPr>
  <c:externalData r:id="rId1">
    <c:autoUpdate val="0"/>
  </c:externalData>
  <c:userShapes r:id="rId2"/>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27"/>
    </mc:Choice>
    <mc:Fallback>
      <c:style val="27"/>
    </mc:Fallback>
  </mc:AlternateContent>
  <c:chart>
    <c:title>
      <c:tx>
        <c:rich>
          <a:bodyPr/>
          <a:lstStyle/>
          <a:p>
            <a:pPr>
              <a:defRPr/>
            </a:pPr>
            <a:r>
              <a:rPr lang="es-ES" sz="1600"/>
              <a:t>Tamaño</a:t>
            </a:r>
            <a:r>
              <a:rPr lang="es-ES" sz="1600" baseline="0"/>
              <a:t> y localización</a:t>
            </a:r>
            <a:endParaRPr lang="es-ES" sz="1600"/>
          </a:p>
        </c:rich>
      </c:tx>
      <c:overlay val="0"/>
    </c:title>
    <c:autoTitleDeleted val="0"/>
    <c:plotArea>
      <c:layout>
        <c:manualLayout>
          <c:layoutTarget val="inner"/>
          <c:xMode val="edge"/>
          <c:yMode val="edge"/>
          <c:x val="5.7665497959681573E-2"/>
          <c:y val="0.21271714453414842"/>
          <c:w val="0.93407122082712624"/>
          <c:h val="0.60581060278857546"/>
        </c:manualLayout>
      </c:layout>
      <c:lineChart>
        <c:grouping val="standard"/>
        <c:varyColors val="0"/>
        <c:ser>
          <c:idx val="0"/>
          <c:order val="0"/>
          <c:tx>
            <c:strRef>
              <c:f>Hoja1!$B$1</c:f>
              <c:strCache>
                <c:ptCount val="1"/>
                <c:pt idx="0">
                  <c:v>Menor o igual a 5mm</c:v>
                </c:pt>
              </c:strCache>
            </c:strRef>
          </c:tx>
          <c:marker>
            <c:symbol val="none"/>
          </c:marker>
          <c:dLbls>
            <c:dLbl>
              <c:idx val="1"/>
              <c:layout>
                <c:manualLayout>
                  <c:x val="0"/>
                  <c:y val="-4.7789725209080045E-3"/>
                </c:manualLayout>
              </c:layout>
              <c:showLegendKey val="0"/>
              <c:showVal val="1"/>
              <c:showCatName val="0"/>
              <c:showSerName val="0"/>
              <c:showPercent val="0"/>
              <c:showBubbleSize val="0"/>
            </c:dLbl>
            <c:dLbl>
              <c:idx val="2"/>
              <c:layout>
                <c:manualLayout>
                  <c:x val="-3.7037037037037035E-2"/>
                  <c:y val="-5.7347670250896057E-2"/>
                </c:manualLayout>
              </c:layout>
              <c:showLegendKey val="0"/>
              <c:showVal val="1"/>
              <c:showCatName val="0"/>
              <c:showSerName val="0"/>
              <c:showPercent val="0"/>
              <c:showBubbleSize val="0"/>
            </c:dLbl>
            <c:dLbl>
              <c:idx val="3"/>
              <c:layout>
                <c:manualLayout>
                  <c:x val="-8.6419753086419748E-2"/>
                  <c:y val="1.4336917562723928E-2"/>
                </c:manualLayout>
              </c:layout>
              <c:showLegendKey val="0"/>
              <c:showVal val="1"/>
              <c:showCatName val="0"/>
              <c:showSerName val="0"/>
              <c:showPercent val="0"/>
              <c:showBubbleSize val="0"/>
            </c:dLbl>
            <c:dLbl>
              <c:idx val="4"/>
              <c:layout>
                <c:manualLayout>
                  <c:x val="-3.7037037037037035E-2"/>
                  <c:y val="-6.2126642771804151E-2"/>
                </c:manualLayout>
              </c:layout>
              <c:showLegendKey val="0"/>
              <c:showVal val="1"/>
              <c:showCatName val="0"/>
              <c:showSerName val="0"/>
              <c:showPercent val="0"/>
              <c:showBubbleSize val="0"/>
            </c:dLbl>
            <c:dLbl>
              <c:idx val="5"/>
              <c:layout>
                <c:manualLayout>
                  <c:x val="-2.6748971193415638E-2"/>
                  <c:y val="-6.6905615292712148E-2"/>
                </c:manualLayout>
              </c:layout>
              <c:showLegendKey val="0"/>
              <c:showVal val="1"/>
              <c:showCatName val="0"/>
              <c:showSerName val="0"/>
              <c:showPercent val="0"/>
              <c:showBubbleSize val="0"/>
            </c:dLbl>
            <c:spPr>
              <a:solidFill>
                <a:schemeClr val="tx1"/>
              </a:solidFill>
              <a:ln>
                <a:solidFill>
                  <a:schemeClr val="accent1"/>
                </a:solidFill>
              </a:ln>
            </c:spPr>
            <c:txPr>
              <a:bodyPr/>
              <a:lstStyle/>
              <a:p>
                <a:pPr>
                  <a:defRPr sz="900">
                    <a:solidFill>
                      <a:schemeClr val="bg1"/>
                    </a:solidFill>
                  </a:defRPr>
                </a:pPr>
                <a:endParaRPr lang="es-ES"/>
              </a:p>
            </c:txPr>
            <c:showLegendKey val="0"/>
            <c:showVal val="1"/>
            <c:showCatName val="0"/>
            <c:showSerName val="0"/>
            <c:showPercent val="0"/>
            <c:showBubbleSize val="0"/>
            <c:showLeaderLines val="0"/>
          </c:dLbls>
          <c:cat>
            <c:strRef>
              <c:f>Hoja1!$A$2:$A$7</c:f>
              <c:strCache>
                <c:ptCount val="6"/>
                <c:pt idx="0">
                  <c:v>Comunicante anterior</c:v>
                </c:pt>
                <c:pt idx="1">
                  <c:v>Cerebral media</c:v>
                </c:pt>
                <c:pt idx="2">
                  <c:v>ACI</c:v>
                </c:pt>
                <c:pt idx="3">
                  <c:v>Basilar</c:v>
                </c:pt>
                <c:pt idx="4">
                  <c:v>Comunicante posterior</c:v>
                </c:pt>
                <c:pt idx="5">
                  <c:v>Corioidea anterior</c:v>
                </c:pt>
              </c:strCache>
            </c:strRef>
          </c:cat>
          <c:val>
            <c:numRef>
              <c:f>Hoja1!$B$2:$B$7</c:f>
              <c:numCache>
                <c:formatCode>0%</c:formatCode>
                <c:ptCount val="6"/>
                <c:pt idx="0">
                  <c:v>0.5</c:v>
                </c:pt>
                <c:pt idx="1">
                  <c:v>0</c:v>
                </c:pt>
                <c:pt idx="2" formatCode="0.00%">
                  <c:v>0.214</c:v>
                </c:pt>
                <c:pt idx="3" formatCode="0.00%">
                  <c:v>7.0999999999999994E-2</c:v>
                </c:pt>
                <c:pt idx="4" formatCode="0.00%">
                  <c:v>7.0999999999999994E-2</c:v>
                </c:pt>
                <c:pt idx="5" formatCode="0.00%">
                  <c:v>0.14299999999999999</c:v>
                </c:pt>
              </c:numCache>
            </c:numRef>
          </c:val>
          <c:smooth val="0"/>
        </c:ser>
        <c:ser>
          <c:idx val="1"/>
          <c:order val="1"/>
          <c:tx>
            <c:strRef>
              <c:f>Hoja1!$C$1</c:f>
              <c:strCache>
                <c:ptCount val="1"/>
                <c:pt idx="0">
                  <c:v>Mayor a 5mm</c:v>
                </c:pt>
              </c:strCache>
            </c:strRef>
          </c:tx>
          <c:spPr>
            <a:ln>
              <a:solidFill>
                <a:srgbClr val="9966FF"/>
              </a:solidFill>
            </a:ln>
          </c:spPr>
          <c:marker>
            <c:symbol val="none"/>
          </c:marker>
          <c:dLbls>
            <c:dLbl>
              <c:idx val="3"/>
              <c:layout>
                <c:manualLayout>
                  <c:x val="-1.2345679012345678E-2"/>
                  <c:y val="-6.212701906885295E-2"/>
                </c:manualLayout>
              </c:layout>
              <c:showLegendKey val="0"/>
              <c:showVal val="1"/>
              <c:showCatName val="0"/>
              <c:showSerName val="0"/>
              <c:showPercent val="0"/>
              <c:showBubbleSize val="0"/>
            </c:dLbl>
            <c:spPr>
              <a:solidFill>
                <a:schemeClr val="tx1"/>
              </a:solidFill>
              <a:ln>
                <a:solidFill>
                  <a:srgbClr val="9966FF"/>
                </a:solidFill>
              </a:ln>
            </c:spPr>
            <c:txPr>
              <a:bodyPr/>
              <a:lstStyle/>
              <a:p>
                <a:pPr>
                  <a:defRPr>
                    <a:solidFill>
                      <a:schemeClr val="bg1"/>
                    </a:solidFill>
                  </a:defRPr>
                </a:pPr>
                <a:endParaRPr lang="es-ES"/>
              </a:p>
            </c:txPr>
            <c:showLegendKey val="0"/>
            <c:showVal val="1"/>
            <c:showCatName val="0"/>
            <c:showSerName val="0"/>
            <c:showPercent val="0"/>
            <c:showBubbleSize val="0"/>
            <c:showLeaderLines val="0"/>
          </c:dLbls>
          <c:cat>
            <c:strRef>
              <c:f>Hoja1!$A$2:$A$7</c:f>
              <c:strCache>
                <c:ptCount val="6"/>
                <c:pt idx="0">
                  <c:v>Comunicante anterior</c:v>
                </c:pt>
                <c:pt idx="1">
                  <c:v>Cerebral media</c:v>
                </c:pt>
                <c:pt idx="2">
                  <c:v>ACI</c:v>
                </c:pt>
                <c:pt idx="3">
                  <c:v>Basilar</c:v>
                </c:pt>
                <c:pt idx="4">
                  <c:v>Comunicante posterior</c:v>
                </c:pt>
                <c:pt idx="5">
                  <c:v>Corioidea anterior</c:v>
                </c:pt>
              </c:strCache>
            </c:strRef>
          </c:cat>
          <c:val>
            <c:numRef>
              <c:f>Hoja1!$C$2:$C$7</c:f>
              <c:numCache>
                <c:formatCode>0.00%</c:formatCode>
                <c:ptCount val="6"/>
                <c:pt idx="0" formatCode="0%">
                  <c:v>0</c:v>
                </c:pt>
                <c:pt idx="1">
                  <c:v>0.214</c:v>
                </c:pt>
                <c:pt idx="2">
                  <c:v>0.64300000000000002</c:v>
                </c:pt>
                <c:pt idx="3">
                  <c:v>7.0999999999999994E-2</c:v>
                </c:pt>
                <c:pt idx="4" formatCode="0%">
                  <c:v>0</c:v>
                </c:pt>
                <c:pt idx="5">
                  <c:v>7.0999999999999994E-2</c:v>
                </c:pt>
              </c:numCache>
            </c:numRef>
          </c:val>
          <c:smooth val="0"/>
        </c:ser>
        <c:dLbls>
          <c:showLegendKey val="0"/>
          <c:showVal val="0"/>
          <c:showCatName val="0"/>
          <c:showSerName val="0"/>
          <c:showPercent val="0"/>
          <c:showBubbleSize val="0"/>
        </c:dLbls>
        <c:marker val="1"/>
        <c:smooth val="0"/>
        <c:axId val="315394688"/>
        <c:axId val="315556224"/>
      </c:lineChart>
      <c:catAx>
        <c:axId val="315394688"/>
        <c:scaling>
          <c:orientation val="minMax"/>
        </c:scaling>
        <c:delete val="0"/>
        <c:axPos val="b"/>
        <c:majorTickMark val="none"/>
        <c:minorTickMark val="none"/>
        <c:tickLblPos val="nextTo"/>
        <c:crossAx val="315556224"/>
        <c:crosses val="autoZero"/>
        <c:auto val="1"/>
        <c:lblAlgn val="ctr"/>
        <c:lblOffset val="100"/>
        <c:noMultiLvlLbl val="0"/>
      </c:catAx>
      <c:valAx>
        <c:axId val="315556224"/>
        <c:scaling>
          <c:orientation val="minMax"/>
        </c:scaling>
        <c:delete val="0"/>
        <c:axPos val="l"/>
        <c:majorGridlines/>
        <c:numFmt formatCode="0%" sourceLinked="1"/>
        <c:majorTickMark val="none"/>
        <c:minorTickMark val="none"/>
        <c:tickLblPos val="nextTo"/>
        <c:crossAx val="315394688"/>
        <c:crosses val="autoZero"/>
        <c:crossBetween val="between"/>
      </c:valAx>
    </c:plotArea>
    <c:legend>
      <c:legendPos val="r"/>
      <c:layout>
        <c:manualLayout>
          <c:xMode val="edge"/>
          <c:yMode val="edge"/>
          <c:x val="0.74478322154175169"/>
          <c:y val="3.2530879876574575E-2"/>
          <c:w val="0.24081348627717833"/>
          <c:h val="0.17283549233765133"/>
        </c:manualLayout>
      </c:layout>
      <c:overlay val="0"/>
    </c:legend>
    <c:plotVisOnly val="1"/>
    <c:dispBlanksAs val="zero"/>
    <c:showDLblsOverMax val="0"/>
  </c:chart>
  <c:spPr>
    <a:ln>
      <a:gradFill flip="none" rotWithShape="1">
        <a:gsLst>
          <a:gs pos="0">
            <a:schemeClr val="accent6"/>
          </a:gs>
          <a:gs pos="50000">
            <a:schemeClr val="accent1"/>
          </a:gs>
          <a:gs pos="100000">
            <a:schemeClr val="accent6">
              <a:lumMod val="60000"/>
              <a:lumOff val="40000"/>
            </a:schemeClr>
          </a:gs>
        </a:gsLst>
        <a:path path="circle">
          <a:fillToRect l="100000" t="100000"/>
        </a:path>
        <a:tileRect r="-100000" b="-100000"/>
      </a:gradFill>
    </a:ln>
  </c:spPr>
  <c:externalData r:id="rId1">
    <c:autoUpdate val="0"/>
  </c:externalData>
  <c:userShapes r:id="rId2"/>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s-ES" sz="1200"/>
              <a:t>Técnica</a:t>
            </a:r>
            <a:r>
              <a:rPr lang="es-ES" sz="1200" baseline="0"/>
              <a:t> deTEV y antiagregación</a:t>
            </a:r>
            <a:endParaRPr lang="es-ES" sz="1200"/>
          </a:p>
        </c:rich>
      </c:tx>
      <c:layout>
        <c:manualLayout>
          <c:xMode val="edge"/>
          <c:yMode val="edge"/>
          <c:x val="0.24541511258461113"/>
          <c:y val="0"/>
        </c:manualLayout>
      </c:layout>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0.19335304139614126"/>
          <c:y val="0.17285429141716566"/>
          <c:w val="0.62537219689644064"/>
          <c:h val="0.69156806218894773"/>
        </c:manualLayout>
      </c:layout>
      <c:bar3DChart>
        <c:barDir val="col"/>
        <c:grouping val="clustered"/>
        <c:varyColors val="0"/>
        <c:ser>
          <c:idx val="0"/>
          <c:order val="0"/>
          <c:tx>
            <c:strRef>
              <c:f>Hoja1!$B$1</c:f>
              <c:strCache>
                <c:ptCount val="1"/>
                <c:pt idx="0">
                  <c:v>Simple</c:v>
                </c:pt>
              </c:strCache>
            </c:strRef>
          </c:tx>
          <c:invertIfNegative val="0"/>
          <c:dLbls>
            <c:dLbl>
              <c:idx val="0"/>
              <c:layout>
                <c:manualLayout>
                  <c:x val="-4.574904098526146E-2"/>
                  <c:y val="-1.3873757583580741E-2"/>
                </c:manualLayout>
              </c:layout>
              <c:showLegendKey val="0"/>
              <c:showVal val="1"/>
              <c:showCatName val="0"/>
              <c:showSerName val="0"/>
              <c:showPercent val="0"/>
              <c:showBubbleSize val="0"/>
            </c:dLbl>
            <c:dLbl>
              <c:idx val="1"/>
              <c:layout>
                <c:manualLayout>
                  <c:x val="9.7614240527626357E-3"/>
                  <c:y val="0.40051059191371569"/>
                </c:manualLayout>
              </c:layout>
              <c:showLegendKey val="0"/>
              <c:showVal val="1"/>
              <c:showCatName val="0"/>
              <c:showSerName val="0"/>
              <c:showPercent val="0"/>
              <c:showBubbleSize val="0"/>
            </c:dLbl>
            <c:numFmt formatCode="0.0%" sourceLinked="0"/>
            <c:spPr>
              <a:solidFill>
                <a:schemeClr val="tx1"/>
              </a:solidFill>
            </c:spPr>
            <c:txPr>
              <a:bodyPr/>
              <a:lstStyle/>
              <a:p>
                <a:pPr>
                  <a:defRPr sz="900">
                    <a:solidFill>
                      <a:schemeClr val="bg1"/>
                    </a:solidFill>
                  </a:defRPr>
                </a:pPr>
                <a:endParaRPr lang="es-ES"/>
              </a:p>
            </c:txPr>
            <c:showLegendKey val="0"/>
            <c:showVal val="1"/>
            <c:showCatName val="0"/>
            <c:showSerName val="0"/>
            <c:showPercent val="0"/>
            <c:showBubbleSize val="0"/>
            <c:showLeaderLines val="0"/>
          </c:dLbls>
          <c:cat>
            <c:strRef>
              <c:f>Hoja1!$A$2:$A$3</c:f>
              <c:strCache>
                <c:ptCount val="2"/>
                <c:pt idx="0">
                  <c:v>Remodeling + stent</c:v>
                </c:pt>
                <c:pt idx="1">
                  <c:v>Coils</c:v>
                </c:pt>
              </c:strCache>
            </c:strRef>
          </c:cat>
          <c:val>
            <c:numRef>
              <c:f>Hoja1!$B$2:$B$3</c:f>
              <c:numCache>
                <c:formatCode>0.00%</c:formatCode>
                <c:ptCount val="2"/>
                <c:pt idx="0">
                  <c:v>0.13</c:v>
                </c:pt>
                <c:pt idx="1">
                  <c:v>0.85699999999999998</c:v>
                </c:pt>
              </c:numCache>
            </c:numRef>
          </c:val>
        </c:ser>
        <c:ser>
          <c:idx val="1"/>
          <c:order val="1"/>
          <c:tx>
            <c:strRef>
              <c:f>Hoja1!$C$1</c:f>
              <c:strCache>
                <c:ptCount val="1"/>
                <c:pt idx="0">
                  <c:v>Doble</c:v>
                </c:pt>
              </c:strCache>
            </c:strRef>
          </c:tx>
          <c:invertIfNegative val="0"/>
          <c:dLbls>
            <c:dLbl>
              <c:idx val="0"/>
              <c:layout>
                <c:manualLayout>
                  <c:x val="4.0890705969446127E-2"/>
                  <c:y val="0.415474950877042"/>
                </c:manualLayout>
              </c:layout>
              <c:showLegendKey val="0"/>
              <c:showVal val="1"/>
              <c:showCatName val="0"/>
              <c:showSerName val="0"/>
              <c:showPercent val="0"/>
              <c:showBubbleSize val="0"/>
            </c:dLbl>
            <c:dLbl>
              <c:idx val="1"/>
              <c:layout>
                <c:manualLayout>
                  <c:x val="7.9532163742690148E-2"/>
                  <c:y val="0"/>
                </c:manualLayout>
              </c:layout>
              <c:showLegendKey val="0"/>
              <c:showVal val="1"/>
              <c:showCatName val="0"/>
              <c:showSerName val="0"/>
              <c:showPercent val="0"/>
              <c:showBubbleSize val="0"/>
            </c:dLbl>
            <c:spPr>
              <a:solidFill>
                <a:schemeClr val="tx1"/>
              </a:solidFill>
            </c:spPr>
            <c:txPr>
              <a:bodyPr/>
              <a:lstStyle/>
              <a:p>
                <a:pPr>
                  <a:defRPr sz="900">
                    <a:solidFill>
                      <a:schemeClr val="bg1"/>
                    </a:solidFill>
                  </a:defRPr>
                </a:pPr>
                <a:endParaRPr lang="es-ES"/>
              </a:p>
            </c:txPr>
            <c:showLegendKey val="0"/>
            <c:showVal val="1"/>
            <c:showCatName val="0"/>
            <c:showSerName val="0"/>
            <c:showPercent val="0"/>
            <c:showBubbleSize val="0"/>
            <c:showLeaderLines val="0"/>
          </c:dLbls>
          <c:cat>
            <c:strRef>
              <c:f>Hoja1!$A$2:$A$3</c:f>
              <c:strCache>
                <c:ptCount val="2"/>
                <c:pt idx="0">
                  <c:v>Remodeling + stent</c:v>
                </c:pt>
                <c:pt idx="1">
                  <c:v>Coils</c:v>
                </c:pt>
              </c:strCache>
            </c:strRef>
          </c:cat>
          <c:val>
            <c:numRef>
              <c:f>Hoja1!$C$2:$C$3</c:f>
              <c:numCache>
                <c:formatCode>0.00%</c:formatCode>
                <c:ptCount val="2"/>
                <c:pt idx="0">
                  <c:v>0.87</c:v>
                </c:pt>
                <c:pt idx="1">
                  <c:v>0.14299999999999999</c:v>
                </c:pt>
              </c:numCache>
            </c:numRef>
          </c:val>
        </c:ser>
        <c:dLbls>
          <c:showLegendKey val="0"/>
          <c:showVal val="0"/>
          <c:showCatName val="0"/>
          <c:showSerName val="0"/>
          <c:showPercent val="0"/>
          <c:showBubbleSize val="0"/>
        </c:dLbls>
        <c:gapWidth val="150"/>
        <c:shape val="pyramid"/>
        <c:axId val="315587200"/>
        <c:axId val="315617664"/>
        <c:axId val="0"/>
      </c:bar3DChart>
      <c:catAx>
        <c:axId val="315587200"/>
        <c:scaling>
          <c:orientation val="minMax"/>
        </c:scaling>
        <c:delete val="0"/>
        <c:axPos val="b"/>
        <c:majorTickMark val="none"/>
        <c:minorTickMark val="none"/>
        <c:tickLblPos val="nextTo"/>
        <c:txPr>
          <a:bodyPr/>
          <a:lstStyle/>
          <a:p>
            <a:pPr>
              <a:defRPr sz="900"/>
            </a:pPr>
            <a:endParaRPr lang="es-ES"/>
          </a:p>
        </c:txPr>
        <c:crossAx val="315617664"/>
        <c:crosses val="autoZero"/>
        <c:auto val="1"/>
        <c:lblAlgn val="ctr"/>
        <c:lblOffset val="100"/>
        <c:noMultiLvlLbl val="0"/>
      </c:catAx>
      <c:valAx>
        <c:axId val="315617664"/>
        <c:scaling>
          <c:orientation val="minMax"/>
        </c:scaling>
        <c:delete val="0"/>
        <c:axPos val="l"/>
        <c:majorGridlines/>
        <c:numFmt formatCode="0.00%" sourceLinked="1"/>
        <c:majorTickMark val="none"/>
        <c:minorTickMark val="none"/>
        <c:tickLblPos val="nextTo"/>
        <c:txPr>
          <a:bodyPr/>
          <a:lstStyle/>
          <a:p>
            <a:pPr>
              <a:defRPr sz="900"/>
            </a:pPr>
            <a:endParaRPr lang="es-ES"/>
          </a:p>
        </c:txPr>
        <c:crossAx val="315587200"/>
        <c:crosses val="autoZero"/>
        <c:crossBetween val="between"/>
      </c:valAx>
    </c:plotArea>
    <c:legend>
      <c:legendPos val="r"/>
      <c:layout>
        <c:manualLayout>
          <c:xMode val="edge"/>
          <c:yMode val="edge"/>
          <c:x val="0.80942290867487721"/>
          <c:y val="0.31701332415415284"/>
          <c:w val="0.18953751084274159"/>
          <c:h val="0.26350329159674712"/>
        </c:manualLayout>
      </c:layout>
      <c:overlay val="0"/>
    </c:legend>
    <c:plotVisOnly val="1"/>
    <c:dispBlanksAs val="gap"/>
    <c:showDLblsOverMax val="0"/>
  </c:chart>
  <c:spPr>
    <a:ln>
      <a:gradFill flip="none" rotWithShape="1">
        <a:gsLst>
          <a:gs pos="0">
            <a:schemeClr val="accent6"/>
          </a:gs>
          <a:gs pos="50000">
            <a:schemeClr val="accent1"/>
          </a:gs>
          <a:gs pos="100000">
            <a:schemeClr val="accent6">
              <a:lumMod val="60000"/>
              <a:lumOff val="40000"/>
            </a:schemeClr>
          </a:gs>
        </a:gsLst>
        <a:path path="circle">
          <a:fillToRect l="100000" t="100000"/>
        </a:path>
        <a:tileRect r="-100000" b="-100000"/>
      </a:gradFill>
    </a:ln>
  </c:spPr>
  <c:externalData r:id="rId1">
    <c:autoUpdate val="0"/>
  </c:externalData>
  <c:userShapes r:id="rId2"/>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nchor="ctr" anchorCtr="0"/>
          <a:lstStyle/>
          <a:p>
            <a:pPr algn="l">
              <a:defRPr sz="1200">
                <a:solidFill>
                  <a:sysClr val="windowText" lastClr="000000"/>
                </a:solidFill>
              </a:defRPr>
            </a:pPr>
            <a:r>
              <a:rPr lang="es-ES" sz="1200">
                <a:solidFill>
                  <a:sysClr val="windowText" lastClr="000000"/>
                </a:solidFill>
              </a:rPr>
              <a:t>Historia</a:t>
            </a:r>
            <a:r>
              <a:rPr lang="es-ES" sz="1200" baseline="0">
                <a:solidFill>
                  <a:sysClr val="windowText" lastClr="000000"/>
                </a:solidFill>
              </a:rPr>
              <a:t> </a:t>
            </a:r>
            <a:r>
              <a:rPr lang="es-ES" sz="1200">
                <a:solidFill>
                  <a:sysClr val="windowText" lastClr="000000"/>
                </a:solidFill>
              </a:rPr>
              <a:t>de HSA y nº de</a:t>
            </a:r>
            <a:r>
              <a:rPr lang="es-ES" sz="1200" baseline="0">
                <a:solidFill>
                  <a:sysClr val="windowText" lastClr="000000"/>
                </a:solidFill>
              </a:rPr>
              <a:t> </a:t>
            </a:r>
            <a:r>
              <a:rPr lang="es-ES" sz="1200">
                <a:solidFill>
                  <a:sysClr val="windowText" lastClr="000000"/>
                </a:solidFill>
              </a:rPr>
              <a:t>intervenciones</a:t>
            </a:r>
          </a:p>
        </c:rich>
      </c:tx>
      <c:layout>
        <c:manualLayout>
          <c:xMode val="edge"/>
          <c:yMode val="edge"/>
          <c:x val="0.23321589608991183"/>
          <c:y val="0"/>
        </c:manualLayout>
      </c:layout>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0.17850797496466789"/>
          <c:y val="0.15593821264145263"/>
          <c:w val="0.60063799717343036"/>
          <c:h val="0.7052519254765286"/>
        </c:manualLayout>
      </c:layout>
      <c:bar3DChart>
        <c:barDir val="col"/>
        <c:grouping val="clustered"/>
        <c:varyColors val="0"/>
        <c:ser>
          <c:idx val="0"/>
          <c:order val="0"/>
          <c:tx>
            <c:strRef>
              <c:f>Hoja1!$B$1</c:f>
              <c:strCache>
                <c:ptCount val="1"/>
                <c:pt idx="0">
                  <c:v>1 Intervención</c:v>
                </c:pt>
              </c:strCache>
            </c:strRef>
          </c:tx>
          <c:invertIfNegative val="0"/>
          <c:dLbls>
            <c:dLbl>
              <c:idx val="0"/>
              <c:layout>
                <c:manualLayout>
                  <c:x val="-7.2649572649572655E-2"/>
                  <c:y val="0.24772313296903448"/>
                </c:manualLayout>
              </c:layout>
              <c:showLegendKey val="0"/>
              <c:showVal val="1"/>
              <c:showCatName val="0"/>
              <c:showSerName val="0"/>
              <c:showPercent val="0"/>
              <c:showBubbleSize val="0"/>
            </c:dLbl>
            <c:dLbl>
              <c:idx val="1"/>
              <c:layout>
                <c:manualLayout>
                  <c:x val="2.564102564102564E-2"/>
                  <c:y val="0.28415300546448086"/>
                </c:manualLayout>
              </c:layout>
              <c:showLegendKey val="0"/>
              <c:showVal val="1"/>
              <c:showCatName val="0"/>
              <c:showSerName val="0"/>
              <c:showPercent val="0"/>
              <c:showBubbleSize val="0"/>
            </c:dLbl>
            <c:spPr>
              <a:solidFill>
                <a:schemeClr val="tx1"/>
              </a:solidFill>
            </c:spPr>
            <c:txPr>
              <a:bodyPr/>
              <a:lstStyle/>
              <a:p>
                <a:pPr>
                  <a:defRPr sz="900">
                    <a:solidFill>
                      <a:schemeClr val="bg1"/>
                    </a:solidFill>
                  </a:defRPr>
                </a:pPr>
                <a:endParaRPr lang="es-ES"/>
              </a:p>
            </c:txPr>
            <c:showLegendKey val="0"/>
            <c:showVal val="1"/>
            <c:showCatName val="0"/>
            <c:showSerName val="0"/>
            <c:showPercent val="0"/>
            <c:showBubbleSize val="0"/>
            <c:showLeaderLines val="0"/>
          </c:dLbls>
          <c:cat>
            <c:strRef>
              <c:f>Hoja1!$A$2:$A$3</c:f>
              <c:strCache>
                <c:ptCount val="2"/>
                <c:pt idx="0">
                  <c:v>HSA</c:v>
                </c:pt>
                <c:pt idx="1">
                  <c:v>No HSA</c:v>
                </c:pt>
              </c:strCache>
            </c:strRef>
          </c:cat>
          <c:val>
            <c:numRef>
              <c:f>Hoja1!$B$2:$B$3</c:f>
              <c:numCache>
                <c:formatCode>0.00%</c:formatCode>
                <c:ptCount val="2"/>
                <c:pt idx="0">
                  <c:v>0.66700000000000004</c:v>
                </c:pt>
                <c:pt idx="1">
                  <c:v>0.96299999999999997</c:v>
                </c:pt>
              </c:numCache>
            </c:numRef>
          </c:val>
        </c:ser>
        <c:ser>
          <c:idx val="1"/>
          <c:order val="1"/>
          <c:tx>
            <c:strRef>
              <c:f>Hoja1!$C$1</c:f>
              <c:strCache>
                <c:ptCount val="1"/>
                <c:pt idx="0">
                  <c:v>&gt;1 Intervención</c:v>
                </c:pt>
              </c:strCache>
            </c:strRef>
          </c:tx>
          <c:invertIfNegative val="0"/>
          <c:dLbls>
            <c:dLbl>
              <c:idx val="0"/>
              <c:layout>
                <c:manualLayout>
                  <c:x val="3.8461538461538464E-2"/>
                  <c:y val="0"/>
                </c:manualLayout>
              </c:layout>
              <c:showLegendKey val="0"/>
              <c:showVal val="1"/>
              <c:showCatName val="0"/>
              <c:showSerName val="0"/>
              <c:showPercent val="0"/>
              <c:showBubbleSize val="0"/>
            </c:dLbl>
            <c:dLbl>
              <c:idx val="1"/>
              <c:layout>
                <c:manualLayout>
                  <c:x val="6.83760683760683E-2"/>
                  <c:y val="-2.185792349726776E-2"/>
                </c:manualLayout>
              </c:layout>
              <c:showLegendKey val="0"/>
              <c:showVal val="1"/>
              <c:showCatName val="0"/>
              <c:showSerName val="0"/>
              <c:showPercent val="0"/>
              <c:showBubbleSize val="0"/>
            </c:dLbl>
            <c:numFmt formatCode="0.0%" sourceLinked="0"/>
            <c:spPr>
              <a:solidFill>
                <a:schemeClr val="tx1"/>
              </a:solidFill>
            </c:spPr>
            <c:txPr>
              <a:bodyPr/>
              <a:lstStyle/>
              <a:p>
                <a:pPr>
                  <a:defRPr sz="900">
                    <a:solidFill>
                      <a:schemeClr val="bg1"/>
                    </a:solidFill>
                  </a:defRPr>
                </a:pPr>
                <a:endParaRPr lang="es-ES"/>
              </a:p>
            </c:txPr>
            <c:showLegendKey val="0"/>
            <c:showVal val="1"/>
            <c:showCatName val="0"/>
            <c:showSerName val="0"/>
            <c:showPercent val="0"/>
            <c:showBubbleSize val="0"/>
            <c:showLeaderLines val="0"/>
          </c:dLbls>
          <c:cat>
            <c:strRef>
              <c:f>Hoja1!$A$2:$A$3</c:f>
              <c:strCache>
                <c:ptCount val="2"/>
                <c:pt idx="0">
                  <c:v>HSA</c:v>
                </c:pt>
                <c:pt idx="1">
                  <c:v>No HSA</c:v>
                </c:pt>
              </c:strCache>
            </c:strRef>
          </c:cat>
          <c:val>
            <c:numRef>
              <c:f>Hoja1!$C$2:$C$3</c:f>
              <c:numCache>
                <c:formatCode>0.00%</c:formatCode>
                <c:ptCount val="2"/>
                <c:pt idx="0">
                  <c:v>0.33300000000000002</c:v>
                </c:pt>
                <c:pt idx="1">
                  <c:v>3.6999999999999998E-2</c:v>
                </c:pt>
              </c:numCache>
            </c:numRef>
          </c:val>
        </c:ser>
        <c:dLbls>
          <c:showLegendKey val="0"/>
          <c:showVal val="0"/>
          <c:showCatName val="0"/>
          <c:showSerName val="0"/>
          <c:showPercent val="0"/>
          <c:showBubbleSize val="0"/>
        </c:dLbls>
        <c:gapWidth val="150"/>
        <c:shape val="pyramid"/>
        <c:axId val="314604160"/>
        <c:axId val="314872192"/>
        <c:axId val="0"/>
      </c:bar3DChart>
      <c:catAx>
        <c:axId val="314604160"/>
        <c:scaling>
          <c:orientation val="minMax"/>
        </c:scaling>
        <c:delete val="0"/>
        <c:axPos val="b"/>
        <c:majorTickMark val="none"/>
        <c:minorTickMark val="none"/>
        <c:tickLblPos val="nextTo"/>
        <c:txPr>
          <a:bodyPr/>
          <a:lstStyle/>
          <a:p>
            <a:pPr>
              <a:defRPr sz="900"/>
            </a:pPr>
            <a:endParaRPr lang="es-ES"/>
          </a:p>
        </c:txPr>
        <c:crossAx val="314872192"/>
        <c:crosses val="autoZero"/>
        <c:auto val="1"/>
        <c:lblAlgn val="ctr"/>
        <c:lblOffset val="100"/>
        <c:noMultiLvlLbl val="0"/>
      </c:catAx>
      <c:valAx>
        <c:axId val="314872192"/>
        <c:scaling>
          <c:orientation val="minMax"/>
        </c:scaling>
        <c:delete val="0"/>
        <c:axPos val="l"/>
        <c:majorGridlines/>
        <c:numFmt formatCode="0.00%" sourceLinked="1"/>
        <c:majorTickMark val="none"/>
        <c:minorTickMark val="none"/>
        <c:tickLblPos val="nextTo"/>
        <c:txPr>
          <a:bodyPr/>
          <a:lstStyle/>
          <a:p>
            <a:pPr>
              <a:defRPr sz="900"/>
            </a:pPr>
            <a:endParaRPr lang="es-ES"/>
          </a:p>
        </c:txPr>
        <c:crossAx val="314604160"/>
        <c:crosses val="autoZero"/>
        <c:crossBetween val="between"/>
      </c:valAx>
    </c:plotArea>
    <c:legend>
      <c:legendPos val="r"/>
      <c:layout>
        <c:manualLayout>
          <c:xMode val="edge"/>
          <c:yMode val="edge"/>
          <c:x val="0.69367602046776788"/>
          <c:y val="0.15076172855442249"/>
          <c:w val="0.30205060905848308"/>
          <c:h val="0.38736485808126442"/>
        </c:manualLayout>
      </c:layout>
      <c:overlay val="0"/>
      <c:txPr>
        <a:bodyPr/>
        <a:lstStyle/>
        <a:p>
          <a:pPr>
            <a:defRPr sz="900"/>
          </a:pPr>
          <a:endParaRPr lang="es-ES"/>
        </a:p>
      </c:txPr>
    </c:legend>
    <c:plotVisOnly val="1"/>
    <c:dispBlanksAs val="gap"/>
    <c:showDLblsOverMax val="0"/>
  </c:chart>
  <c:spPr>
    <a:ln>
      <a:gradFill flip="none" rotWithShape="1">
        <a:gsLst>
          <a:gs pos="0">
            <a:schemeClr val="accent6"/>
          </a:gs>
          <a:gs pos="50000">
            <a:schemeClr val="accent1"/>
          </a:gs>
          <a:gs pos="100000">
            <a:schemeClr val="accent6">
              <a:lumMod val="60000"/>
              <a:lumOff val="40000"/>
            </a:schemeClr>
          </a:gs>
        </a:gsLst>
        <a:path path="circle">
          <a:fillToRect l="100000" t="100000"/>
        </a:path>
        <a:tileRect r="-100000" b="-100000"/>
      </a:gradFill>
    </a:ln>
  </c:sp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2000"/>
            </a:pPr>
            <a:r>
              <a:rPr lang="en-US" sz="1400"/>
              <a:t>Sexo</a:t>
            </a:r>
            <a:endParaRPr lang="en-US" sz="2000"/>
          </a:p>
        </c:rich>
      </c:tx>
      <c:layout>
        <c:manualLayout>
          <c:xMode val="edge"/>
          <c:yMode val="edge"/>
          <c:x val="0.50202543912780129"/>
          <c:y val="5.2631578947368418E-2"/>
        </c:manualLayout>
      </c:layout>
      <c:overlay val="0"/>
    </c:title>
    <c:autoTitleDeleted val="0"/>
    <c:plotArea>
      <c:layout>
        <c:manualLayout>
          <c:layoutTarget val="inner"/>
          <c:xMode val="edge"/>
          <c:yMode val="edge"/>
          <c:x val="0.10735079933190171"/>
          <c:y val="0.15706949674768914"/>
          <c:w val="0.47721835618005376"/>
          <c:h val="0.81611255114849779"/>
        </c:manualLayout>
      </c:layout>
      <c:doughnutChart>
        <c:varyColors val="1"/>
        <c:ser>
          <c:idx val="0"/>
          <c:order val="0"/>
          <c:tx>
            <c:strRef>
              <c:f>Hoja1!$B$1</c:f>
              <c:strCache>
                <c:ptCount val="1"/>
                <c:pt idx="0">
                  <c:v>Sexo</c:v>
                </c:pt>
              </c:strCache>
            </c:strRef>
          </c:tx>
          <c:dLbls>
            <c:spPr>
              <a:solidFill>
                <a:schemeClr val="tx1"/>
              </a:solidFill>
            </c:spPr>
            <c:txPr>
              <a:bodyPr/>
              <a:lstStyle/>
              <a:p>
                <a:pPr>
                  <a:defRPr sz="900">
                    <a:solidFill>
                      <a:schemeClr val="bg1"/>
                    </a:solidFill>
                  </a:defRPr>
                </a:pPr>
                <a:endParaRPr lang="es-ES"/>
              </a:p>
            </c:txPr>
            <c:showLegendKey val="0"/>
            <c:showVal val="1"/>
            <c:showCatName val="0"/>
            <c:showSerName val="0"/>
            <c:showPercent val="0"/>
            <c:showBubbleSize val="0"/>
            <c:showLeaderLines val="1"/>
          </c:dLbls>
          <c:cat>
            <c:strRef>
              <c:f>Hoja1!$A$2:$A$3</c:f>
              <c:strCache>
                <c:ptCount val="2"/>
                <c:pt idx="0">
                  <c:v>Mujeres</c:v>
                </c:pt>
                <c:pt idx="1">
                  <c:v>Hombres</c:v>
                </c:pt>
              </c:strCache>
            </c:strRef>
          </c:cat>
          <c:val>
            <c:numRef>
              <c:f>Hoja1!$B$2:$B$3</c:f>
              <c:numCache>
                <c:formatCode>0%</c:formatCode>
                <c:ptCount val="2"/>
                <c:pt idx="0">
                  <c:v>0.7</c:v>
                </c:pt>
                <c:pt idx="1">
                  <c:v>0.3</c:v>
                </c:pt>
              </c:numCache>
            </c:numRef>
          </c:val>
        </c:ser>
        <c:dLbls>
          <c:showLegendKey val="0"/>
          <c:showVal val="0"/>
          <c:showCatName val="0"/>
          <c:showSerName val="0"/>
          <c:showPercent val="0"/>
          <c:showBubbleSize val="0"/>
          <c:showLeaderLines val="1"/>
        </c:dLbls>
        <c:firstSliceAng val="0"/>
        <c:holeSize val="50"/>
      </c:doughnutChart>
    </c:plotArea>
    <c:legend>
      <c:legendPos val="r"/>
      <c:layout>
        <c:manualLayout>
          <c:xMode val="edge"/>
          <c:yMode val="edge"/>
          <c:x val="0.69177104784978805"/>
          <c:y val="0.19264953722889899"/>
          <c:w val="0.26200796934281517"/>
          <c:h val="0.29950995256027779"/>
        </c:manualLayout>
      </c:layout>
      <c:overlay val="0"/>
    </c:legend>
    <c:plotVisOnly val="1"/>
    <c:dispBlanksAs val="gap"/>
    <c:showDLblsOverMax val="0"/>
  </c:chart>
  <c:spPr>
    <a:ln>
      <a:gradFill flip="none" rotWithShape="1">
        <a:gsLst>
          <a:gs pos="0">
            <a:schemeClr val="tx2"/>
          </a:gs>
          <a:gs pos="50000">
            <a:schemeClr val="accent1"/>
          </a:gs>
          <a:gs pos="100000">
            <a:schemeClr val="accent6">
              <a:lumMod val="60000"/>
              <a:lumOff val="40000"/>
            </a:schemeClr>
          </a:gs>
        </a:gsLst>
        <a:path path="circle">
          <a:fillToRect l="100000" t="100000"/>
        </a:path>
        <a:tileRect r="-100000" b="-100000"/>
      </a:gradFill>
    </a:ln>
  </c:sp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46945435456931522"/>
          <c:y val="4.414991604310331E-2"/>
        </c:manualLayout>
      </c:layout>
      <c:overlay val="0"/>
      <c:txPr>
        <a:bodyPr/>
        <a:lstStyle/>
        <a:p>
          <a:pPr>
            <a:defRPr sz="1300"/>
          </a:pPr>
          <a:endParaRPr lang="es-ES"/>
        </a:p>
      </c:txPr>
    </c:title>
    <c:autoTitleDeleted val="0"/>
    <c:plotArea>
      <c:layout>
        <c:manualLayout>
          <c:layoutTarget val="inner"/>
          <c:xMode val="edge"/>
          <c:yMode val="edge"/>
          <c:x val="5.4327463612502985E-2"/>
          <c:y val="0.11930291322280367"/>
          <c:w val="0.4856242424242424"/>
          <c:h val="0.82948240165631471"/>
        </c:manualLayout>
      </c:layout>
      <c:doughnutChart>
        <c:varyColors val="1"/>
        <c:ser>
          <c:idx val="0"/>
          <c:order val="0"/>
          <c:tx>
            <c:strRef>
              <c:f>Hoja1!$B$1</c:f>
              <c:strCache>
                <c:ptCount val="1"/>
                <c:pt idx="0">
                  <c:v>Comorbilidad</c:v>
                </c:pt>
              </c:strCache>
            </c:strRef>
          </c:tx>
          <c:dLbls>
            <c:spPr>
              <a:solidFill>
                <a:schemeClr val="tx1"/>
              </a:solidFill>
            </c:spPr>
            <c:txPr>
              <a:bodyPr/>
              <a:lstStyle/>
              <a:p>
                <a:pPr>
                  <a:defRPr>
                    <a:solidFill>
                      <a:schemeClr val="bg1"/>
                    </a:solidFill>
                  </a:defRPr>
                </a:pPr>
                <a:endParaRPr lang="es-ES"/>
              </a:p>
            </c:txPr>
            <c:showLegendKey val="0"/>
            <c:showVal val="1"/>
            <c:showCatName val="0"/>
            <c:showSerName val="0"/>
            <c:showPercent val="0"/>
            <c:showBubbleSize val="0"/>
            <c:showLeaderLines val="1"/>
          </c:dLbls>
          <c:cat>
            <c:strRef>
              <c:f>Hoja1!$A$2:$A$3</c:f>
              <c:strCache>
                <c:ptCount val="2"/>
                <c:pt idx="0">
                  <c:v>Presencia de comorbilidades</c:v>
                </c:pt>
                <c:pt idx="1">
                  <c:v>Ausencia de comorbilidades</c:v>
                </c:pt>
              </c:strCache>
            </c:strRef>
          </c:cat>
          <c:val>
            <c:numRef>
              <c:f>Hoja1!$B$2:$B$3</c:f>
              <c:numCache>
                <c:formatCode>0%</c:formatCode>
                <c:ptCount val="2"/>
                <c:pt idx="0">
                  <c:v>0.7</c:v>
                </c:pt>
                <c:pt idx="1">
                  <c:v>0.3</c:v>
                </c:pt>
              </c:numCache>
            </c:numRef>
          </c:val>
        </c:ser>
        <c:dLbls>
          <c:showLegendKey val="0"/>
          <c:showVal val="0"/>
          <c:showCatName val="0"/>
          <c:showSerName val="0"/>
          <c:showPercent val="0"/>
          <c:showBubbleSize val="0"/>
          <c:showLeaderLines val="1"/>
        </c:dLbls>
        <c:firstSliceAng val="0"/>
        <c:holeSize val="50"/>
      </c:doughnutChart>
    </c:plotArea>
    <c:legend>
      <c:legendPos val="r"/>
      <c:layout>
        <c:manualLayout>
          <c:xMode val="edge"/>
          <c:yMode val="edge"/>
          <c:x val="0.49246136960152709"/>
          <c:y val="0.17258799603691921"/>
          <c:w val="0.50753863039847291"/>
          <c:h val="0.63795797048547742"/>
        </c:manualLayout>
      </c:layout>
      <c:overlay val="0"/>
    </c:legend>
    <c:plotVisOnly val="1"/>
    <c:dispBlanksAs val="gap"/>
    <c:showDLblsOverMax val="0"/>
  </c:chart>
  <c:spPr>
    <a:ln>
      <a:gradFill flip="none" rotWithShape="1">
        <a:gsLst>
          <a:gs pos="0">
            <a:schemeClr val="accent6"/>
          </a:gs>
          <a:gs pos="50000">
            <a:schemeClr val="accent1"/>
          </a:gs>
          <a:gs pos="100000">
            <a:schemeClr val="accent6">
              <a:lumMod val="60000"/>
              <a:lumOff val="40000"/>
            </a:schemeClr>
          </a:gs>
        </a:gsLst>
        <a:path path="circle">
          <a:fillToRect l="100000" t="100000"/>
        </a:path>
        <a:tileRect r="-100000" b="-100000"/>
      </a:gradFill>
    </a:ln>
  </c:sp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2.986463207612175E-2"/>
          <c:y val="3.2706459525756335E-2"/>
        </c:manualLayout>
      </c:layout>
      <c:overlay val="0"/>
      <c:txPr>
        <a:bodyPr/>
        <a:lstStyle/>
        <a:p>
          <a:pPr>
            <a:defRPr sz="1600"/>
          </a:pPr>
          <a:endParaRPr lang="es-ES"/>
        </a:p>
      </c:txPr>
    </c:title>
    <c:autoTitleDeleted val="0"/>
    <c:plotArea>
      <c:layout/>
      <c:lineChart>
        <c:grouping val="stacked"/>
        <c:varyColors val="0"/>
        <c:ser>
          <c:idx val="0"/>
          <c:order val="0"/>
          <c:tx>
            <c:strRef>
              <c:f>Hoja1!$B$1</c:f>
              <c:strCache>
                <c:ptCount val="1"/>
                <c:pt idx="0">
                  <c:v>Tamaño de los aneurismas</c:v>
                </c:pt>
              </c:strCache>
            </c:strRef>
          </c:tx>
          <c:marker>
            <c:symbol val="none"/>
          </c:marker>
          <c:cat>
            <c:strRef>
              <c:f>Hoja1!$A$2:$A$14</c:f>
              <c:strCache>
                <c:ptCount val="13"/>
                <c:pt idx="0">
                  <c:v>2.0 mm</c:v>
                </c:pt>
                <c:pt idx="1">
                  <c:v>3,0mm</c:v>
                </c:pt>
                <c:pt idx="2">
                  <c:v>3,2mm</c:v>
                </c:pt>
                <c:pt idx="3">
                  <c:v>3,5mm</c:v>
                </c:pt>
                <c:pt idx="4">
                  <c:v>3,7mm</c:v>
                </c:pt>
                <c:pt idx="5">
                  <c:v>4mm</c:v>
                </c:pt>
                <c:pt idx="6">
                  <c:v>5mm</c:v>
                </c:pt>
                <c:pt idx="7">
                  <c:v>6mm</c:v>
                </c:pt>
                <c:pt idx="8">
                  <c:v>6,5mm</c:v>
                </c:pt>
                <c:pt idx="9">
                  <c:v>7,0mm</c:v>
                </c:pt>
                <c:pt idx="10">
                  <c:v>8,0mm</c:v>
                </c:pt>
                <c:pt idx="11">
                  <c:v>8,6mm</c:v>
                </c:pt>
                <c:pt idx="12">
                  <c:v>Perdidos</c:v>
                </c:pt>
              </c:strCache>
            </c:strRef>
          </c:cat>
          <c:val>
            <c:numRef>
              <c:f>Hoja1!$B$2:$B$14</c:f>
              <c:numCache>
                <c:formatCode>0.00%</c:formatCode>
                <c:ptCount val="13"/>
                <c:pt idx="0" formatCode="0%">
                  <c:v>3.3000000000000002E-2</c:v>
                </c:pt>
                <c:pt idx="1">
                  <c:v>0.1</c:v>
                </c:pt>
                <c:pt idx="2">
                  <c:v>3.3000000000000002E-2</c:v>
                </c:pt>
                <c:pt idx="3" formatCode="0%">
                  <c:v>6.7000000000000004E-2</c:v>
                </c:pt>
                <c:pt idx="4">
                  <c:v>3.3000000000000002E-2</c:v>
                </c:pt>
                <c:pt idx="5">
                  <c:v>6.7000000000000004E-2</c:v>
                </c:pt>
                <c:pt idx="6">
                  <c:v>0.13300000000000001</c:v>
                </c:pt>
                <c:pt idx="7" formatCode="0%">
                  <c:v>0.2</c:v>
                </c:pt>
                <c:pt idx="8">
                  <c:v>3.3000000000000002E-2</c:v>
                </c:pt>
                <c:pt idx="9">
                  <c:v>0.13300000000000001</c:v>
                </c:pt>
                <c:pt idx="10">
                  <c:v>6.7000000000000004E-2</c:v>
                </c:pt>
                <c:pt idx="11">
                  <c:v>3.3000000000000002E-2</c:v>
                </c:pt>
                <c:pt idx="12">
                  <c:v>6.7000000000000004E-2</c:v>
                </c:pt>
              </c:numCache>
            </c:numRef>
          </c:val>
          <c:smooth val="0"/>
        </c:ser>
        <c:dLbls>
          <c:showLegendKey val="0"/>
          <c:showVal val="0"/>
          <c:showCatName val="0"/>
          <c:showSerName val="0"/>
          <c:showPercent val="0"/>
          <c:showBubbleSize val="0"/>
        </c:dLbls>
        <c:marker val="1"/>
        <c:smooth val="0"/>
        <c:axId val="311646464"/>
        <c:axId val="311648256"/>
      </c:lineChart>
      <c:catAx>
        <c:axId val="311646464"/>
        <c:scaling>
          <c:orientation val="minMax"/>
        </c:scaling>
        <c:delete val="0"/>
        <c:axPos val="b"/>
        <c:majorTickMark val="out"/>
        <c:minorTickMark val="none"/>
        <c:tickLblPos val="nextTo"/>
        <c:crossAx val="311648256"/>
        <c:crosses val="autoZero"/>
        <c:auto val="1"/>
        <c:lblAlgn val="ctr"/>
        <c:lblOffset val="100"/>
        <c:noMultiLvlLbl val="0"/>
      </c:catAx>
      <c:valAx>
        <c:axId val="311648256"/>
        <c:scaling>
          <c:orientation val="minMax"/>
        </c:scaling>
        <c:delete val="0"/>
        <c:axPos val="l"/>
        <c:majorGridlines/>
        <c:numFmt formatCode="0%" sourceLinked="1"/>
        <c:majorTickMark val="out"/>
        <c:minorTickMark val="none"/>
        <c:tickLblPos val="nextTo"/>
        <c:crossAx val="311646464"/>
        <c:crosses val="autoZero"/>
        <c:crossBetween val="between"/>
      </c:valAx>
    </c:plotArea>
    <c:plotVisOnly val="1"/>
    <c:dispBlanksAs val="zero"/>
    <c:showDLblsOverMax val="0"/>
  </c:chart>
  <c:spPr>
    <a:ln>
      <a:gradFill>
        <a:gsLst>
          <a:gs pos="0">
            <a:schemeClr val="accent6"/>
          </a:gs>
          <a:gs pos="50000">
            <a:schemeClr val="accent1"/>
          </a:gs>
          <a:gs pos="100000">
            <a:schemeClr val="accent6">
              <a:lumMod val="60000"/>
              <a:lumOff val="40000"/>
            </a:schemeClr>
          </a:gs>
        </a:gsLst>
        <a:lin ang="5400000" scaled="0"/>
      </a:gradFill>
    </a:ln>
  </c:sp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a:lstStyle/>
        <a:p>
          <a:pPr>
            <a:defRPr sz="1200"/>
          </a:pPr>
          <a:endParaRPr lang="es-ES"/>
        </a:p>
      </c:txPr>
    </c:title>
    <c:autoTitleDeleted val="0"/>
    <c:plotArea>
      <c:layout>
        <c:manualLayout>
          <c:layoutTarget val="inner"/>
          <c:xMode val="edge"/>
          <c:yMode val="edge"/>
          <c:x val="0.11528678355073819"/>
          <c:y val="0.20344086021505375"/>
          <c:w val="0.43944605771066098"/>
          <c:h val="0.75442678756064585"/>
        </c:manualLayout>
      </c:layout>
      <c:doughnutChart>
        <c:varyColors val="1"/>
        <c:ser>
          <c:idx val="0"/>
          <c:order val="0"/>
          <c:tx>
            <c:strRef>
              <c:f>Hoja1!$B$1</c:f>
              <c:strCache>
                <c:ptCount val="1"/>
                <c:pt idx="0">
                  <c:v>Consumo de alcohol</c:v>
                </c:pt>
              </c:strCache>
            </c:strRef>
          </c:tx>
          <c:dLbls>
            <c:spPr>
              <a:solidFill>
                <a:schemeClr val="tx1"/>
              </a:solidFill>
            </c:spPr>
            <c:txPr>
              <a:bodyPr/>
              <a:lstStyle/>
              <a:p>
                <a:pPr>
                  <a:defRPr>
                    <a:solidFill>
                      <a:schemeClr val="bg1"/>
                    </a:solidFill>
                  </a:defRPr>
                </a:pPr>
                <a:endParaRPr lang="es-ES"/>
              </a:p>
            </c:txPr>
            <c:showLegendKey val="0"/>
            <c:showVal val="1"/>
            <c:showCatName val="0"/>
            <c:showSerName val="0"/>
            <c:showPercent val="0"/>
            <c:showBubbleSize val="0"/>
            <c:showLeaderLines val="1"/>
          </c:dLbls>
          <c:cat>
            <c:strRef>
              <c:f>Hoja1!$A$2:$A$3</c:f>
              <c:strCache>
                <c:ptCount val="2"/>
                <c:pt idx="0">
                  <c:v>Bebedores</c:v>
                </c:pt>
                <c:pt idx="1">
                  <c:v>No bebedores</c:v>
                </c:pt>
              </c:strCache>
            </c:strRef>
          </c:cat>
          <c:val>
            <c:numRef>
              <c:f>Hoja1!$B$2:$B$3</c:f>
              <c:numCache>
                <c:formatCode>0.00%</c:formatCode>
                <c:ptCount val="2"/>
                <c:pt idx="0">
                  <c:v>0.17899999999999999</c:v>
                </c:pt>
                <c:pt idx="1">
                  <c:v>0.82099999999999995</c:v>
                </c:pt>
              </c:numCache>
            </c:numRef>
          </c:val>
        </c:ser>
        <c:dLbls>
          <c:showLegendKey val="0"/>
          <c:showVal val="0"/>
          <c:showCatName val="0"/>
          <c:showSerName val="0"/>
          <c:showPercent val="0"/>
          <c:showBubbleSize val="0"/>
          <c:showLeaderLines val="1"/>
        </c:dLbls>
        <c:firstSliceAng val="0"/>
        <c:holeSize val="50"/>
      </c:doughnutChart>
    </c:plotArea>
    <c:legend>
      <c:legendPos val="r"/>
      <c:layout>
        <c:manualLayout>
          <c:xMode val="edge"/>
          <c:yMode val="edge"/>
          <c:x val="0.57127937955124031"/>
          <c:y val="0.26481009228685121"/>
          <c:w val="0.39814650202516927"/>
          <c:h val="0.33833680467360933"/>
        </c:manualLayout>
      </c:layout>
      <c:overlay val="0"/>
    </c:legend>
    <c:plotVisOnly val="1"/>
    <c:dispBlanksAs val="gap"/>
    <c:showDLblsOverMax val="0"/>
  </c:chart>
  <c:spPr>
    <a:ln>
      <a:gradFill flip="none" rotWithShape="1">
        <a:gsLst>
          <a:gs pos="0">
            <a:schemeClr val="accent6"/>
          </a:gs>
          <a:gs pos="50000">
            <a:schemeClr val="accent1"/>
          </a:gs>
          <a:gs pos="100000">
            <a:schemeClr val="accent6">
              <a:lumMod val="60000"/>
              <a:lumOff val="40000"/>
            </a:schemeClr>
          </a:gs>
        </a:gsLst>
        <a:path path="circle">
          <a:fillToRect l="100000" t="100000"/>
        </a:path>
        <a:tileRect r="-100000" b="-100000"/>
      </a:gradFill>
    </a:ln>
  </c:spPr>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910130491639075"/>
          <c:y val="5.1467257164973634E-2"/>
        </c:manualLayout>
      </c:layout>
      <c:overlay val="0"/>
      <c:txPr>
        <a:bodyPr/>
        <a:lstStyle/>
        <a:p>
          <a:pPr>
            <a:defRPr sz="1200"/>
          </a:pPr>
          <a:endParaRPr lang="es-ES"/>
        </a:p>
      </c:txPr>
    </c:title>
    <c:autoTitleDeleted val="0"/>
    <c:plotArea>
      <c:layout>
        <c:manualLayout>
          <c:layoutTarget val="inner"/>
          <c:xMode val="edge"/>
          <c:yMode val="edge"/>
          <c:x val="5.1375427128212747E-2"/>
          <c:y val="0.19138362543391754"/>
          <c:w val="0.43733889115191593"/>
          <c:h val="0.74902514605029213"/>
        </c:manualLayout>
      </c:layout>
      <c:doughnutChart>
        <c:varyColors val="1"/>
        <c:ser>
          <c:idx val="0"/>
          <c:order val="0"/>
          <c:tx>
            <c:strRef>
              <c:f>Hoja1!$B$1</c:f>
              <c:strCache>
                <c:ptCount val="1"/>
                <c:pt idx="0">
                  <c:v>Clínica neurológica al diagnóstico</c:v>
                </c:pt>
              </c:strCache>
            </c:strRef>
          </c:tx>
          <c:explosion val="1"/>
          <c:dLbls>
            <c:spPr>
              <a:solidFill>
                <a:schemeClr val="tx1"/>
              </a:solidFill>
            </c:spPr>
            <c:txPr>
              <a:bodyPr/>
              <a:lstStyle/>
              <a:p>
                <a:pPr>
                  <a:defRPr sz="900">
                    <a:solidFill>
                      <a:schemeClr val="bg1"/>
                    </a:solidFill>
                  </a:defRPr>
                </a:pPr>
                <a:endParaRPr lang="es-ES"/>
              </a:p>
            </c:txPr>
            <c:showLegendKey val="0"/>
            <c:showVal val="1"/>
            <c:showCatName val="0"/>
            <c:showSerName val="0"/>
            <c:showPercent val="0"/>
            <c:showBubbleSize val="0"/>
            <c:showLeaderLines val="1"/>
          </c:dLbls>
          <c:cat>
            <c:strRef>
              <c:f>Hoja1!$A$2:$A$3</c:f>
              <c:strCache>
                <c:ptCount val="2"/>
                <c:pt idx="0">
                  <c:v>Ausencia</c:v>
                </c:pt>
                <c:pt idx="1">
                  <c:v>Presencia</c:v>
                </c:pt>
              </c:strCache>
            </c:strRef>
          </c:cat>
          <c:val>
            <c:numRef>
              <c:f>Hoja1!$B$2:$B$3</c:f>
              <c:numCache>
                <c:formatCode>0%</c:formatCode>
                <c:ptCount val="2"/>
                <c:pt idx="0">
                  <c:v>0.3</c:v>
                </c:pt>
                <c:pt idx="1">
                  <c:v>0.7</c:v>
                </c:pt>
              </c:numCache>
            </c:numRef>
          </c:val>
        </c:ser>
        <c:dLbls>
          <c:showLegendKey val="0"/>
          <c:showVal val="0"/>
          <c:showCatName val="0"/>
          <c:showSerName val="0"/>
          <c:showPercent val="0"/>
          <c:showBubbleSize val="0"/>
          <c:showLeaderLines val="1"/>
        </c:dLbls>
        <c:firstSliceAng val="0"/>
        <c:holeSize val="50"/>
      </c:doughnutChart>
    </c:plotArea>
    <c:legend>
      <c:legendPos val="r"/>
      <c:layout>
        <c:manualLayout>
          <c:xMode val="edge"/>
          <c:yMode val="edge"/>
          <c:x val="0.5677311682096996"/>
          <c:y val="0.3801466429599526"/>
          <c:w val="0.28159078055976305"/>
          <c:h val="0.31110388620777241"/>
        </c:manualLayout>
      </c:layout>
      <c:overlay val="0"/>
    </c:legend>
    <c:plotVisOnly val="1"/>
    <c:dispBlanksAs val="gap"/>
    <c:showDLblsOverMax val="0"/>
  </c:chart>
  <c:spPr>
    <a:ln>
      <a:gradFill flip="none" rotWithShape="1">
        <a:gsLst>
          <a:gs pos="0">
            <a:schemeClr val="accent6"/>
          </a:gs>
          <a:gs pos="50000">
            <a:schemeClr val="accent1"/>
          </a:gs>
          <a:gs pos="100000">
            <a:schemeClr val="accent6">
              <a:lumMod val="60000"/>
              <a:lumOff val="40000"/>
            </a:schemeClr>
          </a:gs>
        </a:gsLst>
        <a:path path="circle">
          <a:fillToRect l="100000" t="100000"/>
        </a:path>
        <a:tileRect r="-100000" b="-100000"/>
      </a:gradFill>
    </a:ln>
  </c:spPr>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a:defRPr sz="1200"/>
            </a:pPr>
            <a:r>
              <a:rPr lang="en-US" sz="1250"/>
              <a:t>Oclusión del aneurisma</a:t>
            </a:r>
          </a:p>
        </c:rich>
      </c:tx>
      <c:layout>
        <c:manualLayout>
          <c:xMode val="edge"/>
          <c:yMode val="edge"/>
          <c:x val="0.13314984709480121"/>
          <c:y val="0.13642090193271297"/>
        </c:manualLayout>
      </c:layout>
      <c:overlay val="0"/>
    </c:title>
    <c:autoTitleDeleted val="0"/>
    <c:view3D>
      <c:rotX val="15"/>
      <c:rotY val="20"/>
      <c:rAngAx val="0"/>
      <c:perspective val="30"/>
    </c:view3D>
    <c:floor>
      <c:thickness val="0"/>
    </c:floor>
    <c:sideWall>
      <c:thickness val="0"/>
    </c:sideWall>
    <c:backWall>
      <c:thickness val="0"/>
    </c:backWall>
    <c:plotArea>
      <c:layout>
        <c:manualLayout>
          <c:layoutTarget val="inner"/>
          <c:xMode val="edge"/>
          <c:yMode val="edge"/>
          <c:x val="0.24607992549318433"/>
          <c:y val="0.30115545215938916"/>
          <c:w val="0.72166200999068664"/>
          <c:h val="0.54693808160343593"/>
        </c:manualLayout>
      </c:layout>
      <c:bar3DChart>
        <c:barDir val="col"/>
        <c:grouping val="clustered"/>
        <c:varyColors val="0"/>
        <c:ser>
          <c:idx val="0"/>
          <c:order val="0"/>
          <c:tx>
            <c:strRef>
              <c:f>Hoja1!$B$1</c:f>
              <c:strCache>
                <c:ptCount val="1"/>
                <c:pt idx="0">
                  <c:v>Oclusión del aneurisma</c:v>
                </c:pt>
              </c:strCache>
            </c:strRef>
          </c:tx>
          <c:invertIfNegative val="0"/>
          <c:dLbls>
            <c:dLbl>
              <c:idx val="0"/>
              <c:layout>
                <c:manualLayout>
                  <c:x val="1.6662091550482795E-2"/>
                  <c:y val="0.23484788833214029"/>
                </c:manualLayout>
              </c:layout>
              <c:showLegendKey val="0"/>
              <c:showVal val="1"/>
              <c:showCatName val="0"/>
              <c:showSerName val="0"/>
              <c:showPercent val="0"/>
              <c:showBubbleSize val="0"/>
            </c:dLbl>
            <c:dLbl>
              <c:idx val="1"/>
              <c:layout>
                <c:manualLayout>
                  <c:x val="1.771871539313408E-2"/>
                  <c:y val="-6.8181818181818177E-2"/>
                </c:manualLayout>
              </c:layout>
              <c:showLegendKey val="0"/>
              <c:showVal val="1"/>
              <c:showCatName val="0"/>
              <c:showSerName val="0"/>
              <c:showPercent val="0"/>
              <c:showBubbleSize val="0"/>
            </c:dLbl>
            <c:numFmt formatCode="0.00%" sourceLinked="0"/>
            <c:spPr>
              <a:solidFill>
                <a:schemeClr val="tx1"/>
              </a:solidFill>
            </c:spPr>
            <c:txPr>
              <a:bodyPr/>
              <a:lstStyle/>
              <a:p>
                <a:pPr>
                  <a:defRPr sz="800">
                    <a:solidFill>
                      <a:schemeClr val="bg1"/>
                    </a:solidFill>
                  </a:defRPr>
                </a:pPr>
                <a:endParaRPr lang="es-ES"/>
              </a:p>
            </c:txPr>
            <c:showLegendKey val="0"/>
            <c:showVal val="1"/>
            <c:showCatName val="0"/>
            <c:showSerName val="0"/>
            <c:showPercent val="0"/>
            <c:showBubbleSize val="0"/>
            <c:showLeaderLines val="0"/>
          </c:dLbls>
          <c:cat>
            <c:strRef>
              <c:f>Hoja1!$A$2:$A$3</c:f>
              <c:strCache>
                <c:ptCount val="2"/>
                <c:pt idx="0">
                  <c:v>Completa</c:v>
                </c:pt>
                <c:pt idx="1">
                  <c:v>Parcial</c:v>
                </c:pt>
              </c:strCache>
            </c:strRef>
          </c:cat>
          <c:val>
            <c:numRef>
              <c:f>Hoja1!$B$2:$B$3</c:f>
              <c:numCache>
                <c:formatCode>0.00%</c:formatCode>
                <c:ptCount val="2"/>
                <c:pt idx="0">
                  <c:v>0.86699999999999999</c:v>
                </c:pt>
                <c:pt idx="1">
                  <c:v>0.13300000000000001</c:v>
                </c:pt>
              </c:numCache>
            </c:numRef>
          </c:val>
        </c:ser>
        <c:dLbls>
          <c:showLegendKey val="0"/>
          <c:showVal val="0"/>
          <c:showCatName val="0"/>
          <c:showSerName val="0"/>
          <c:showPercent val="0"/>
          <c:showBubbleSize val="0"/>
        </c:dLbls>
        <c:gapWidth val="100"/>
        <c:shape val="cylinder"/>
        <c:axId val="311725056"/>
        <c:axId val="311726848"/>
        <c:axId val="0"/>
      </c:bar3DChart>
      <c:catAx>
        <c:axId val="311725056"/>
        <c:scaling>
          <c:orientation val="minMax"/>
        </c:scaling>
        <c:delete val="0"/>
        <c:axPos val="b"/>
        <c:majorTickMark val="out"/>
        <c:minorTickMark val="none"/>
        <c:tickLblPos val="nextTo"/>
        <c:crossAx val="311726848"/>
        <c:crosses val="autoZero"/>
        <c:auto val="1"/>
        <c:lblAlgn val="ctr"/>
        <c:lblOffset val="100"/>
        <c:noMultiLvlLbl val="0"/>
      </c:catAx>
      <c:valAx>
        <c:axId val="311726848"/>
        <c:scaling>
          <c:orientation val="minMax"/>
        </c:scaling>
        <c:delete val="0"/>
        <c:axPos val="l"/>
        <c:majorGridlines/>
        <c:numFmt formatCode="0.00%" sourceLinked="1"/>
        <c:majorTickMark val="out"/>
        <c:minorTickMark val="none"/>
        <c:tickLblPos val="nextTo"/>
        <c:crossAx val="311725056"/>
        <c:crosses val="autoZero"/>
        <c:crossBetween val="between"/>
      </c:valAx>
    </c:plotArea>
    <c:plotVisOnly val="1"/>
    <c:dispBlanksAs val="gap"/>
    <c:showDLblsOverMax val="0"/>
  </c:chart>
  <c:spPr>
    <a:ln>
      <a:gradFill flip="none" rotWithShape="1">
        <a:gsLst>
          <a:gs pos="0">
            <a:schemeClr val="accent6"/>
          </a:gs>
          <a:gs pos="50000">
            <a:schemeClr val="accent1"/>
          </a:gs>
          <a:gs pos="100000">
            <a:schemeClr val="accent6">
              <a:lumMod val="60000"/>
              <a:lumOff val="40000"/>
            </a:schemeClr>
          </a:gs>
        </a:gsLst>
        <a:path path="circle">
          <a:fillToRect l="100000" t="100000"/>
        </a:path>
        <a:tileRect r="-100000" b="-100000"/>
      </a:gradFill>
    </a:ln>
  </c:spPr>
  <c:externalData r:id="rId1">
    <c:autoUpdate val="0"/>
  </c:externalData>
  <c:userShapes r:id="rId2"/>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Localización</a:t>
            </a:r>
          </a:p>
        </c:rich>
      </c:tx>
      <c:layout>
        <c:manualLayout>
          <c:xMode val="edge"/>
          <c:yMode val="edge"/>
          <c:x val="0.36119367637184885"/>
          <c:y val="2.6498392397156241E-2"/>
        </c:manualLayout>
      </c:layout>
      <c:overlay val="0"/>
    </c:title>
    <c:autoTitleDeleted val="0"/>
    <c:plotArea>
      <c:layout>
        <c:manualLayout>
          <c:layoutTarget val="inner"/>
          <c:xMode val="edge"/>
          <c:yMode val="edge"/>
          <c:x val="7.3087224562046027E-2"/>
          <c:y val="0"/>
          <c:w val="0.88181676127693343"/>
          <c:h val="1"/>
        </c:manualLayout>
      </c:layout>
      <c:ofPieChart>
        <c:ofPieType val="pie"/>
        <c:varyColors val="1"/>
        <c:ser>
          <c:idx val="0"/>
          <c:order val="0"/>
          <c:tx>
            <c:strRef>
              <c:f>Hoja1!$B$1</c:f>
              <c:strCache>
                <c:ptCount val="1"/>
                <c:pt idx="0">
                  <c:v>Localización</c:v>
                </c:pt>
              </c:strCache>
            </c:strRef>
          </c:tx>
          <c:dLbls>
            <c:dLbl>
              <c:idx val="0"/>
              <c:tx>
                <c:rich>
                  <a:bodyPr/>
                  <a:lstStyle/>
                  <a:p>
                    <a:r>
                      <a:rPr lang="en-US">
                        <a:solidFill>
                          <a:schemeClr val="bg1"/>
                        </a:solidFill>
                      </a:rPr>
                      <a:t>Circulación</a:t>
                    </a:r>
                  </a:p>
                  <a:p>
                    <a:r>
                      <a:rPr lang="en-US">
                        <a:solidFill>
                          <a:schemeClr val="bg1"/>
                        </a:solidFill>
                      </a:rPr>
                      <a:t>Posterior</a:t>
                    </a:r>
                  </a:p>
                  <a:p>
                    <a:r>
                      <a:rPr lang="en-US">
                        <a:solidFill>
                          <a:schemeClr val="bg1"/>
                        </a:solidFill>
                      </a:rPr>
                      <a:t>13,40%</a:t>
                    </a:r>
                    <a:endParaRPr lang="en-US"/>
                  </a:p>
                </c:rich>
              </c:tx>
              <c:dLblPos val="bestFit"/>
              <c:showLegendKey val="0"/>
              <c:showVal val="1"/>
              <c:showCatName val="0"/>
              <c:showSerName val="0"/>
              <c:showPercent val="0"/>
              <c:showBubbleSize val="0"/>
              <c:separator>, </c:separator>
            </c:dLbl>
            <c:dLbl>
              <c:idx val="1"/>
              <c:layout>
                <c:manualLayout>
                  <c:x val="7.5143136177745221E-2"/>
                  <c:y val="-9.7357551421610143E-3"/>
                </c:manualLayout>
              </c:layout>
              <c:dLblPos val="bestFit"/>
              <c:showLegendKey val="0"/>
              <c:showVal val="1"/>
              <c:showCatName val="0"/>
              <c:showSerName val="0"/>
              <c:showPercent val="0"/>
              <c:showBubbleSize val="0"/>
            </c:dLbl>
            <c:dLbl>
              <c:idx val="3"/>
              <c:layout>
                <c:manualLayout>
                  <c:x val="-3.8074101202466085E-2"/>
                  <c:y val="7.8393407995315328E-2"/>
                </c:manualLayout>
              </c:layout>
              <c:dLblPos val="bestFit"/>
              <c:showLegendKey val="0"/>
              <c:showVal val="1"/>
              <c:showCatName val="0"/>
              <c:showSerName val="0"/>
              <c:showPercent val="0"/>
              <c:showBubbleSize val="0"/>
            </c:dLbl>
            <c:dLbl>
              <c:idx val="5"/>
              <c:tx>
                <c:rich>
                  <a:bodyPr/>
                  <a:lstStyle/>
                  <a:p>
                    <a:r>
                      <a:rPr lang="en-US">
                        <a:solidFill>
                          <a:schemeClr val="bg1"/>
                        </a:solidFill>
                      </a:rPr>
                      <a:t>Circulación</a:t>
                    </a:r>
                  </a:p>
                  <a:p>
                    <a:r>
                      <a:rPr lang="en-US">
                        <a:solidFill>
                          <a:schemeClr val="bg1"/>
                        </a:solidFill>
                      </a:rPr>
                      <a:t>Anterior</a:t>
                    </a:r>
                  </a:p>
                  <a:p>
                    <a:r>
                      <a:rPr lang="en-US">
                        <a:solidFill>
                          <a:schemeClr val="bg1"/>
                        </a:solidFill>
                      </a:rPr>
                      <a:t>86,60%</a:t>
                    </a:r>
                    <a:endParaRPr lang="en-US"/>
                  </a:p>
                </c:rich>
              </c:tx>
              <c:dLblPos val="bestFit"/>
              <c:showLegendKey val="0"/>
              <c:showVal val="1"/>
              <c:showCatName val="0"/>
              <c:showSerName val="0"/>
              <c:showPercent val="0"/>
              <c:showBubbleSize val="0"/>
            </c:dLbl>
            <c:numFmt formatCode="0.00%" sourceLinked="0"/>
            <c:spPr>
              <a:solidFill>
                <a:schemeClr val="tx1"/>
              </a:solidFill>
            </c:spPr>
            <c:txPr>
              <a:bodyPr/>
              <a:lstStyle/>
              <a:p>
                <a:pPr>
                  <a:defRPr>
                    <a:solidFill>
                      <a:schemeClr val="bg1"/>
                    </a:solidFill>
                  </a:defRPr>
                </a:pPr>
                <a:endParaRPr lang="es-ES"/>
              </a:p>
            </c:txPr>
            <c:dLblPos val="bestFit"/>
            <c:showLegendKey val="0"/>
            <c:showVal val="1"/>
            <c:showCatName val="0"/>
            <c:showSerName val="0"/>
            <c:showPercent val="0"/>
            <c:showBubbleSize val="0"/>
            <c:showLeaderLines val="1"/>
          </c:dLbls>
          <c:cat>
            <c:strRef>
              <c:f>Hoja1!$A$2:$A$6</c:f>
              <c:strCache>
                <c:ptCount val="5"/>
                <c:pt idx="0">
                  <c:v>Circulación Posterior</c:v>
                </c:pt>
                <c:pt idx="1">
                  <c:v>Coroidea Anterior</c:v>
                </c:pt>
                <c:pt idx="2">
                  <c:v>ACoA</c:v>
                </c:pt>
                <c:pt idx="3">
                  <c:v>Cerebral Media</c:v>
                </c:pt>
                <c:pt idx="4">
                  <c:v>ACI</c:v>
                </c:pt>
              </c:strCache>
            </c:strRef>
          </c:cat>
          <c:val>
            <c:numRef>
              <c:f>Hoja1!$B$2:$B$6</c:f>
              <c:numCache>
                <c:formatCode>0%</c:formatCode>
                <c:ptCount val="5"/>
                <c:pt idx="0" formatCode="0.00%">
                  <c:v>0.13400000000000001</c:v>
                </c:pt>
                <c:pt idx="1">
                  <c:v>0.1</c:v>
                </c:pt>
                <c:pt idx="2" formatCode="0.00%">
                  <c:v>0.23300000000000001</c:v>
                </c:pt>
                <c:pt idx="3">
                  <c:v>0.1</c:v>
                </c:pt>
                <c:pt idx="4" formatCode="0.00%">
                  <c:v>0.433</c:v>
                </c:pt>
              </c:numCache>
            </c:numRef>
          </c:val>
        </c:ser>
        <c:dLbls>
          <c:dLblPos val="bestFit"/>
          <c:showLegendKey val="0"/>
          <c:showVal val="0"/>
          <c:showCatName val="0"/>
          <c:showSerName val="0"/>
          <c:showPercent val="1"/>
          <c:showBubbleSize val="0"/>
          <c:showLeaderLines val="1"/>
        </c:dLbls>
        <c:gapWidth val="100"/>
        <c:splitType val="pos"/>
        <c:splitPos val="4"/>
        <c:secondPieSize val="75"/>
        <c:serLines/>
      </c:ofPieChart>
    </c:plotArea>
    <c:legend>
      <c:legendPos val="b"/>
      <c:legendEntry>
        <c:idx val="0"/>
        <c:delete val="1"/>
      </c:legendEntry>
      <c:layout>
        <c:manualLayout>
          <c:xMode val="edge"/>
          <c:yMode val="edge"/>
          <c:x val="0"/>
          <c:y val="0.81412141736461774"/>
          <c:w val="1"/>
          <c:h val="0.18414781817611445"/>
        </c:manualLayout>
      </c:layout>
      <c:overlay val="0"/>
    </c:legend>
    <c:plotVisOnly val="1"/>
    <c:dispBlanksAs val="gap"/>
    <c:showDLblsOverMax val="0"/>
  </c:chart>
  <c:spPr>
    <a:ln>
      <a:gradFill flip="none" rotWithShape="1">
        <a:gsLst>
          <a:gs pos="0">
            <a:schemeClr val="accent6"/>
          </a:gs>
          <a:gs pos="50000">
            <a:schemeClr val="accent1"/>
          </a:gs>
          <a:gs pos="100000">
            <a:schemeClr val="accent6">
              <a:lumMod val="60000"/>
              <a:lumOff val="40000"/>
            </a:schemeClr>
          </a:gs>
        </a:gsLst>
        <a:path path="circle">
          <a:fillToRect l="100000" t="100000"/>
        </a:path>
        <a:tileRect r="-100000" b="-100000"/>
      </a:gradFill>
    </a:ln>
  </c:spPr>
  <c:externalData r:id="rId1">
    <c:autoUpdate val="0"/>
  </c:externalData>
  <c:userShapes r:id="rId2"/>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27382749570096843"/>
          <c:y val="3.9385772654706823E-2"/>
        </c:manualLayout>
      </c:layout>
      <c:overlay val="0"/>
      <c:txPr>
        <a:bodyPr/>
        <a:lstStyle/>
        <a:p>
          <a:pPr>
            <a:defRPr sz="1400"/>
          </a:pPr>
          <a:endParaRPr lang="es-ES"/>
        </a:p>
      </c:txPr>
    </c:title>
    <c:autoTitleDeleted val="0"/>
    <c:plotArea>
      <c:layout>
        <c:manualLayout>
          <c:layoutTarget val="inner"/>
          <c:xMode val="edge"/>
          <c:yMode val="edge"/>
          <c:x val="4.085003167707485E-2"/>
          <c:y val="0.23902373028113755"/>
          <c:w val="0.47659770114942529"/>
          <c:h val="0.71243986254295533"/>
        </c:manualLayout>
      </c:layout>
      <c:doughnutChart>
        <c:varyColors val="1"/>
        <c:ser>
          <c:idx val="0"/>
          <c:order val="0"/>
          <c:tx>
            <c:strRef>
              <c:f>Hoja1!$B$1</c:f>
              <c:strCache>
                <c:ptCount val="1"/>
                <c:pt idx="0">
                  <c:v>Complicaciones</c:v>
                </c:pt>
              </c:strCache>
            </c:strRef>
          </c:tx>
          <c:dLbls>
            <c:spPr>
              <a:solidFill>
                <a:schemeClr val="tx1"/>
              </a:solidFill>
            </c:spPr>
            <c:txPr>
              <a:bodyPr/>
              <a:lstStyle/>
              <a:p>
                <a:pPr>
                  <a:defRPr>
                    <a:solidFill>
                      <a:schemeClr val="bg1"/>
                    </a:solidFill>
                  </a:defRPr>
                </a:pPr>
                <a:endParaRPr lang="es-ES"/>
              </a:p>
            </c:txPr>
            <c:showLegendKey val="0"/>
            <c:showVal val="1"/>
            <c:showCatName val="0"/>
            <c:showSerName val="0"/>
            <c:showPercent val="0"/>
            <c:showBubbleSize val="0"/>
            <c:showLeaderLines val="1"/>
          </c:dLbls>
          <c:cat>
            <c:strRef>
              <c:f>Hoja1!$A$2:$A$3</c:f>
              <c:strCache>
                <c:ptCount val="2"/>
                <c:pt idx="0">
                  <c:v>No tuvieron complicaciones</c:v>
                </c:pt>
                <c:pt idx="1">
                  <c:v>Tuvieron algún tipo de complicación</c:v>
                </c:pt>
              </c:strCache>
            </c:strRef>
          </c:cat>
          <c:val>
            <c:numRef>
              <c:f>Hoja1!$B$2:$B$3</c:f>
              <c:numCache>
                <c:formatCode>0%</c:formatCode>
                <c:ptCount val="2"/>
                <c:pt idx="0">
                  <c:v>0.4</c:v>
                </c:pt>
                <c:pt idx="1">
                  <c:v>0.6</c:v>
                </c:pt>
              </c:numCache>
            </c:numRef>
          </c:val>
        </c:ser>
        <c:dLbls>
          <c:showLegendKey val="0"/>
          <c:showVal val="0"/>
          <c:showCatName val="0"/>
          <c:showSerName val="0"/>
          <c:showPercent val="0"/>
          <c:showBubbleSize val="0"/>
          <c:showLeaderLines val="1"/>
        </c:dLbls>
        <c:firstSliceAng val="0"/>
        <c:holeSize val="50"/>
      </c:doughnutChart>
    </c:plotArea>
    <c:legend>
      <c:legendPos val="r"/>
      <c:layout>
        <c:manualLayout>
          <c:xMode val="edge"/>
          <c:yMode val="edge"/>
          <c:x val="0.52471354873744225"/>
          <c:y val="0.25117677300646696"/>
          <c:w val="0.44310254321658071"/>
          <c:h val="0.42266309494818305"/>
        </c:manualLayout>
      </c:layout>
      <c:overlay val="0"/>
    </c:legend>
    <c:plotVisOnly val="1"/>
    <c:dispBlanksAs val="gap"/>
    <c:showDLblsOverMax val="0"/>
  </c:chart>
  <c:spPr>
    <a:ln>
      <a:gradFill flip="none" rotWithShape="1">
        <a:gsLst>
          <a:gs pos="54000">
            <a:schemeClr val="accent1"/>
          </a:gs>
          <a:gs pos="0">
            <a:schemeClr val="accent6"/>
          </a:gs>
          <a:gs pos="100000">
            <a:schemeClr val="accent6">
              <a:lumMod val="60000"/>
              <a:lumOff val="40000"/>
            </a:schemeClr>
          </a:gs>
        </a:gsLst>
        <a:lin ang="5400000" scaled="0"/>
        <a:tileRect r="-100000" b="-100000"/>
      </a:grad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0.49872</cdr:x>
      <cdr:y>0.83553</cdr:y>
    </cdr:from>
    <cdr:to>
      <cdr:x>0.99361</cdr:x>
      <cdr:y>0.99342</cdr:y>
    </cdr:to>
    <cdr:sp macro="" textlink="">
      <cdr:nvSpPr>
        <cdr:cNvPr id="2" name="1 Cuadro de texto"/>
        <cdr:cNvSpPr txBox="1"/>
      </cdr:nvSpPr>
      <cdr:spPr>
        <a:xfrm xmlns:a="http://schemas.openxmlformats.org/drawingml/2006/main">
          <a:off x="1238250" y="1209675"/>
          <a:ext cx="1228725"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s-ES" sz="1100"/>
        </a:p>
      </cdr:txBody>
    </cdr:sp>
  </cdr:relSizeAnchor>
  <cdr:relSizeAnchor xmlns:cdr="http://schemas.openxmlformats.org/drawingml/2006/chartDrawing">
    <cdr:from>
      <cdr:x>0.68966</cdr:x>
      <cdr:y>0.76316</cdr:y>
    </cdr:from>
    <cdr:to>
      <cdr:x>1</cdr:x>
      <cdr:y>0.95395</cdr:y>
    </cdr:to>
    <cdr:sp macro="" textlink="">
      <cdr:nvSpPr>
        <cdr:cNvPr id="3" name="2 Cuadro de texto"/>
        <cdr:cNvSpPr txBox="1"/>
      </cdr:nvSpPr>
      <cdr:spPr>
        <a:xfrm xmlns:a="http://schemas.openxmlformats.org/drawingml/2006/main">
          <a:off x="1714500" y="1104899"/>
          <a:ext cx="771525" cy="2762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S" sz="1100" b="1" i="1"/>
            <a:t>Figura 2.</a:t>
          </a:r>
        </a:p>
        <a:p xmlns:a="http://schemas.openxmlformats.org/drawingml/2006/main">
          <a:endParaRPr lang="es-ES" sz="1100" b="1" i="1"/>
        </a:p>
      </cdr:txBody>
    </cdr:sp>
  </cdr:relSizeAnchor>
</c:userShapes>
</file>

<file path=word/drawings/drawing10.xml><?xml version="1.0" encoding="utf-8"?>
<c:userShapes xmlns:c="http://schemas.openxmlformats.org/drawingml/2006/chart">
  <cdr:relSizeAnchor xmlns:cdr="http://schemas.openxmlformats.org/drawingml/2006/chartDrawing">
    <cdr:from>
      <cdr:x>0</cdr:x>
      <cdr:y>0</cdr:y>
    </cdr:from>
    <cdr:to>
      <cdr:x>0.37294</cdr:x>
      <cdr:y>0.14375</cdr:y>
    </cdr:to>
    <cdr:sp macro="" textlink="">
      <cdr:nvSpPr>
        <cdr:cNvPr id="2" name="1 Cuadro de texto"/>
        <cdr:cNvSpPr txBox="1"/>
      </cdr:nvSpPr>
      <cdr:spPr>
        <a:xfrm xmlns:a="http://schemas.openxmlformats.org/drawingml/2006/main">
          <a:off x="0" y="0"/>
          <a:ext cx="781743" cy="232772"/>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S" sz="1100" b="1" i="1"/>
            <a:t>Figura 10</a:t>
          </a:r>
        </a:p>
      </cdr:txBody>
    </cdr:sp>
  </cdr:relSizeAnchor>
</c:userShapes>
</file>

<file path=word/drawings/drawing11.xml><?xml version="1.0" encoding="utf-8"?>
<c:userShapes xmlns:c="http://schemas.openxmlformats.org/drawingml/2006/chart">
  <cdr:relSizeAnchor xmlns:cdr="http://schemas.openxmlformats.org/drawingml/2006/chartDrawing">
    <cdr:from>
      <cdr:x>0</cdr:x>
      <cdr:y>0</cdr:y>
    </cdr:from>
    <cdr:to>
      <cdr:x>0.2847</cdr:x>
      <cdr:y>0.15244</cdr:y>
    </cdr:to>
    <cdr:sp macro="" textlink="">
      <cdr:nvSpPr>
        <cdr:cNvPr id="2" name="1 Cuadro de texto"/>
        <cdr:cNvSpPr txBox="1"/>
      </cdr:nvSpPr>
      <cdr:spPr>
        <a:xfrm xmlns:a="http://schemas.openxmlformats.org/drawingml/2006/main">
          <a:off x="0" y="0"/>
          <a:ext cx="762000" cy="23725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es-ES" sz="1100" b="1" i="1">
              <a:solidFill>
                <a:sysClr val="windowText" lastClr="000000"/>
              </a:solidFill>
            </a:rPr>
            <a:t>Figura</a:t>
          </a:r>
          <a:r>
            <a:rPr lang="es-ES" sz="1100" b="1" i="1" baseline="0">
              <a:solidFill>
                <a:sysClr val="windowText" lastClr="000000"/>
              </a:solidFill>
            </a:rPr>
            <a:t> 13</a:t>
          </a:r>
        </a:p>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endParaRPr lang="es-ES" sz="1100" b="1" i="1">
            <a:solidFill>
              <a:schemeClr val="accent5">
                <a:lumMod val="75000"/>
              </a:schemeClr>
            </a:solidFill>
          </a:endParaRPr>
        </a:p>
        <a:p xmlns:a="http://schemas.openxmlformats.org/drawingml/2006/main">
          <a:endParaRPr lang="es-ES" sz="1100"/>
        </a:p>
      </cdr:txBody>
    </cdr:sp>
  </cdr:relSizeAnchor>
</c:userShapes>
</file>

<file path=word/drawings/drawing12.xml><?xml version="1.0" encoding="utf-8"?>
<c:userShapes xmlns:c="http://schemas.openxmlformats.org/drawingml/2006/chart">
  <cdr:relSizeAnchor xmlns:cdr="http://schemas.openxmlformats.org/drawingml/2006/chartDrawing">
    <cdr:from>
      <cdr:x>0</cdr:x>
      <cdr:y>0.00496</cdr:y>
    </cdr:from>
    <cdr:to>
      <cdr:x>0.3308</cdr:x>
      <cdr:y>0.19326</cdr:y>
    </cdr:to>
    <cdr:sp macro="" textlink="">
      <cdr:nvSpPr>
        <cdr:cNvPr id="2" name="1 Cuadro de texto"/>
        <cdr:cNvSpPr txBox="1"/>
      </cdr:nvSpPr>
      <cdr:spPr>
        <a:xfrm xmlns:a="http://schemas.openxmlformats.org/drawingml/2006/main">
          <a:off x="0" y="7748"/>
          <a:ext cx="885825" cy="29414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es-ES" sz="1100" b="1" i="1">
              <a:solidFill>
                <a:sysClr val="windowText" lastClr="000000"/>
              </a:solidFill>
            </a:rPr>
            <a:t>Figura</a:t>
          </a:r>
          <a:r>
            <a:rPr lang="es-ES" sz="1100" b="1" i="1" baseline="0">
              <a:solidFill>
                <a:sysClr val="windowText" lastClr="000000"/>
              </a:solidFill>
            </a:rPr>
            <a:t> 11</a:t>
          </a:r>
        </a:p>
      </cdr:txBody>
    </cdr:sp>
  </cdr:relSizeAnchor>
</c:userShapes>
</file>

<file path=word/drawings/drawing13.xml><?xml version="1.0" encoding="utf-8"?>
<c:userShapes xmlns:c="http://schemas.openxmlformats.org/drawingml/2006/chart">
  <cdr:relSizeAnchor xmlns:cdr="http://schemas.openxmlformats.org/drawingml/2006/chartDrawing">
    <cdr:from>
      <cdr:x>0</cdr:x>
      <cdr:y>0</cdr:y>
    </cdr:from>
    <cdr:to>
      <cdr:x>0.31716</cdr:x>
      <cdr:y>0.14964</cdr:y>
    </cdr:to>
    <cdr:sp macro="" textlink="">
      <cdr:nvSpPr>
        <cdr:cNvPr id="2" name="1 Cuadro de texto"/>
        <cdr:cNvSpPr txBox="1"/>
      </cdr:nvSpPr>
      <cdr:spPr>
        <a:xfrm xmlns:a="http://schemas.openxmlformats.org/drawingml/2006/main">
          <a:off x="0" y="0"/>
          <a:ext cx="809625" cy="23812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es-ES" sz="1100" b="1" i="1">
              <a:solidFill>
                <a:sysClr val="windowText" lastClr="000000"/>
              </a:solidFill>
            </a:rPr>
            <a:t>Figura</a:t>
          </a:r>
          <a:r>
            <a:rPr lang="es-ES" sz="1100" b="1" i="1" baseline="0">
              <a:solidFill>
                <a:sysClr val="windowText" lastClr="000000"/>
              </a:solidFill>
            </a:rPr>
            <a:t>  12</a:t>
          </a:r>
        </a:p>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endParaRPr lang="es-ES" sz="1100" b="1" i="1">
            <a:solidFill>
              <a:schemeClr val="accent5">
                <a:lumMod val="75000"/>
              </a:schemeClr>
            </a:solidFill>
          </a:endParaRPr>
        </a:p>
      </cdr:txBody>
    </cdr:sp>
  </cdr:relSizeAnchor>
</c:userShapes>
</file>

<file path=word/drawings/drawing14.xml><?xml version="1.0" encoding="utf-8"?>
<c:userShapes xmlns:c="http://schemas.openxmlformats.org/drawingml/2006/chart">
  <cdr:relSizeAnchor xmlns:cdr="http://schemas.openxmlformats.org/drawingml/2006/chartDrawing">
    <cdr:from>
      <cdr:x>0.02099</cdr:x>
      <cdr:y>0.04219</cdr:y>
    </cdr:from>
    <cdr:to>
      <cdr:x>0.14243</cdr:x>
      <cdr:y>0.16034</cdr:y>
    </cdr:to>
    <cdr:sp macro="" textlink="">
      <cdr:nvSpPr>
        <cdr:cNvPr id="2" name="1 Cuadro de texto"/>
        <cdr:cNvSpPr txBox="1"/>
      </cdr:nvSpPr>
      <cdr:spPr>
        <a:xfrm xmlns:a="http://schemas.openxmlformats.org/drawingml/2006/main">
          <a:off x="133350" y="95250"/>
          <a:ext cx="771525" cy="2667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S" sz="1100" b="1" i="1"/>
            <a:t>Figura</a:t>
          </a:r>
          <a:r>
            <a:rPr lang="es-ES" sz="1100" b="1" i="1" baseline="0"/>
            <a:t> 14</a:t>
          </a:r>
        </a:p>
      </cdr:txBody>
    </cdr:sp>
  </cdr:relSizeAnchor>
</c:userShapes>
</file>

<file path=word/drawings/drawing15.xml><?xml version="1.0" encoding="utf-8"?>
<c:userShapes xmlns:c="http://schemas.openxmlformats.org/drawingml/2006/chart">
  <cdr:relSizeAnchor xmlns:cdr="http://schemas.openxmlformats.org/drawingml/2006/chartDrawing">
    <cdr:from>
      <cdr:x>0</cdr:x>
      <cdr:y>0</cdr:y>
    </cdr:from>
    <cdr:to>
      <cdr:x>0.30877</cdr:x>
      <cdr:y>0.16766</cdr:y>
    </cdr:to>
    <cdr:sp macro="" textlink="">
      <cdr:nvSpPr>
        <cdr:cNvPr id="2" name="1 Cuadro de texto"/>
        <cdr:cNvSpPr txBox="1"/>
      </cdr:nvSpPr>
      <cdr:spPr>
        <a:xfrm xmlns:a="http://schemas.openxmlformats.org/drawingml/2006/main">
          <a:off x="0" y="0"/>
          <a:ext cx="838200" cy="2667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S" sz="1100" b="1" i="1">
              <a:solidFill>
                <a:sysClr val="windowText" lastClr="000000"/>
              </a:solidFill>
            </a:rPr>
            <a:t>Figura 15</a:t>
          </a:r>
        </a:p>
      </cdr:txBody>
    </cdr:sp>
  </cdr:relSizeAnchor>
</c:userShapes>
</file>

<file path=word/drawings/drawing16.xml><?xml version="1.0" encoding="utf-8"?>
<c:userShapes xmlns:c="http://schemas.openxmlformats.org/drawingml/2006/chart">
  <cdr:relSizeAnchor xmlns:cdr="http://schemas.openxmlformats.org/drawingml/2006/chartDrawing">
    <cdr:from>
      <cdr:x>0</cdr:x>
      <cdr:y>0</cdr:y>
    </cdr:from>
    <cdr:to>
      <cdr:x>0.26282</cdr:x>
      <cdr:y>0.15847</cdr:y>
    </cdr:to>
    <cdr:sp macro="" textlink="">
      <cdr:nvSpPr>
        <cdr:cNvPr id="2" name="1 Cuadro de texto"/>
        <cdr:cNvSpPr txBox="1"/>
      </cdr:nvSpPr>
      <cdr:spPr>
        <a:xfrm xmlns:a="http://schemas.openxmlformats.org/drawingml/2006/main">
          <a:off x="0" y="0"/>
          <a:ext cx="781050" cy="2762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S" sz="1100" b="1" i="1"/>
            <a:t>Figura 16</a:t>
          </a:r>
        </a:p>
      </cdr:txBody>
    </cdr:sp>
  </cdr:relSizeAnchor>
</c:userShapes>
</file>

<file path=word/drawings/drawing2.xml><?xml version="1.0" encoding="utf-8"?>
<c:userShapes xmlns:c="http://schemas.openxmlformats.org/drawingml/2006/chart">
  <cdr:relSizeAnchor xmlns:cdr="http://schemas.openxmlformats.org/drawingml/2006/chartDrawing">
    <cdr:from>
      <cdr:x>0.67122</cdr:x>
      <cdr:y>0.73905</cdr:y>
    </cdr:from>
    <cdr:to>
      <cdr:x>0.9661</cdr:x>
      <cdr:y>0.96273</cdr:y>
    </cdr:to>
    <cdr:sp macro="" textlink="">
      <cdr:nvSpPr>
        <cdr:cNvPr id="2" name="1 Cuadro de texto"/>
        <cdr:cNvSpPr txBox="1"/>
      </cdr:nvSpPr>
      <cdr:spPr>
        <a:xfrm xmlns:a="http://schemas.openxmlformats.org/drawingml/2006/main">
          <a:off x="1760314" y="1133351"/>
          <a:ext cx="773338" cy="34301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S" sz="1100" b="1" i="1"/>
            <a:t>Figura 1.</a:t>
          </a:r>
        </a:p>
      </cdr:txBody>
    </cdr:sp>
  </cdr:relSizeAnchor>
</c:userShapes>
</file>

<file path=word/drawings/drawing3.xml><?xml version="1.0" encoding="utf-8"?>
<c:userShapes xmlns:c="http://schemas.openxmlformats.org/drawingml/2006/chart">
  <cdr:relSizeAnchor xmlns:cdr="http://schemas.openxmlformats.org/drawingml/2006/chartDrawing">
    <cdr:from>
      <cdr:x>0.55273</cdr:x>
      <cdr:y>0.74172</cdr:y>
    </cdr:from>
    <cdr:to>
      <cdr:x>0.99273</cdr:x>
      <cdr:y>0.97351</cdr:y>
    </cdr:to>
    <cdr:sp macro="" textlink="">
      <cdr:nvSpPr>
        <cdr:cNvPr id="3" name="2 Cuadro de texto"/>
        <cdr:cNvSpPr txBox="1"/>
      </cdr:nvSpPr>
      <cdr:spPr>
        <a:xfrm xmlns:a="http://schemas.openxmlformats.org/drawingml/2006/main">
          <a:off x="1447800" y="1066800"/>
          <a:ext cx="1152525" cy="3333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s-ES" sz="1100"/>
        </a:p>
      </cdr:txBody>
    </cdr:sp>
  </cdr:relSizeAnchor>
  <cdr:relSizeAnchor xmlns:cdr="http://schemas.openxmlformats.org/drawingml/2006/chartDrawing">
    <cdr:from>
      <cdr:x>0.69454</cdr:x>
      <cdr:y>0.77484</cdr:y>
    </cdr:from>
    <cdr:to>
      <cdr:x>0.97091</cdr:x>
      <cdr:y>1</cdr:y>
    </cdr:to>
    <cdr:sp macro="" textlink="">
      <cdr:nvSpPr>
        <cdr:cNvPr id="4" name="3 Cuadro de texto"/>
        <cdr:cNvSpPr txBox="1"/>
      </cdr:nvSpPr>
      <cdr:spPr>
        <a:xfrm xmlns:a="http://schemas.openxmlformats.org/drawingml/2006/main">
          <a:off x="1819273" y="1114426"/>
          <a:ext cx="723902" cy="32384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S" sz="1100" b="1" i="1"/>
            <a:t>Figura 3.</a:t>
          </a:r>
        </a:p>
        <a:p xmlns:a="http://schemas.openxmlformats.org/drawingml/2006/main">
          <a:endParaRPr lang="es-ES" sz="1100" b="1" i="1"/>
        </a:p>
      </cdr:txBody>
    </cdr:sp>
  </cdr:relSizeAnchor>
</c:userShapes>
</file>

<file path=word/drawings/drawing4.xml><?xml version="1.0" encoding="utf-8"?>
<c:userShapes xmlns:c="http://schemas.openxmlformats.org/drawingml/2006/chart">
  <cdr:relSizeAnchor xmlns:cdr="http://schemas.openxmlformats.org/drawingml/2006/chartDrawing">
    <cdr:from>
      <cdr:x>0.75083</cdr:x>
      <cdr:y>0.05687</cdr:y>
    </cdr:from>
    <cdr:to>
      <cdr:x>0.98546</cdr:x>
      <cdr:y>0.18957</cdr:y>
    </cdr:to>
    <cdr:sp macro="" textlink="">
      <cdr:nvSpPr>
        <cdr:cNvPr id="2" name="1 Cuadro de texto"/>
        <cdr:cNvSpPr txBox="1"/>
      </cdr:nvSpPr>
      <cdr:spPr>
        <a:xfrm xmlns:a="http://schemas.openxmlformats.org/drawingml/2006/main">
          <a:off x="2590800" y="114300"/>
          <a:ext cx="809625" cy="2667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S" sz="1200" b="1" i="1">
              <a:solidFill>
                <a:schemeClr val="bg2">
                  <a:lumMod val="10000"/>
                </a:schemeClr>
              </a:solidFill>
            </a:rPr>
            <a:t>Figura 6</a:t>
          </a:r>
        </a:p>
      </cdr:txBody>
    </cdr:sp>
  </cdr:relSizeAnchor>
</c:userShapes>
</file>

<file path=word/drawings/drawing5.xml><?xml version="1.0" encoding="utf-8"?>
<c:userShapes xmlns:c="http://schemas.openxmlformats.org/drawingml/2006/chart">
  <cdr:relSizeAnchor xmlns:cdr="http://schemas.openxmlformats.org/drawingml/2006/chartDrawing">
    <cdr:from>
      <cdr:x>0.6884</cdr:x>
      <cdr:y>0.78182</cdr:y>
    </cdr:from>
    <cdr:to>
      <cdr:x>0.99906</cdr:x>
      <cdr:y>0.93939</cdr:y>
    </cdr:to>
    <cdr:sp macro="" textlink="">
      <cdr:nvSpPr>
        <cdr:cNvPr id="2" name="1 Cuadro de texto"/>
        <cdr:cNvSpPr txBox="1"/>
      </cdr:nvSpPr>
      <cdr:spPr>
        <a:xfrm xmlns:a="http://schemas.openxmlformats.org/drawingml/2006/main">
          <a:off x="1857375" y="1228725"/>
          <a:ext cx="838200" cy="2476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S" sz="1200" b="1" i="1">
              <a:solidFill>
                <a:schemeClr val="bg2">
                  <a:lumMod val="10000"/>
                </a:schemeClr>
              </a:solidFill>
            </a:rPr>
            <a:t>Figura 5</a:t>
          </a:r>
        </a:p>
      </cdr:txBody>
    </cdr:sp>
  </cdr:relSizeAnchor>
</c:userShapes>
</file>

<file path=word/drawings/drawing6.xml><?xml version="1.0" encoding="utf-8"?>
<c:userShapes xmlns:c="http://schemas.openxmlformats.org/drawingml/2006/chart">
  <cdr:relSizeAnchor xmlns:cdr="http://schemas.openxmlformats.org/drawingml/2006/chartDrawing">
    <cdr:from>
      <cdr:x>0.68905</cdr:x>
      <cdr:y>0.76753</cdr:y>
    </cdr:from>
    <cdr:to>
      <cdr:x>0.96466</cdr:x>
      <cdr:y>0.95487</cdr:y>
    </cdr:to>
    <cdr:sp macro="" textlink="">
      <cdr:nvSpPr>
        <cdr:cNvPr id="2" name="1 Cuadro de texto"/>
        <cdr:cNvSpPr txBox="1"/>
      </cdr:nvSpPr>
      <cdr:spPr>
        <a:xfrm xmlns:a="http://schemas.openxmlformats.org/drawingml/2006/main">
          <a:off x="1857376" y="1209674"/>
          <a:ext cx="742950" cy="295275"/>
        </a:xfrm>
        <a:prstGeom xmlns:a="http://schemas.openxmlformats.org/drawingml/2006/main" prst="rect">
          <a:avLst/>
        </a:prstGeom>
        <a:noFill xmlns:a="http://schemas.openxmlformats.org/drawingml/2006/main"/>
      </cdr:spPr>
      <cdr:txBody>
        <a:bodyPr xmlns:a="http://schemas.openxmlformats.org/drawingml/2006/main" vertOverflow="clip" wrap="square" rtlCol="0"/>
        <a:lstStyle xmlns:a="http://schemas.openxmlformats.org/drawingml/2006/main"/>
        <a:p xmlns:a="http://schemas.openxmlformats.org/drawingml/2006/main">
          <a:r>
            <a:rPr lang="es-ES" sz="1200" b="1" i="1">
              <a:solidFill>
                <a:schemeClr val="bg2">
                  <a:lumMod val="10000"/>
                </a:schemeClr>
              </a:solidFill>
            </a:rPr>
            <a:t>Figura 4</a:t>
          </a:r>
        </a:p>
      </cdr:txBody>
    </cdr:sp>
  </cdr:relSizeAnchor>
</c:userShapes>
</file>

<file path=word/drawings/drawing7.xml><?xml version="1.0" encoding="utf-8"?>
<c:userShapes xmlns:c="http://schemas.openxmlformats.org/drawingml/2006/chart">
  <cdr:relSizeAnchor xmlns:cdr="http://schemas.openxmlformats.org/drawingml/2006/chartDrawing">
    <cdr:from>
      <cdr:x>0</cdr:x>
      <cdr:y>0</cdr:y>
    </cdr:from>
    <cdr:to>
      <cdr:x>0.35321</cdr:x>
      <cdr:y>0.16478</cdr:y>
    </cdr:to>
    <cdr:sp macro="" textlink="">
      <cdr:nvSpPr>
        <cdr:cNvPr id="2" name="1 Cuadro de texto"/>
        <cdr:cNvSpPr txBox="1"/>
      </cdr:nvSpPr>
      <cdr:spPr>
        <a:xfrm xmlns:a="http://schemas.openxmlformats.org/drawingml/2006/main">
          <a:off x="0" y="0"/>
          <a:ext cx="733425" cy="27623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S" sz="1100" b="1" i="1"/>
            <a:t>Figura 8.</a:t>
          </a:r>
        </a:p>
        <a:p xmlns:a="http://schemas.openxmlformats.org/drawingml/2006/main">
          <a:endParaRPr lang="es-ES" sz="1100" b="1" i="1"/>
        </a:p>
      </cdr:txBody>
    </cdr:sp>
  </cdr:relSizeAnchor>
</c:userShapes>
</file>

<file path=word/drawings/drawing8.xml><?xml version="1.0" encoding="utf-8"?>
<c:userShapes xmlns:c="http://schemas.openxmlformats.org/drawingml/2006/chart">
  <cdr:relSizeAnchor xmlns:cdr="http://schemas.openxmlformats.org/drawingml/2006/chartDrawing">
    <cdr:from>
      <cdr:x>0.73953</cdr:x>
      <cdr:y>0.04378</cdr:y>
    </cdr:from>
    <cdr:to>
      <cdr:x>0.9814</cdr:x>
      <cdr:y>0.15123</cdr:y>
    </cdr:to>
    <cdr:sp macro="" textlink="">
      <cdr:nvSpPr>
        <cdr:cNvPr id="2" name="1 Cuadro de texto"/>
        <cdr:cNvSpPr txBox="1"/>
      </cdr:nvSpPr>
      <cdr:spPr>
        <a:xfrm xmlns:a="http://schemas.openxmlformats.org/drawingml/2006/main">
          <a:off x="3028950" y="104775"/>
          <a:ext cx="990600" cy="2571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S" sz="1100" b="1" i="1"/>
            <a:t>Figura 7.</a:t>
          </a:r>
        </a:p>
      </cdr:txBody>
    </cdr:sp>
  </cdr:relSizeAnchor>
</c:userShapes>
</file>

<file path=word/drawings/drawing9.xml><?xml version="1.0" encoding="utf-8"?>
<c:userShapes xmlns:c="http://schemas.openxmlformats.org/drawingml/2006/chart">
  <cdr:relSizeAnchor xmlns:cdr="http://schemas.openxmlformats.org/drawingml/2006/chartDrawing">
    <cdr:from>
      <cdr:x>0.5931</cdr:x>
      <cdr:y>0.75773</cdr:y>
    </cdr:from>
    <cdr:to>
      <cdr:x>1</cdr:x>
      <cdr:y>0.93299</cdr:y>
    </cdr:to>
    <cdr:sp macro="" textlink="">
      <cdr:nvSpPr>
        <cdr:cNvPr id="2" name="1 Cuadro de texto"/>
        <cdr:cNvSpPr txBox="1"/>
      </cdr:nvSpPr>
      <cdr:spPr>
        <a:xfrm xmlns:a="http://schemas.openxmlformats.org/drawingml/2006/main">
          <a:off x="1638300" y="1400175"/>
          <a:ext cx="1123950" cy="3238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S" sz="1100" b="1" i="1"/>
            <a:t>Figura</a:t>
          </a:r>
          <a:r>
            <a:rPr lang="es-ES" sz="1100" b="1" i="1" baseline="0"/>
            <a:t> 9.</a:t>
          </a:r>
        </a:p>
        <a:p xmlns:a="http://schemas.openxmlformats.org/drawingml/2006/main">
          <a:endParaRPr lang="es-ES" sz="1100" b="1" i="1"/>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pPr>
            <w:pStyle w:val="494D82D4FA7248D8A49C1ED42F090414"/>
          </w:pPr>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pPr>
            <w:pStyle w:val="4F91077B382F4D29B33BD35D1183953E"/>
          </w:pPr>
          <w:r>
            <w:rPr>
              <w:rFonts w:asciiTheme="majorHAnsi" w:eastAsiaTheme="majorEastAsia" w:hAnsiTheme="majorHAnsi" w:cstheme="majorBidi"/>
              <w:sz w:val="32"/>
              <w:szCs w:val="32"/>
            </w:rPr>
            <w:t>[Escribir el título del documento]</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pPr>
            <w:pStyle w:val="E3E3E05303E646D7B646A51D9FA1ECB9"/>
          </w:pPr>
          <w:r w:rsidRPr="00FD3BF6">
            <w:rPr>
              <w:rStyle w:val="Textodelmarcadordeposicin"/>
            </w:rPr>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pPr>
            <w:pStyle w:val="3144D312D12941138A2D00055138BADB"/>
          </w:pPr>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pPr>
            <w:pStyle w:val="AC1E5A1AE4B74BEFB2670EDBFC075AB8"/>
          </w:pPr>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pPr>
            <w:pStyle w:val="DE71073B32C8485A8744AC477C281141"/>
          </w:pPr>
          <w:r w:rsidRPr="00FD3BF6">
            <w:rPr>
              <w:rStyle w:val="Textodelmarcadordeposicin"/>
            </w:rPr>
            <w:t>[Autor]</w:t>
          </w:r>
        </w:p>
      </w:docPartBody>
    </w:docPart>
    <w:docPart>
      <w:docPartPr>
        <w:name w:val="CF24B051E794489B84798EAD6AF942BC"/>
        <w:category>
          <w:name w:val="General"/>
          <w:gallery w:val="placeholder"/>
        </w:category>
        <w:types>
          <w:type w:val="bbPlcHdr"/>
        </w:types>
        <w:behaviors>
          <w:behavior w:val="content"/>
        </w:behaviors>
        <w:guid w:val="{5CC961A6-3B99-45D2-B53A-DEF9A2EE5114}"/>
      </w:docPartPr>
      <w:docPartBody>
        <w:p w:rsidR="001B0CA4" w:rsidRDefault="00C15F22" w:rsidP="00C15F22">
          <w:pPr>
            <w:pStyle w:val="CF24B051E794489B84798EAD6AF942BC"/>
          </w:pPr>
          <w:r>
            <w:rPr>
              <w:rFonts w:asciiTheme="majorHAnsi" w:eastAsiaTheme="majorEastAsia" w:hAnsiTheme="majorHAnsi" w:cstheme="majorBidi"/>
              <w:sz w:val="32"/>
              <w:szCs w:val="32"/>
            </w:rPr>
            <w:t>[Escribir el título del documento]</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pPr>
            <w:pStyle w:val="206F0EC6FD70473998D1C3BE5D74526C"/>
          </w:pPr>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pPr>
            <w:pStyle w:val="6D4CFA0E62E5493E97593710D21C870B"/>
          </w:pPr>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pPr>
            <w:pStyle w:val="D51D26AD747B4CF3BC4721C5BAB94251"/>
          </w:pPr>
          <w:r w:rsidRPr="00FD3BF6">
            <w:rPr>
              <w:rStyle w:val="Textodelmarcadordeposicin"/>
            </w:rPr>
            <w:t>[Autor]</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pPr>
            <w:pStyle w:val="88E9C5AE072142659D3240D87B0C11CE"/>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MS Gothic"/>
    <w:panose1 w:val="00000000000000000000"/>
    <w:charset w:val="80"/>
    <w:family w:val="auto"/>
    <w:notTrueType/>
    <w:pitch w:val="default"/>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C15F22"/>
    <w:rsid w:val="00020AF1"/>
    <w:rsid w:val="00030ED1"/>
    <w:rsid w:val="00086C03"/>
    <w:rsid w:val="000A4FC5"/>
    <w:rsid w:val="0010115D"/>
    <w:rsid w:val="00154469"/>
    <w:rsid w:val="00174B35"/>
    <w:rsid w:val="001B0CA4"/>
    <w:rsid w:val="001F293E"/>
    <w:rsid w:val="00277410"/>
    <w:rsid w:val="00294117"/>
    <w:rsid w:val="002A047B"/>
    <w:rsid w:val="002B6689"/>
    <w:rsid w:val="00356D5C"/>
    <w:rsid w:val="003E40C2"/>
    <w:rsid w:val="003F1154"/>
    <w:rsid w:val="003F6E28"/>
    <w:rsid w:val="004109CA"/>
    <w:rsid w:val="00474E71"/>
    <w:rsid w:val="0049471B"/>
    <w:rsid w:val="004E10E9"/>
    <w:rsid w:val="00504F62"/>
    <w:rsid w:val="00511067"/>
    <w:rsid w:val="00524B6F"/>
    <w:rsid w:val="00530061"/>
    <w:rsid w:val="005349DA"/>
    <w:rsid w:val="00562B37"/>
    <w:rsid w:val="0059510D"/>
    <w:rsid w:val="005D07EC"/>
    <w:rsid w:val="005E36C0"/>
    <w:rsid w:val="005E603D"/>
    <w:rsid w:val="005F1F36"/>
    <w:rsid w:val="00622C04"/>
    <w:rsid w:val="00630216"/>
    <w:rsid w:val="00641683"/>
    <w:rsid w:val="006F35B5"/>
    <w:rsid w:val="007A0A49"/>
    <w:rsid w:val="007C24E2"/>
    <w:rsid w:val="007C5952"/>
    <w:rsid w:val="007D4D31"/>
    <w:rsid w:val="007F49D6"/>
    <w:rsid w:val="00817094"/>
    <w:rsid w:val="008330BC"/>
    <w:rsid w:val="00833587"/>
    <w:rsid w:val="00896A2C"/>
    <w:rsid w:val="008C371B"/>
    <w:rsid w:val="008D2BCF"/>
    <w:rsid w:val="00943DA1"/>
    <w:rsid w:val="00984BE1"/>
    <w:rsid w:val="009B7179"/>
    <w:rsid w:val="009E4B3C"/>
    <w:rsid w:val="009E7FB3"/>
    <w:rsid w:val="00A03BC7"/>
    <w:rsid w:val="00A10CF7"/>
    <w:rsid w:val="00AE05D8"/>
    <w:rsid w:val="00B15069"/>
    <w:rsid w:val="00B75F9A"/>
    <w:rsid w:val="00BB22B4"/>
    <w:rsid w:val="00BD66AB"/>
    <w:rsid w:val="00C15F22"/>
    <w:rsid w:val="00C726AB"/>
    <w:rsid w:val="00CE4249"/>
    <w:rsid w:val="00E223FA"/>
    <w:rsid w:val="00E32896"/>
    <w:rsid w:val="00E32E59"/>
    <w:rsid w:val="00E65607"/>
    <w:rsid w:val="00F903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C15F22"/>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 w:type="paragraph" w:customStyle="1" w:styleId="F237FF888C6A4F5E829F8AF3B79A93D4">
    <w:name w:val="F237FF888C6A4F5E829F8AF3B79A93D4"/>
    <w:rsid w:val="00B75F9A"/>
  </w:style>
  <w:style w:type="paragraph" w:customStyle="1" w:styleId="CA0D76A29E034A33B9E5B4AB327EE4F4">
    <w:name w:val="CA0D76A29E034A33B9E5B4AB327EE4F4"/>
    <w:rsid w:val="00B75F9A"/>
  </w:style>
  <w:style w:type="paragraph" w:customStyle="1" w:styleId="AC9C416ADF4C4AA7AD70C8467B135C39">
    <w:name w:val="AC9C416ADF4C4AA7AD70C8467B135C39"/>
    <w:rsid w:val="00B75F9A"/>
  </w:style>
  <w:style w:type="paragraph" w:customStyle="1" w:styleId="D9CD134C4D2D412784E6DDF41AFBBEED">
    <w:name w:val="D9CD134C4D2D412784E6DDF41AFBBEED"/>
    <w:rsid w:val="00B75F9A"/>
  </w:style>
  <w:style w:type="paragraph" w:customStyle="1" w:styleId="B5B7073FD55C4F7DB1B61FE1841A5F8B">
    <w:name w:val="B5B7073FD55C4F7DB1B61FE1841A5F8B"/>
    <w:rsid w:val="00B75F9A"/>
  </w:style>
  <w:style w:type="paragraph" w:customStyle="1" w:styleId="3A6DEFE187224119A21DC1A5F63E4280">
    <w:name w:val="3A6DEFE187224119A21DC1A5F63E4280"/>
    <w:rsid w:val="00B75F9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0FBA47-A663-4A35-9745-D0A2C5833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15806</TotalTime>
  <Pages>23</Pages>
  <Words>12430</Words>
  <Characters>68370</Characters>
  <Application>Microsoft Office Word</Application>
  <DocSecurity>0</DocSecurity>
  <Lines>569</Lines>
  <Paragraphs>161</Paragraphs>
  <ScaleCrop>false</ScaleCrop>
  <HeadingPairs>
    <vt:vector size="2" baseType="variant">
      <vt:variant>
        <vt:lpstr>Título</vt:lpstr>
      </vt:variant>
      <vt:variant>
        <vt:i4>1</vt:i4>
      </vt:variant>
    </vt:vector>
  </HeadingPairs>
  <TitlesOfParts>
    <vt:vector size="1" baseType="lpstr">
      <vt:lpstr>Tratamiento endovascular de aneurismas cerebrales incidentales</vt:lpstr>
    </vt:vector>
  </TitlesOfParts>
  <Company>Grado en Medicina – Facultad de Medicina y Ciencias de la salud - Universidad de Oviedo</Company>
  <LinksUpToDate>false</LinksUpToDate>
  <CharactersWithSpaces>80639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Tratamiento endovascular de aneurismas cerebrales incidentales</dc:title>
  <dc:subject>Proyecto de Fin de Carrera EUITIO</dc:subject>
  <dc:creator>Lourdes Isabel Ruiz Ortega</dc:creator>
  <cp:lastModifiedBy>Lourdes</cp:lastModifiedBy>
  <cp:revision>103</cp:revision>
  <dcterms:created xsi:type="dcterms:W3CDTF">2009-12-19T20:05:00Z</dcterms:created>
  <dcterms:modified xsi:type="dcterms:W3CDTF">2018-04-25T15:59:00Z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zotero-version="5.0.37"&gt;&lt;session id="19fmudRq"/&gt;&lt;style id="http://www.zotero.org/styles/vancouver" locale="es-ES" hasBibliography="1" bibliographyStyleHasBeenSet="0"/&gt;&lt;prefs&gt;&lt;pref name="fieldType" value="Field"/&gt;&lt;pref name="dontAskD</vt:lpwstr>
  </property>
  <property fmtid="{D5CDD505-2E9C-101B-9397-08002B2CF9AE}" pid="3" name="ZOTERO_PREF_2">
    <vt:lpwstr>elayCitationUpdates" value="true"/&gt;&lt;/prefs&gt;&lt;/data&gt;</vt:lpwstr>
  </property>
</Properties>
</file>