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charts/chart13.xml" ContentType="application/vnd.openxmlformats-officedocument.drawingml.chart+xml"/>
  <Override PartName="/word/drawings/drawing12.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30399E">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A3F9E"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724590" w:history="1">
        <w:r w:rsidR="009A3F9E" w:rsidRPr="00C17116">
          <w:rPr>
            <w:rStyle w:val="Hipervnculo"/>
            <w:noProof/>
          </w:rPr>
          <w:t>Introducción</w:t>
        </w:r>
        <w:r w:rsidR="009A3F9E">
          <w:rPr>
            <w:noProof/>
            <w:webHidden/>
          </w:rPr>
          <w:tab/>
        </w:r>
        <w:r w:rsidR="009A3F9E">
          <w:rPr>
            <w:noProof/>
            <w:webHidden/>
          </w:rPr>
          <w:fldChar w:fldCharType="begin"/>
        </w:r>
        <w:r w:rsidR="009A3F9E">
          <w:rPr>
            <w:noProof/>
            <w:webHidden/>
          </w:rPr>
          <w:instrText xml:space="preserve"> PAGEREF _Toc510724590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591" w:history="1">
        <w:r w:rsidR="009A3F9E" w:rsidRPr="00C17116">
          <w:rPr>
            <w:rStyle w:val="Hipervnculo"/>
            <w:noProof/>
          </w:rPr>
          <w:t>Definición de aneurisma incidental</w:t>
        </w:r>
        <w:r w:rsidR="009A3F9E">
          <w:rPr>
            <w:noProof/>
            <w:webHidden/>
          </w:rPr>
          <w:tab/>
        </w:r>
        <w:r w:rsidR="009A3F9E">
          <w:rPr>
            <w:noProof/>
            <w:webHidden/>
          </w:rPr>
          <w:fldChar w:fldCharType="begin"/>
        </w:r>
        <w:r w:rsidR="009A3F9E">
          <w:rPr>
            <w:noProof/>
            <w:webHidden/>
          </w:rPr>
          <w:instrText xml:space="preserve"> PAGEREF _Toc510724591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592" w:history="1">
        <w:r w:rsidR="009A3F9E" w:rsidRPr="00C17116">
          <w:rPr>
            <w:rStyle w:val="Hipervnculo"/>
            <w:noProof/>
          </w:rPr>
          <w:t>Epidemiología</w:t>
        </w:r>
        <w:r w:rsidR="009A3F9E">
          <w:rPr>
            <w:noProof/>
            <w:webHidden/>
          </w:rPr>
          <w:tab/>
        </w:r>
        <w:r w:rsidR="009A3F9E">
          <w:rPr>
            <w:noProof/>
            <w:webHidden/>
          </w:rPr>
          <w:fldChar w:fldCharType="begin"/>
        </w:r>
        <w:r w:rsidR="009A3F9E">
          <w:rPr>
            <w:noProof/>
            <w:webHidden/>
          </w:rPr>
          <w:instrText xml:space="preserve"> PAGEREF _Toc510724592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593" w:history="1">
        <w:r w:rsidR="009A3F9E" w:rsidRPr="00C17116">
          <w:rPr>
            <w:rStyle w:val="Hipervnculo"/>
            <w:noProof/>
          </w:rPr>
          <w:t>Historia natural del aneurisma</w:t>
        </w:r>
        <w:r w:rsidR="009A3F9E">
          <w:rPr>
            <w:noProof/>
            <w:webHidden/>
          </w:rPr>
          <w:tab/>
        </w:r>
        <w:r w:rsidR="009A3F9E">
          <w:rPr>
            <w:noProof/>
            <w:webHidden/>
          </w:rPr>
          <w:fldChar w:fldCharType="begin"/>
        </w:r>
        <w:r w:rsidR="009A3F9E">
          <w:rPr>
            <w:noProof/>
            <w:webHidden/>
          </w:rPr>
          <w:instrText xml:space="preserve"> PAGEREF _Toc510724593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594" w:history="1">
        <w:r w:rsidR="009A3F9E" w:rsidRPr="00C17116">
          <w:rPr>
            <w:rStyle w:val="Hipervnculo"/>
            <w:noProof/>
          </w:rPr>
          <w:t>Hemorragia Subaracnoidea (HSA)</w:t>
        </w:r>
        <w:r w:rsidR="009A3F9E">
          <w:rPr>
            <w:noProof/>
            <w:webHidden/>
          </w:rPr>
          <w:tab/>
        </w:r>
        <w:r w:rsidR="009A3F9E">
          <w:rPr>
            <w:noProof/>
            <w:webHidden/>
          </w:rPr>
          <w:fldChar w:fldCharType="begin"/>
        </w:r>
        <w:r w:rsidR="009A3F9E">
          <w:rPr>
            <w:noProof/>
            <w:webHidden/>
          </w:rPr>
          <w:instrText xml:space="preserve"> PAGEREF _Toc510724594 \h </w:instrText>
        </w:r>
        <w:r w:rsidR="009A3F9E">
          <w:rPr>
            <w:noProof/>
            <w:webHidden/>
          </w:rPr>
        </w:r>
        <w:r w:rsidR="009A3F9E">
          <w:rPr>
            <w:noProof/>
            <w:webHidden/>
          </w:rPr>
          <w:fldChar w:fldCharType="separate"/>
        </w:r>
        <w:r w:rsidR="009A3F9E">
          <w:rPr>
            <w:noProof/>
            <w:webHidden/>
          </w:rPr>
          <w:t>11</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595" w:history="1">
        <w:r w:rsidR="009A3F9E" w:rsidRPr="00C17116">
          <w:rPr>
            <w:rStyle w:val="Hipervnculo"/>
            <w:noProof/>
          </w:rPr>
          <w:t>Factores pronósticos y factores de riesgo de ruptura aneurismática</w:t>
        </w:r>
        <w:r w:rsidR="009A3F9E">
          <w:rPr>
            <w:noProof/>
            <w:webHidden/>
          </w:rPr>
          <w:tab/>
        </w:r>
        <w:r w:rsidR="009A3F9E">
          <w:rPr>
            <w:noProof/>
            <w:webHidden/>
          </w:rPr>
          <w:fldChar w:fldCharType="begin"/>
        </w:r>
        <w:r w:rsidR="009A3F9E">
          <w:rPr>
            <w:noProof/>
            <w:webHidden/>
          </w:rPr>
          <w:instrText xml:space="preserve"> PAGEREF _Toc510724595 \h </w:instrText>
        </w:r>
        <w:r w:rsidR="009A3F9E">
          <w:rPr>
            <w:noProof/>
            <w:webHidden/>
          </w:rPr>
        </w:r>
        <w:r w:rsidR="009A3F9E">
          <w:rPr>
            <w:noProof/>
            <w:webHidden/>
          </w:rPr>
          <w:fldChar w:fldCharType="separate"/>
        </w:r>
        <w:r w:rsidR="009A3F9E">
          <w:rPr>
            <w:noProof/>
            <w:webHidden/>
          </w:rPr>
          <w:t>12</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596" w:history="1">
        <w:r w:rsidR="009A3F9E" w:rsidRPr="00C17116">
          <w:rPr>
            <w:rStyle w:val="Hipervnculo"/>
            <w:noProof/>
          </w:rPr>
          <w:t>Tratamiento de los aneurismas incidentales</w:t>
        </w:r>
        <w:r w:rsidR="009A3F9E">
          <w:rPr>
            <w:noProof/>
            <w:webHidden/>
          </w:rPr>
          <w:tab/>
        </w:r>
        <w:r w:rsidR="009A3F9E">
          <w:rPr>
            <w:noProof/>
            <w:webHidden/>
          </w:rPr>
          <w:fldChar w:fldCharType="begin"/>
        </w:r>
        <w:r w:rsidR="009A3F9E">
          <w:rPr>
            <w:noProof/>
            <w:webHidden/>
          </w:rPr>
          <w:instrText xml:space="preserve"> PAGEREF _Toc510724596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597" w:history="1">
        <w:r w:rsidR="009A3F9E" w:rsidRPr="00C17116">
          <w:rPr>
            <w:rStyle w:val="Hipervnculo"/>
            <w:noProof/>
          </w:rPr>
          <w:t>Tratamiento quirúrgico</w:t>
        </w:r>
        <w:r w:rsidR="009A3F9E">
          <w:rPr>
            <w:noProof/>
            <w:webHidden/>
          </w:rPr>
          <w:tab/>
        </w:r>
        <w:r w:rsidR="009A3F9E">
          <w:rPr>
            <w:noProof/>
            <w:webHidden/>
          </w:rPr>
          <w:fldChar w:fldCharType="begin"/>
        </w:r>
        <w:r w:rsidR="009A3F9E">
          <w:rPr>
            <w:noProof/>
            <w:webHidden/>
          </w:rPr>
          <w:instrText xml:space="preserve"> PAGEREF _Toc510724597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598" w:history="1">
        <w:r w:rsidR="009A3F9E" w:rsidRPr="00C17116">
          <w:rPr>
            <w:rStyle w:val="Hipervnculo"/>
            <w:noProof/>
          </w:rPr>
          <w:t>Tratamiento endovascular</w:t>
        </w:r>
        <w:r w:rsidR="009A3F9E">
          <w:rPr>
            <w:noProof/>
            <w:webHidden/>
          </w:rPr>
          <w:tab/>
        </w:r>
        <w:r w:rsidR="009A3F9E">
          <w:rPr>
            <w:noProof/>
            <w:webHidden/>
          </w:rPr>
          <w:fldChar w:fldCharType="begin"/>
        </w:r>
        <w:r w:rsidR="009A3F9E">
          <w:rPr>
            <w:noProof/>
            <w:webHidden/>
          </w:rPr>
          <w:instrText xml:space="preserve"> PAGEREF _Toc510724598 \h </w:instrText>
        </w:r>
        <w:r w:rsidR="009A3F9E">
          <w:rPr>
            <w:noProof/>
            <w:webHidden/>
          </w:rPr>
        </w:r>
        <w:r w:rsidR="009A3F9E">
          <w:rPr>
            <w:noProof/>
            <w:webHidden/>
          </w:rPr>
          <w:fldChar w:fldCharType="separate"/>
        </w:r>
        <w:r w:rsidR="009A3F9E">
          <w:rPr>
            <w:noProof/>
            <w:webHidden/>
          </w:rPr>
          <w:t>14</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599" w:history="1">
        <w:r w:rsidR="009A3F9E" w:rsidRPr="00C17116">
          <w:rPr>
            <w:rStyle w:val="Hipervnculo"/>
            <w:noProof/>
          </w:rPr>
          <w:t>Justificación del Proyecto</w:t>
        </w:r>
        <w:r w:rsidR="009A3F9E">
          <w:rPr>
            <w:noProof/>
            <w:webHidden/>
          </w:rPr>
          <w:tab/>
        </w:r>
        <w:r w:rsidR="009A3F9E">
          <w:rPr>
            <w:noProof/>
            <w:webHidden/>
          </w:rPr>
          <w:fldChar w:fldCharType="begin"/>
        </w:r>
        <w:r w:rsidR="009A3F9E">
          <w:rPr>
            <w:noProof/>
            <w:webHidden/>
          </w:rPr>
          <w:instrText xml:space="preserve"> PAGEREF _Toc510724599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00" w:history="1">
        <w:r w:rsidR="009A3F9E" w:rsidRPr="00C17116">
          <w:rPr>
            <w:rStyle w:val="Hipervnculo"/>
            <w:noProof/>
          </w:rPr>
          <w:t>Objetivos</w:t>
        </w:r>
        <w:r w:rsidR="009A3F9E">
          <w:rPr>
            <w:noProof/>
            <w:webHidden/>
          </w:rPr>
          <w:tab/>
        </w:r>
        <w:r w:rsidR="009A3F9E">
          <w:rPr>
            <w:noProof/>
            <w:webHidden/>
          </w:rPr>
          <w:fldChar w:fldCharType="begin"/>
        </w:r>
        <w:r w:rsidR="009A3F9E">
          <w:rPr>
            <w:noProof/>
            <w:webHidden/>
          </w:rPr>
          <w:instrText xml:space="preserve"> PAGEREF _Toc510724600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01" w:history="1">
        <w:r w:rsidR="009A3F9E" w:rsidRPr="00C17116">
          <w:rPr>
            <w:rStyle w:val="Hipervnculo"/>
            <w:noProof/>
          </w:rPr>
          <w:t>Material y métodos</w:t>
        </w:r>
        <w:r w:rsidR="009A3F9E">
          <w:rPr>
            <w:noProof/>
            <w:webHidden/>
          </w:rPr>
          <w:tab/>
        </w:r>
        <w:r w:rsidR="009A3F9E">
          <w:rPr>
            <w:noProof/>
            <w:webHidden/>
          </w:rPr>
          <w:fldChar w:fldCharType="begin"/>
        </w:r>
        <w:r w:rsidR="009A3F9E">
          <w:rPr>
            <w:noProof/>
            <w:webHidden/>
          </w:rPr>
          <w:instrText xml:space="preserve"> PAGEREF _Toc510724601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02" w:history="1">
        <w:r w:rsidR="009A3F9E" w:rsidRPr="00C17116">
          <w:rPr>
            <w:rStyle w:val="Hipervnculo"/>
            <w:noProof/>
          </w:rPr>
          <w:t>Criterios de inclusión</w:t>
        </w:r>
        <w:r w:rsidR="009A3F9E">
          <w:rPr>
            <w:noProof/>
            <w:webHidden/>
          </w:rPr>
          <w:tab/>
        </w:r>
        <w:r w:rsidR="009A3F9E">
          <w:rPr>
            <w:noProof/>
            <w:webHidden/>
          </w:rPr>
          <w:fldChar w:fldCharType="begin"/>
        </w:r>
        <w:r w:rsidR="009A3F9E">
          <w:rPr>
            <w:noProof/>
            <w:webHidden/>
          </w:rPr>
          <w:instrText xml:space="preserve"> PAGEREF _Toc510724602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03" w:history="1">
        <w:r w:rsidR="009A3F9E" w:rsidRPr="00C17116">
          <w:rPr>
            <w:rStyle w:val="Hipervnculo"/>
            <w:noProof/>
          </w:rPr>
          <w:t>Datos recogidos</w:t>
        </w:r>
        <w:r w:rsidR="009A3F9E">
          <w:rPr>
            <w:noProof/>
            <w:webHidden/>
          </w:rPr>
          <w:tab/>
        </w:r>
        <w:r w:rsidR="009A3F9E">
          <w:rPr>
            <w:noProof/>
            <w:webHidden/>
          </w:rPr>
          <w:fldChar w:fldCharType="begin"/>
        </w:r>
        <w:r w:rsidR="009A3F9E">
          <w:rPr>
            <w:noProof/>
            <w:webHidden/>
          </w:rPr>
          <w:instrText xml:space="preserve"> PAGEREF _Toc510724603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04" w:history="1">
        <w:r w:rsidR="009A3F9E" w:rsidRPr="00C17116">
          <w:rPr>
            <w:rStyle w:val="Hipervnculo"/>
            <w:noProof/>
          </w:rPr>
          <w:t>Análisis estadístico</w:t>
        </w:r>
        <w:r w:rsidR="009A3F9E">
          <w:rPr>
            <w:noProof/>
            <w:webHidden/>
          </w:rPr>
          <w:tab/>
        </w:r>
        <w:r w:rsidR="009A3F9E">
          <w:rPr>
            <w:noProof/>
            <w:webHidden/>
          </w:rPr>
          <w:fldChar w:fldCharType="begin"/>
        </w:r>
        <w:r w:rsidR="009A3F9E">
          <w:rPr>
            <w:noProof/>
            <w:webHidden/>
          </w:rPr>
          <w:instrText xml:space="preserve"> PAGEREF _Toc510724604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605" w:history="1">
        <w:r w:rsidR="009A3F9E" w:rsidRPr="00C17116">
          <w:rPr>
            <w:rStyle w:val="Hipervnculo"/>
            <w:noProof/>
          </w:rPr>
          <w:t>Descriptivo</w:t>
        </w:r>
        <w:r w:rsidR="009A3F9E">
          <w:rPr>
            <w:noProof/>
            <w:webHidden/>
          </w:rPr>
          <w:tab/>
        </w:r>
        <w:r w:rsidR="009A3F9E">
          <w:rPr>
            <w:noProof/>
            <w:webHidden/>
          </w:rPr>
          <w:fldChar w:fldCharType="begin"/>
        </w:r>
        <w:r w:rsidR="009A3F9E">
          <w:rPr>
            <w:noProof/>
            <w:webHidden/>
          </w:rPr>
          <w:instrText xml:space="preserve"> PAGEREF _Toc510724605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7E0057">
      <w:pPr>
        <w:pStyle w:val="TDC3"/>
        <w:tabs>
          <w:tab w:val="right" w:leader="dot" w:pos="8494"/>
        </w:tabs>
        <w:rPr>
          <w:rFonts w:eastAsiaTheme="minorEastAsia"/>
          <w:i w:val="0"/>
          <w:iCs w:val="0"/>
          <w:noProof/>
          <w:sz w:val="22"/>
          <w:szCs w:val="22"/>
          <w:lang w:eastAsia="es-ES"/>
        </w:rPr>
      </w:pPr>
      <w:hyperlink w:anchor="_Toc510724606" w:history="1">
        <w:r w:rsidR="009A3F9E" w:rsidRPr="00C17116">
          <w:rPr>
            <w:rStyle w:val="Hipervnculo"/>
            <w:rFonts w:eastAsia="ArialMT"/>
            <w:noProof/>
          </w:rPr>
          <w:t>Analítico</w:t>
        </w:r>
        <w:r w:rsidR="009A3F9E">
          <w:rPr>
            <w:noProof/>
            <w:webHidden/>
          </w:rPr>
          <w:tab/>
        </w:r>
        <w:r w:rsidR="009A3F9E">
          <w:rPr>
            <w:noProof/>
            <w:webHidden/>
          </w:rPr>
          <w:fldChar w:fldCharType="begin"/>
        </w:r>
        <w:r w:rsidR="009A3F9E">
          <w:rPr>
            <w:noProof/>
            <w:webHidden/>
          </w:rPr>
          <w:instrText xml:space="preserve"> PAGEREF _Toc510724606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07" w:history="1">
        <w:r w:rsidR="009A3F9E" w:rsidRPr="00C17116">
          <w:rPr>
            <w:rStyle w:val="Hipervnculo"/>
            <w:noProof/>
          </w:rPr>
          <w:t>Resultados</w:t>
        </w:r>
        <w:r w:rsidR="009A3F9E">
          <w:rPr>
            <w:noProof/>
            <w:webHidden/>
          </w:rPr>
          <w:tab/>
        </w:r>
        <w:r w:rsidR="009A3F9E">
          <w:rPr>
            <w:noProof/>
            <w:webHidden/>
          </w:rPr>
          <w:fldChar w:fldCharType="begin"/>
        </w:r>
        <w:r w:rsidR="009A3F9E">
          <w:rPr>
            <w:noProof/>
            <w:webHidden/>
          </w:rPr>
          <w:instrText xml:space="preserve"> PAGEREF _Toc510724607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08" w:history="1">
        <w:r w:rsidR="009A3F9E" w:rsidRPr="00C17116">
          <w:rPr>
            <w:rStyle w:val="Hipervnculo"/>
            <w:noProof/>
          </w:rPr>
          <w:t>Descripción de la muestra</w:t>
        </w:r>
        <w:r w:rsidR="009A3F9E">
          <w:rPr>
            <w:noProof/>
            <w:webHidden/>
          </w:rPr>
          <w:tab/>
        </w:r>
        <w:r w:rsidR="009A3F9E">
          <w:rPr>
            <w:noProof/>
            <w:webHidden/>
          </w:rPr>
          <w:fldChar w:fldCharType="begin"/>
        </w:r>
        <w:r w:rsidR="009A3F9E">
          <w:rPr>
            <w:noProof/>
            <w:webHidden/>
          </w:rPr>
          <w:instrText xml:space="preserve"> PAGEREF _Toc510724608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09" w:history="1">
        <w:r w:rsidR="009A3F9E" w:rsidRPr="00C17116">
          <w:rPr>
            <w:rStyle w:val="Hipervnculo"/>
            <w:noProof/>
          </w:rPr>
          <w:t>Descripción de las complicaciones</w:t>
        </w:r>
        <w:r w:rsidR="009A3F9E">
          <w:rPr>
            <w:noProof/>
            <w:webHidden/>
          </w:rPr>
          <w:tab/>
        </w:r>
        <w:r w:rsidR="009A3F9E">
          <w:rPr>
            <w:noProof/>
            <w:webHidden/>
          </w:rPr>
          <w:fldChar w:fldCharType="begin"/>
        </w:r>
        <w:r w:rsidR="009A3F9E">
          <w:rPr>
            <w:noProof/>
            <w:webHidden/>
          </w:rPr>
          <w:instrText xml:space="preserve"> PAGEREF _Toc510724609 \h </w:instrText>
        </w:r>
        <w:r w:rsidR="009A3F9E">
          <w:rPr>
            <w:noProof/>
            <w:webHidden/>
          </w:rPr>
        </w:r>
        <w:r w:rsidR="009A3F9E">
          <w:rPr>
            <w:noProof/>
            <w:webHidden/>
          </w:rPr>
          <w:fldChar w:fldCharType="separate"/>
        </w:r>
        <w:r w:rsidR="009A3F9E">
          <w:rPr>
            <w:noProof/>
            <w:webHidden/>
          </w:rPr>
          <w:t>18</w:t>
        </w:r>
        <w:r w:rsidR="009A3F9E">
          <w:rPr>
            <w:noProof/>
            <w:webHidden/>
          </w:rPr>
          <w:fldChar w:fldCharType="end"/>
        </w:r>
      </w:hyperlink>
    </w:p>
    <w:p w:rsidR="009A3F9E" w:rsidRDefault="007E0057">
      <w:pPr>
        <w:pStyle w:val="TDC2"/>
        <w:rPr>
          <w:rFonts w:eastAsiaTheme="minorEastAsia"/>
          <w:smallCaps w:val="0"/>
          <w:noProof/>
          <w:sz w:val="22"/>
          <w:szCs w:val="22"/>
          <w:lang w:eastAsia="es-ES"/>
        </w:rPr>
      </w:pPr>
      <w:hyperlink w:anchor="_Toc510724610" w:history="1">
        <w:r w:rsidR="009A3F9E" w:rsidRPr="00C17116">
          <w:rPr>
            <w:rStyle w:val="Hipervnculo"/>
            <w:noProof/>
          </w:rPr>
          <w:t>Asociaciones encontradas</w:t>
        </w:r>
        <w:r w:rsidR="009A3F9E">
          <w:rPr>
            <w:noProof/>
            <w:webHidden/>
          </w:rPr>
          <w:tab/>
        </w:r>
        <w:r w:rsidR="009A3F9E">
          <w:rPr>
            <w:noProof/>
            <w:webHidden/>
          </w:rPr>
          <w:fldChar w:fldCharType="begin"/>
        </w:r>
        <w:r w:rsidR="009A3F9E">
          <w:rPr>
            <w:noProof/>
            <w:webHidden/>
          </w:rPr>
          <w:instrText xml:space="preserve"> PAGEREF _Toc510724610 \h </w:instrText>
        </w:r>
        <w:r w:rsidR="009A3F9E">
          <w:rPr>
            <w:noProof/>
            <w:webHidden/>
          </w:rPr>
        </w:r>
        <w:r w:rsidR="009A3F9E">
          <w:rPr>
            <w:noProof/>
            <w:webHidden/>
          </w:rPr>
          <w:fldChar w:fldCharType="separate"/>
        </w:r>
        <w:r w:rsidR="009A3F9E">
          <w:rPr>
            <w:noProof/>
            <w:webHidden/>
          </w:rPr>
          <w:t>19</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11" w:history="1">
        <w:r w:rsidR="009A3F9E" w:rsidRPr="00C17116">
          <w:rPr>
            <w:rStyle w:val="Hipervnculo"/>
            <w:noProof/>
          </w:rPr>
          <w:t>Discusión</w:t>
        </w:r>
        <w:r w:rsidR="009A3F9E">
          <w:rPr>
            <w:noProof/>
            <w:webHidden/>
          </w:rPr>
          <w:tab/>
        </w:r>
        <w:r w:rsidR="009A3F9E">
          <w:rPr>
            <w:noProof/>
            <w:webHidden/>
          </w:rPr>
          <w:fldChar w:fldCharType="begin"/>
        </w:r>
        <w:r w:rsidR="009A3F9E">
          <w:rPr>
            <w:noProof/>
            <w:webHidden/>
          </w:rPr>
          <w:instrText xml:space="preserve"> PAGEREF _Toc510724611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12" w:history="1">
        <w:r w:rsidR="009A3F9E" w:rsidRPr="00C17116">
          <w:rPr>
            <w:rStyle w:val="Hipervnculo"/>
            <w:noProof/>
          </w:rPr>
          <w:t>Conclusiones</w:t>
        </w:r>
        <w:r w:rsidR="009A3F9E">
          <w:rPr>
            <w:noProof/>
            <w:webHidden/>
          </w:rPr>
          <w:tab/>
        </w:r>
        <w:r w:rsidR="009A3F9E">
          <w:rPr>
            <w:noProof/>
            <w:webHidden/>
          </w:rPr>
          <w:fldChar w:fldCharType="begin"/>
        </w:r>
        <w:r w:rsidR="009A3F9E">
          <w:rPr>
            <w:noProof/>
            <w:webHidden/>
          </w:rPr>
          <w:instrText xml:space="preserve"> PAGEREF _Toc510724612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7E0057">
      <w:pPr>
        <w:pStyle w:val="TDC1"/>
        <w:tabs>
          <w:tab w:val="right" w:leader="dot" w:pos="8494"/>
        </w:tabs>
        <w:rPr>
          <w:rFonts w:eastAsiaTheme="minorEastAsia"/>
          <w:b w:val="0"/>
          <w:bCs w:val="0"/>
          <w:caps w:val="0"/>
          <w:noProof/>
          <w:sz w:val="22"/>
          <w:szCs w:val="22"/>
          <w:lang w:eastAsia="es-ES"/>
        </w:rPr>
      </w:pPr>
      <w:hyperlink w:anchor="_Toc510724613" w:history="1">
        <w:r w:rsidR="009A3F9E" w:rsidRPr="00C17116">
          <w:rPr>
            <w:rStyle w:val="Hipervnculo"/>
            <w:noProof/>
          </w:rPr>
          <w:t>Bibliografía</w:t>
        </w:r>
        <w:r w:rsidR="009A3F9E">
          <w:rPr>
            <w:noProof/>
            <w:webHidden/>
          </w:rPr>
          <w:tab/>
        </w:r>
        <w:r w:rsidR="009A3F9E">
          <w:rPr>
            <w:noProof/>
            <w:webHidden/>
          </w:rPr>
          <w:fldChar w:fldCharType="begin"/>
        </w:r>
        <w:r w:rsidR="009A3F9E">
          <w:rPr>
            <w:noProof/>
            <w:webHidden/>
          </w:rPr>
          <w:instrText xml:space="preserve"> PAGEREF _Toc510724613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bookmarkStart w:id="0" w:name="_GoBack"/>
    <w:bookmarkEnd w:id="0"/>
    <w:p w:rsidR="00191004"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0797555" w:history="1">
        <w:r w:rsidR="00191004" w:rsidRPr="00EB0873">
          <w:rPr>
            <w:rStyle w:val="Hipervnculo"/>
            <w:noProof/>
          </w:rPr>
          <w:t>Figura 1. Proporción de hombres y mujeres en la muestra.</w:t>
        </w:r>
        <w:r w:rsidR="00191004">
          <w:rPr>
            <w:noProof/>
            <w:webHidden/>
          </w:rPr>
          <w:tab/>
        </w:r>
        <w:r w:rsidR="00191004">
          <w:rPr>
            <w:noProof/>
            <w:webHidden/>
          </w:rPr>
          <w:fldChar w:fldCharType="begin"/>
        </w:r>
        <w:r w:rsidR="00191004">
          <w:rPr>
            <w:noProof/>
            <w:webHidden/>
          </w:rPr>
          <w:instrText xml:space="preserve"> PAGEREF _Toc510797555 \h </w:instrText>
        </w:r>
        <w:r w:rsidR="00191004">
          <w:rPr>
            <w:noProof/>
            <w:webHidden/>
          </w:rPr>
        </w:r>
        <w:r w:rsidR="00191004">
          <w:rPr>
            <w:noProof/>
            <w:webHidden/>
          </w:rPr>
          <w:fldChar w:fldCharType="separate"/>
        </w:r>
        <w:r w:rsidR="00191004">
          <w:rPr>
            <w:noProof/>
            <w:webHidden/>
          </w:rPr>
          <w:t>18</w:t>
        </w:r>
        <w:r w:rsidR="00191004">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15" w:anchor="_Toc510797556" w:history="1">
        <w:r w:rsidRPr="00EB0873">
          <w:rPr>
            <w:rStyle w:val="Hipervnculo"/>
            <w:noProof/>
          </w:rPr>
          <w:t>Figura 2. Proporción de pacientes mayores y menores de 60 años.</w:t>
        </w:r>
        <w:r>
          <w:rPr>
            <w:noProof/>
            <w:webHidden/>
          </w:rPr>
          <w:tab/>
        </w:r>
        <w:r>
          <w:rPr>
            <w:noProof/>
            <w:webHidden/>
          </w:rPr>
          <w:fldChar w:fldCharType="begin"/>
        </w:r>
        <w:r>
          <w:rPr>
            <w:noProof/>
            <w:webHidden/>
          </w:rPr>
          <w:instrText xml:space="preserve"> PAGEREF _Toc510797556 \h </w:instrText>
        </w:r>
        <w:r>
          <w:rPr>
            <w:noProof/>
            <w:webHidden/>
          </w:rPr>
        </w:r>
        <w:r>
          <w:rPr>
            <w:noProof/>
            <w:webHidden/>
          </w:rPr>
          <w:fldChar w:fldCharType="separate"/>
        </w:r>
        <w:r>
          <w:rPr>
            <w:noProof/>
            <w:webHidden/>
          </w:rPr>
          <w:t>18</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16" w:anchor="_Toc510797557" w:history="1">
        <w:r w:rsidRPr="00EB0873">
          <w:rPr>
            <w:rStyle w:val="Hipervnculo"/>
            <w:noProof/>
          </w:rPr>
          <w:t>Figura 3. Proporción de pacientes que presentan algún tipo de comorbilidad.</w:t>
        </w:r>
        <w:r>
          <w:rPr>
            <w:noProof/>
            <w:webHidden/>
          </w:rPr>
          <w:tab/>
        </w:r>
        <w:r>
          <w:rPr>
            <w:noProof/>
            <w:webHidden/>
          </w:rPr>
          <w:fldChar w:fldCharType="begin"/>
        </w:r>
        <w:r>
          <w:rPr>
            <w:noProof/>
            <w:webHidden/>
          </w:rPr>
          <w:instrText xml:space="preserve"> PAGEREF _Toc510797557 \h </w:instrText>
        </w:r>
        <w:r>
          <w:rPr>
            <w:noProof/>
            <w:webHidden/>
          </w:rPr>
        </w:r>
        <w:r>
          <w:rPr>
            <w:noProof/>
            <w:webHidden/>
          </w:rPr>
          <w:fldChar w:fldCharType="separate"/>
        </w:r>
        <w:r>
          <w:rPr>
            <w:noProof/>
            <w:webHidden/>
          </w:rPr>
          <w:t>18</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17" w:anchor="_Toc510797558" w:history="1">
        <w:r w:rsidRPr="00EB0873">
          <w:rPr>
            <w:rStyle w:val="Hipervnculo"/>
            <w:noProof/>
          </w:rPr>
          <w:t>Figura 4. Proporción de pacientes cuya clínica neurológica condujo al diagnóstico.</w:t>
        </w:r>
        <w:r>
          <w:rPr>
            <w:noProof/>
            <w:webHidden/>
          </w:rPr>
          <w:tab/>
        </w:r>
        <w:r>
          <w:rPr>
            <w:noProof/>
            <w:webHidden/>
          </w:rPr>
          <w:fldChar w:fldCharType="begin"/>
        </w:r>
        <w:r>
          <w:rPr>
            <w:noProof/>
            <w:webHidden/>
          </w:rPr>
          <w:instrText xml:space="preserve"> PAGEREF _Toc510797558 \h </w:instrText>
        </w:r>
        <w:r>
          <w:rPr>
            <w:noProof/>
            <w:webHidden/>
          </w:rPr>
        </w:r>
        <w:r>
          <w:rPr>
            <w:noProof/>
            <w:webHidden/>
          </w:rPr>
          <w:fldChar w:fldCharType="separate"/>
        </w:r>
        <w:r>
          <w:rPr>
            <w:noProof/>
            <w:webHidden/>
          </w:rPr>
          <w:t>19</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18" w:anchor="_Toc510797559" w:history="1">
        <w:r w:rsidRPr="00EB0873">
          <w:rPr>
            <w:rStyle w:val="Hipervnculo"/>
            <w:noProof/>
          </w:rPr>
          <w:t>Figura 5.Proporción de consumo de alcohol en la muestra.</w:t>
        </w:r>
        <w:r>
          <w:rPr>
            <w:noProof/>
            <w:webHidden/>
          </w:rPr>
          <w:tab/>
        </w:r>
        <w:r>
          <w:rPr>
            <w:noProof/>
            <w:webHidden/>
          </w:rPr>
          <w:fldChar w:fldCharType="begin"/>
        </w:r>
        <w:r>
          <w:rPr>
            <w:noProof/>
            <w:webHidden/>
          </w:rPr>
          <w:instrText xml:space="preserve"> PAGEREF _Toc510797559 \h </w:instrText>
        </w:r>
        <w:r>
          <w:rPr>
            <w:noProof/>
            <w:webHidden/>
          </w:rPr>
        </w:r>
        <w:r>
          <w:rPr>
            <w:noProof/>
            <w:webHidden/>
          </w:rPr>
          <w:fldChar w:fldCharType="separate"/>
        </w:r>
        <w:r>
          <w:rPr>
            <w:noProof/>
            <w:webHidden/>
          </w:rPr>
          <w:t>19</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19" w:anchor="_Toc510797560" w:history="1">
        <w:r w:rsidRPr="00EB0873">
          <w:rPr>
            <w:rStyle w:val="Hipervnculo"/>
            <w:noProof/>
          </w:rPr>
          <w:t>Figura 6. Distribución del tamaño de los aneurismas.</w:t>
        </w:r>
        <w:r>
          <w:rPr>
            <w:noProof/>
            <w:webHidden/>
          </w:rPr>
          <w:tab/>
        </w:r>
        <w:r>
          <w:rPr>
            <w:noProof/>
            <w:webHidden/>
          </w:rPr>
          <w:fldChar w:fldCharType="begin"/>
        </w:r>
        <w:r>
          <w:rPr>
            <w:noProof/>
            <w:webHidden/>
          </w:rPr>
          <w:instrText xml:space="preserve"> PAGEREF _Toc510797560 \h </w:instrText>
        </w:r>
        <w:r>
          <w:rPr>
            <w:noProof/>
            <w:webHidden/>
          </w:rPr>
        </w:r>
        <w:r>
          <w:rPr>
            <w:noProof/>
            <w:webHidden/>
          </w:rPr>
          <w:fldChar w:fldCharType="separate"/>
        </w:r>
        <w:r>
          <w:rPr>
            <w:noProof/>
            <w:webHidden/>
          </w:rPr>
          <w:t>19</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0" w:anchor="_Toc510797561" w:history="1">
        <w:r w:rsidRPr="00EB0873">
          <w:rPr>
            <w:rStyle w:val="Hipervnculo"/>
            <w:noProof/>
          </w:rPr>
          <w:t>Figura 7. Localizaciones de los aneurismas</w:t>
        </w:r>
        <w:r>
          <w:rPr>
            <w:noProof/>
            <w:webHidden/>
          </w:rPr>
          <w:tab/>
        </w:r>
        <w:r>
          <w:rPr>
            <w:noProof/>
            <w:webHidden/>
          </w:rPr>
          <w:fldChar w:fldCharType="begin"/>
        </w:r>
        <w:r>
          <w:rPr>
            <w:noProof/>
            <w:webHidden/>
          </w:rPr>
          <w:instrText xml:space="preserve"> PAGEREF _Toc510797561 \h </w:instrText>
        </w:r>
        <w:r>
          <w:rPr>
            <w:noProof/>
            <w:webHidden/>
          </w:rPr>
        </w:r>
        <w:r>
          <w:rPr>
            <w:noProof/>
            <w:webHidden/>
          </w:rPr>
          <w:fldChar w:fldCharType="separate"/>
        </w:r>
        <w:r>
          <w:rPr>
            <w:noProof/>
            <w:webHidden/>
          </w:rPr>
          <w:t>20</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1" w:anchor="_Toc510797562" w:history="1">
        <w:r w:rsidRPr="00EB0873">
          <w:rPr>
            <w:rStyle w:val="Hipervnculo"/>
            <w:noProof/>
          </w:rPr>
          <w:t>Figura 8. Porcentajes de oclusión de los aneurismas</w:t>
        </w:r>
        <w:r>
          <w:rPr>
            <w:noProof/>
            <w:webHidden/>
          </w:rPr>
          <w:tab/>
        </w:r>
        <w:r>
          <w:rPr>
            <w:noProof/>
            <w:webHidden/>
          </w:rPr>
          <w:fldChar w:fldCharType="begin"/>
        </w:r>
        <w:r>
          <w:rPr>
            <w:noProof/>
            <w:webHidden/>
          </w:rPr>
          <w:instrText xml:space="preserve"> PAGEREF _Toc510797562 \h </w:instrText>
        </w:r>
        <w:r>
          <w:rPr>
            <w:noProof/>
            <w:webHidden/>
          </w:rPr>
        </w:r>
        <w:r>
          <w:rPr>
            <w:noProof/>
            <w:webHidden/>
          </w:rPr>
          <w:fldChar w:fldCharType="separate"/>
        </w:r>
        <w:r>
          <w:rPr>
            <w:noProof/>
            <w:webHidden/>
          </w:rPr>
          <w:t>20</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2" w:anchor="_Toc510797563" w:history="1">
        <w:r w:rsidRPr="00EB0873">
          <w:rPr>
            <w:rStyle w:val="Hipervnculo"/>
            <w:noProof/>
          </w:rPr>
          <w:t>Figura 9. Proporción de complicaciones</w:t>
        </w:r>
        <w:r>
          <w:rPr>
            <w:noProof/>
            <w:webHidden/>
          </w:rPr>
          <w:tab/>
        </w:r>
        <w:r>
          <w:rPr>
            <w:noProof/>
            <w:webHidden/>
          </w:rPr>
          <w:fldChar w:fldCharType="begin"/>
        </w:r>
        <w:r>
          <w:rPr>
            <w:noProof/>
            <w:webHidden/>
          </w:rPr>
          <w:instrText xml:space="preserve"> PAGEREF _Toc510797563 \h </w:instrText>
        </w:r>
        <w:r>
          <w:rPr>
            <w:noProof/>
            <w:webHidden/>
          </w:rPr>
        </w:r>
        <w:r>
          <w:rPr>
            <w:noProof/>
            <w:webHidden/>
          </w:rPr>
          <w:fldChar w:fldCharType="separate"/>
        </w:r>
        <w:r>
          <w:rPr>
            <w:noProof/>
            <w:webHidden/>
          </w:rPr>
          <w:t>20</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3" w:anchor="_Toc510797564" w:history="1">
        <w:r w:rsidRPr="00EB0873">
          <w:rPr>
            <w:rStyle w:val="Hipervnculo"/>
            <w:noProof/>
          </w:rPr>
          <w:t>Figura 10. Diagrama de barras representativo de la relación entre edad y presencia de comorbilidades.</w:t>
        </w:r>
        <w:r>
          <w:rPr>
            <w:noProof/>
            <w:webHidden/>
          </w:rPr>
          <w:tab/>
        </w:r>
        <w:r>
          <w:rPr>
            <w:noProof/>
            <w:webHidden/>
          </w:rPr>
          <w:fldChar w:fldCharType="begin"/>
        </w:r>
        <w:r>
          <w:rPr>
            <w:noProof/>
            <w:webHidden/>
          </w:rPr>
          <w:instrText xml:space="preserve"> PAGEREF _Toc510797564 \h </w:instrText>
        </w:r>
        <w:r>
          <w:rPr>
            <w:noProof/>
            <w:webHidden/>
          </w:rPr>
        </w:r>
        <w:r>
          <w:rPr>
            <w:noProof/>
            <w:webHidden/>
          </w:rPr>
          <w:fldChar w:fldCharType="separate"/>
        </w:r>
        <w:r>
          <w:rPr>
            <w:noProof/>
            <w:webHidden/>
          </w:rPr>
          <w:t>21</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4" w:anchor="_Toc510797565" w:history="1">
        <w:r w:rsidRPr="00EB0873">
          <w:rPr>
            <w:rStyle w:val="Hipervnculo"/>
            <w:noProof/>
          </w:rPr>
          <w:t>Tabla 1. Tabla cruzada entre hábito tabáquico y la edad.</w:t>
        </w:r>
        <w:r>
          <w:rPr>
            <w:noProof/>
            <w:webHidden/>
          </w:rPr>
          <w:tab/>
        </w:r>
        <w:r>
          <w:rPr>
            <w:noProof/>
            <w:webHidden/>
          </w:rPr>
          <w:fldChar w:fldCharType="begin"/>
        </w:r>
        <w:r>
          <w:rPr>
            <w:noProof/>
            <w:webHidden/>
          </w:rPr>
          <w:instrText xml:space="preserve"> PAGEREF _Toc510797565 \h </w:instrText>
        </w:r>
        <w:r>
          <w:rPr>
            <w:noProof/>
            <w:webHidden/>
          </w:rPr>
        </w:r>
        <w:r>
          <w:rPr>
            <w:noProof/>
            <w:webHidden/>
          </w:rPr>
          <w:fldChar w:fldCharType="separate"/>
        </w:r>
        <w:r>
          <w:rPr>
            <w:noProof/>
            <w:webHidden/>
          </w:rPr>
          <w:t>21</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5" w:anchor="_Toc510797566" w:history="1">
        <w:r w:rsidRPr="00EB0873">
          <w:rPr>
            <w:rStyle w:val="Hipervnculo"/>
            <w:noProof/>
          </w:rPr>
          <w:t>Figura 11. Diagrama de barras que representa la relación entre el sexo y la presencia de clínica neurológica al diagnóstico.</w:t>
        </w:r>
        <w:r>
          <w:rPr>
            <w:noProof/>
            <w:webHidden/>
          </w:rPr>
          <w:tab/>
        </w:r>
        <w:r>
          <w:rPr>
            <w:noProof/>
            <w:webHidden/>
          </w:rPr>
          <w:fldChar w:fldCharType="begin"/>
        </w:r>
        <w:r>
          <w:rPr>
            <w:noProof/>
            <w:webHidden/>
          </w:rPr>
          <w:instrText xml:space="preserve"> PAGEREF _Toc510797566 \h </w:instrText>
        </w:r>
        <w:r>
          <w:rPr>
            <w:noProof/>
            <w:webHidden/>
          </w:rPr>
        </w:r>
        <w:r>
          <w:rPr>
            <w:noProof/>
            <w:webHidden/>
          </w:rPr>
          <w:fldChar w:fldCharType="separate"/>
        </w:r>
        <w:r>
          <w:rPr>
            <w:noProof/>
            <w:webHidden/>
          </w:rPr>
          <w:t>22</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6" w:anchor="_Toc510797567" w:history="1">
        <w:r w:rsidRPr="00EB0873">
          <w:rPr>
            <w:rStyle w:val="Hipervnculo"/>
            <w:noProof/>
          </w:rPr>
          <w:t>Figura 12. Diagrama de barras que representa la relación entre el consumo de alcohol y la presencia de clínica neurológica al diagnóstico.</w:t>
        </w:r>
        <w:r>
          <w:rPr>
            <w:noProof/>
            <w:webHidden/>
          </w:rPr>
          <w:tab/>
        </w:r>
        <w:r>
          <w:rPr>
            <w:noProof/>
            <w:webHidden/>
          </w:rPr>
          <w:fldChar w:fldCharType="begin"/>
        </w:r>
        <w:r>
          <w:rPr>
            <w:noProof/>
            <w:webHidden/>
          </w:rPr>
          <w:instrText xml:space="preserve"> PAGEREF _Toc510797567 \h </w:instrText>
        </w:r>
        <w:r>
          <w:rPr>
            <w:noProof/>
            <w:webHidden/>
          </w:rPr>
        </w:r>
        <w:r>
          <w:rPr>
            <w:noProof/>
            <w:webHidden/>
          </w:rPr>
          <w:fldChar w:fldCharType="separate"/>
        </w:r>
        <w:r>
          <w:rPr>
            <w:noProof/>
            <w:webHidden/>
          </w:rPr>
          <w:t>22</w:t>
        </w:r>
        <w:r>
          <w:rPr>
            <w:noProof/>
            <w:webHidden/>
          </w:rPr>
          <w:fldChar w:fldCharType="end"/>
        </w:r>
      </w:hyperlink>
    </w:p>
    <w:p w:rsidR="00191004" w:rsidRDefault="00191004">
      <w:pPr>
        <w:pStyle w:val="Tabladeilustraciones"/>
        <w:tabs>
          <w:tab w:val="right" w:leader="dot" w:pos="8494"/>
        </w:tabs>
        <w:rPr>
          <w:rFonts w:eastAsiaTheme="minorEastAsia"/>
          <w:b w:val="0"/>
          <w:bCs w:val="0"/>
          <w:noProof/>
          <w:sz w:val="22"/>
          <w:szCs w:val="22"/>
          <w:lang w:eastAsia="es-ES"/>
        </w:rPr>
      </w:pPr>
      <w:hyperlink r:id="rId27" w:anchor="_Toc510797568" w:history="1">
        <w:r w:rsidRPr="00EB0873">
          <w:rPr>
            <w:rStyle w:val="Hipervnculo"/>
            <w:noProof/>
          </w:rPr>
          <w:t>Figura 13. Diagrama de barras que representa la relación entre el sexo y el consumo de alcohol.</w:t>
        </w:r>
        <w:r>
          <w:rPr>
            <w:noProof/>
            <w:webHidden/>
          </w:rPr>
          <w:tab/>
        </w:r>
        <w:r>
          <w:rPr>
            <w:noProof/>
            <w:webHidden/>
          </w:rPr>
          <w:fldChar w:fldCharType="begin"/>
        </w:r>
        <w:r>
          <w:rPr>
            <w:noProof/>
            <w:webHidden/>
          </w:rPr>
          <w:instrText xml:space="preserve"> PAGEREF _Toc510797568 \h </w:instrText>
        </w:r>
        <w:r>
          <w:rPr>
            <w:noProof/>
            <w:webHidden/>
          </w:rPr>
        </w:r>
        <w:r>
          <w:rPr>
            <w:noProof/>
            <w:webHidden/>
          </w:rPr>
          <w:fldChar w:fldCharType="separate"/>
        </w:r>
        <w:r>
          <w:rPr>
            <w:noProof/>
            <w:webHidden/>
          </w:rPr>
          <w:t>22</w:t>
        </w:r>
        <w:r>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1" w:name="_Toc510724590"/>
      <w:r>
        <w:lastRenderedPageBreak/>
        <w:t>Introducción</w:t>
      </w:r>
      <w:bookmarkEnd w:id="1"/>
    </w:p>
    <w:p w:rsidR="00F308D9" w:rsidRDefault="00F308D9" w:rsidP="00F308D9">
      <w:pPr>
        <w:pStyle w:val="Ttulo2"/>
        <w:numPr>
          <w:ilvl w:val="1"/>
          <w:numId w:val="0"/>
        </w:numPr>
        <w:ind w:left="576" w:hanging="576"/>
      </w:pPr>
      <w:bookmarkStart w:id="2" w:name="_Toc510724591"/>
      <w:r>
        <w:t>Definición de aneurisma incidental</w:t>
      </w:r>
      <w:bookmarkEnd w:id="2"/>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3" w:name="_Toc510724592"/>
      <w:r>
        <w:t>Epidemiología</w:t>
      </w:r>
      <w:bookmarkEnd w:id="3"/>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4" w:name="_Toc510724593"/>
      <w:r>
        <w:t>Historia natural del aneurisma</w:t>
      </w:r>
      <w:bookmarkEnd w:id="4"/>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5" w:name="_Toc510724594"/>
      <w:r>
        <w:t>Hemorragia Subaracnoidea (HSA)</w:t>
      </w:r>
      <w:bookmarkEnd w:id="5"/>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6" w:name="_Toc510724595"/>
      <w:r>
        <w:t>Factores pronósticos y factores de riesgo de ruptura aneurismática</w:t>
      </w:r>
      <w:bookmarkEnd w:id="6"/>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7" w:name="_Toc510724596"/>
      <w:r>
        <w:t>Tratamiento de los aneurismas incidentales</w:t>
      </w:r>
      <w:bookmarkEnd w:id="7"/>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8" w:name="_Toc510724597"/>
      <w:r>
        <w:t>Tratamiento quirúrgico</w:t>
      </w:r>
      <w:bookmarkEnd w:id="8"/>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9" w:name="_Toc510724598"/>
      <w:r>
        <w:t>Tratamiento endovascular</w:t>
      </w:r>
      <w:bookmarkEnd w:id="9"/>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10" w:name="_Toc510724599"/>
      <w:r>
        <w:t>Justificación del Proyecto</w:t>
      </w:r>
      <w:bookmarkEnd w:id="10"/>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El dilema radica en que</w:t>
      </w:r>
      <w:r w:rsidR="00B82C68">
        <w:t xml:space="preserve"> se desconoce si los riesgos de intervención </w:t>
      </w:r>
      <w:r w:rsidR="009F3E84">
        <w:t>supera</w:t>
      </w:r>
      <w:r w:rsidR="00B82C68">
        <w:t>n</w:t>
      </w:r>
      <w:r w:rsidR="009F3E84">
        <w:t xml:space="preserve"> al riesgo de ruptura, que pese a ser un riesgo bajo existe, siendo las consecuencias de la ruptura muy graves, lo que pone en una disyuntiva a los médicos. </w:t>
      </w:r>
    </w:p>
    <w:p w:rsidR="0054730A" w:rsidRPr="0054730A"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7C53E5" w:rsidRDefault="007C53E5" w:rsidP="007C53E5">
      <w:pPr>
        <w:pStyle w:val="Ttulo1"/>
      </w:pPr>
      <w:bookmarkStart w:id="11" w:name="_Toc510724600"/>
      <w:r>
        <w:t>Objetivos</w:t>
      </w:r>
      <w:bookmarkEnd w:id="11"/>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2" w:name="_Toc510724601"/>
      <w:r>
        <w:lastRenderedPageBreak/>
        <w:t>Material y métodos</w:t>
      </w:r>
      <w:bookmarkEnd w:id="12"/>
    </w:p>
    <w:p w:rsidR="003E1DC9" w:rsidRPr="00284A8E" w:rsidRDefault="003E1DC9" w:rsidP="003E1DC9">
      <w:r w:rsidRPr="00284A8E">
        <w:t xml:space="preserve">El presente estudio se llevó a cabo en Hospital Universitario Central de Asturias (HUCA), </w:t>
      </w:r>
      <w:r>
        <w:t xml:space="preserve">con la colaboración de los servicios de neurocirugía y radiología intervencionista, y </w:t>
      </w:r>
      <w:r w:rsidRPr="00284A8E">
        <w:t>con el consentimiento de todos los pacientes incluidos en él.</w:t>
      </w:r>
      <w:r w:rsidR="00F632EC" w:rsidRPr="00F632EC">
        <w:t xml:space="preserve"> </w:t>
      </w:r>
      <w:r w:rsidR="00F632EC">
        <w:t xml:space="preserve">Los datos se obtuvieron </w:t>
      </w:r>
      <w:r w:rsidR="00F632EC" w:rsidRPr="00284A8E">
        <w:t>de</w:t>
      </w:r>
      <w:r w:rsidR="00F632EC">
        <w:t xml:space="preserve"> las</w:t>
      </w:r>
      <w:r w:rsidR="00F632EC" w:rsidRPr="00284A8E">
        <w:t xml:space="preserve"> historias clínicas</w:t>
      </w:r>
      <w:r w:rsidR="00F632EC">
        <w:t xml:space="preserve">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1 de Enero de 2016 y 31 de Diciembre de 2017</w:t>
      </w:r>
      <w:r w:rsidR="00F632EC">
        <w:t>.</w:t>
      </w:r>
    </w:p>
    <w:p w:rsidR="00F632EC" w:rsidRDefault="00F632EC" w:rsidP="00F632EC">
      <w:pPr>
        <w:pStyle w:val="Ttulo2"/>
      </w:pPr>
      <w:bookmarkStart w:id="13" w:name="_Toc510724602"/>
      <w:r>
        <w:t>Criterios de inclusión</w:t>
      </w:r>
      <w:bookmarkEnd w:id="13"/>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F632EC" w:rsidRDefault="00F632EC" w:rsidP="003E1DC9">
      <w:r>
        <w:t>Los pacientes que no reunían las anteriores características fueron excluidos del estudio.</w:t>
      </w:r>
    </w:p>
    <w:p w:rsidR="00255E6E" w:rsidRDefault="00F632EC" w:rsidP="00F632EC">
      <w:pPr>
        <w:pStyle w:val="Ttulo2"/>
      </w:pPr>
      <w:bookmarkStart w:id="14" w:name="_Toc510724603"/>
      <w:r>
        <w:t>Datos recogidos</w:t>
      </w:r>
      <w:bookmarkEnd w:id="14"/>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255E6E" w:rsidP="00E3729E">
      <w:pPr>
        <w:pStyle w:val="Prrafodelista"/>
        <w:numPr>
          <w:ilvl w:val="0"/>
          <w:numId w:val="2"/>
        </w:numPr>
      </w:pPr>
      <w:r>
        <w:t>Contexto del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844702">
        <w:t>écnica endovascular.</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Default="001C0498" w:rsidP="00E3729E">
      <w:pPr>
        <w:pStyle w:val="Prrafodelista"/>
        <w:numPr>
          <w:ilvl w:val="0"/>
          <w:numId w:val="2"/>
        </w:numPr>
      </w:pPr>
      <w:r>
        <w:t>Causa de 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Pr="009A3F9E" w:rsidRDefault="001C0498" w:rsidP="00E3729E">
      <w:pPr>
        <w:pStyle w:val="Prrafodelista"/>
        <w:numPr>
          <w:ilvl w:val="0"/>
          <w:numId w:val="2"/>
        </w:numPr>
        <w:rPr>
          <w:color w:val="FF2E12" w:themeColor="accent6" w:themeTint="99"/>
        </w:rPr>
      </w:pPr>
      <w:r w:rsidRPr="009A3F9E">
        <w:rPr>
          <w:color w:val="FF2E12" w:themeColor="accent6" w:themeTint="99"/>
        </w:rPr>
        <w:t>Síntomas post-intervención.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5" w:name="_Toc510724604"/>
      <w:r>
        <w:t>Análisis estadístico</w:t>
      </w:r>
      <w:bookmarkEnd w:id="15"/>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6" w:name="_Toc510724605"/>
      <w:r>
        <w:lastRenderedPageBreak/>
        <w:t>Descriptivo</w:t>
      </w:r>
      <w:bookmarkEnd w:id="16"/>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7" w:name="_Toc510724606"/>
      <w:r>
        <w:rPr>
          <w:rFonts w:eastAsia="ArialMT"/>
        </w:rPr>
        <w:t>Analítico</w:t>
      </w:r>
      <w:bookmarkEnd w:id="17"/>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8" w:name="_Toc510724607"/>
      <w:r>
        <w:t>Resultados</w:t>
      </w:r>
      <w:bookmarkEnd w:id="18"/>
    </w:p>
    <w:p w:rsidR="00255E6E" w:rsidRDefault="00C609B5" w:rsidP="00B52E59">
      <w:pPr>
        <w:pStyle w:val="Ttulo2"/>
      </w:pPr>
      <w:bookmarkStart w:id="19" w:name="_Toc510724608"/>
      <w:r>
        <w:t>Descripción</w:t>
      </w:r>
      <w:r w:rsidR="002B219D">
        <w:t xml:space="preserve"> de la muestra</w:t>
      </w:r>
      <w:bookmarkEnd w:id="19"/>
    </w:p>
    <w:p w:rsidR="00801DF3" w:rsidRDefault="00AA12F8" w:rsidP="00AA12F8">
      <w:r>
        <w:rPr>
          <w:noProof/>
          <w:lang w:eastAsia="es-ES"/>
        </w:rPr>
        <w:drawing>
          <wp:anchor distT="0" distB="0" distL="114300" distR="114300" simplePos="0" relativeHeight="251670528" behindDoc="0" locked="0" layoutInCell="1" allowOverlap="1" wp14:anchorId="65D34D51" wp14:editId="764A1030">
            <wp:simplePos x="0" y="0"/>
            <wp:positionH relativeFrom="column">
              <wp:posOffset>2750820</wp:posOffset>
            </wp:positionH>
            <wp:positionV relativeFrom="paragraph">
              <wp:posOffset>1137285</wp:posOffset>
            </wp:positionV>
            <wp:extent cx="2628900" cy="1533525"/>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125BF3A2" wp14:editId="6C9E3A6E">
            <wp:simplePos x="0" y="0"/>
            <wp:positionH relativeFrom="column">
              <wp:posOffset>127635</wp:posOffset>
            </wp:positionH>
            <wp:positionV relativeFrom="paragraph">
              <wp:posOffset>1137285</wp:posOffset>
            </wp:positionV>
            <wp:extent cx="2622550" cy="1533525"/>
            <wp:effectExtent l="0" t="0" r="635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7B51B8">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7B51B8">
        <w:t xml:space="preserve"> Para simplificar el análisis de los datos, se tomó como punto de corte los 60 años, de forma que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B026A8" w:rsidRDefault="00B026A8" w:rsidP="00AA12F8">
      <w:r>
        <w:rPr>
          <w:noProof/>
          <w:lang w:eastAsia="es-ES"/>
        </w:rPr>
        <w:pict>
          <v:roundrect id="_x0000_s1034" style="position:absolute;left:0;text-align:left;margin-left:225.1pt;margin-top:128.3pt;width:201.2pt;height:114.75pt;z-index:251672576" arcsize="10923f" fillcolor="#726056 [3205]" strokecolor="#ac956e [3206]" strokeweight="3pt">
            <v:shadow on="t" type="perspective" color="#382f2a [1605]" opacity=".5" offset="1pt" offset2="-1pt"/>
            <v:textbox style="mso-next-textbox:#_x0000_s1034">
              <w:txbxContent>
                <w:p w:rsidR="007E0057" w:rsidRPr="001423BF" w:rsidRDefault="007E0057" w:rsidP="004B37C8">
                  <w:pPr>
                    <w:pStyle w:val="Epgrafe"/>
                  </w:pPr>
                  <w:bookmarkStart w:id="20" w:name="_Toc510797555"/>
                  <w:r w:rsidRPr="001423BF">
                    <w:t xml:space="preserve">Figura </w:t>
                  </w:r>
                  <w:fldSimple w:instr=" SEQ Figura \* ARABIC ">
                    <w:r w:rsidRPr="004B37C8">
                      <w:t>1</w:t>
                    </w:r>
                  </w:fldSimple>
                  <w:r>
                    <w:t xml:space="preserve">. </w:t>
                  </w:r>
                  <w:r w:rsidRPr="001423BF">
                    <w:t>Proporción de hombres y mujeres en la muestra.</w:t>
                  </w:r>
                  <w:bookmarkEnd w:id="20"/>
                </w:p>
                <w:p w:rsidR="007E0057" w:rsidRPr="001423BF" w:rsidRDefault="007E0057" w:rsidP="004B37C8">
                  <w:pPr>
                    <w:pStyle w:val="Epgrafe"/>
                  </w:pPr>
                  <w:bookmarkStart w:id="21" w:name="_Toc510797556"/>
                  <w:r w:rsidRPr="001423BF">
                    <w:t xml:space="preserve">Figura </w:t>
                  </w:r>
                  <w:fldSimple w:instr=" SEQ Figura \* ARABIC ">
                    <w:r>
                      <w:rPr>
                        <w:noProof/>
                      </w:rPr>
                      <w:t>2</w:t>
                    </w:r>
                  </w:fldSimple>
                  <w:r w:rsidRPr="001423BF">
                    <w:t>. Proporción de pacientes mayores y menores de 60 años.</w:t>
                  </w:r>
                  <w:bookmarkEnd w:id="21"/>
                </w:p>
                <w:p w:rsidR="007E0057" w:rsidRPr="004B37C8" w:rsidRDefault="007E0057" w:rsidP="004B37C8">
                  <w:pPr>
                    <w:pStyle w:val="Epgrafe"/>
                  </w:pPr>
                  <w:bookmarkStart w:id="22" w:name="_Toc510797557"/>
                  <w:r w:rsidRPr="004B37C8">
                    <w:t xml:space="preserve">Figura </w:t>
                  </w:r>
                  <w:fldSimple w:instr=" SEQ Figura \* ARABIC ">
                    <w:r w:rsidRPr="004B37C8">
                      <w:rPr>
                        <w:noProof/>
                      </w:rPr>
                      <w:t>3</w:t>
                    </w:r>
                  </w:fldSimple>
                  <w:r w:rsidRPr="004B37C8">
                    <w:rPr>
                      <w:sz w:val="28"/>
                      <w:szCs w:val="22"/>
                    </w:rPr>
                    <w:t xml:space="preserve">. </w:t>
                  </w:r>
                  <w:r w:rsidRPr="004B37C8">
                    <w:t>Proporción de pacientes que presentan algún tipo de comorbilidad.</w:t>
                  </w:r>
                  <w:bookmarkEnd w:id="22"/>
                </w:p>
                <w:p w:rsidR="007E0057" w:rsidRPr="00801DF3" w:rsidRDefault="007E0057" w:rsidP="00801DF3">
                  <w:pPr>
                    <w:spacing w:after="0" w:line="240" w:lineRule="auto"/>
                    <w:rPr>
                      <w:i/>
                      <w:color w:val="FFFFFF" w:themeColor="background1"/>
                    </w:rPr>
                  </w:pPr>
                </w:p>
              </w:txbxContent>
            </v:textbox>
            <w10:wrap type="square"/>
          </v:roundrect>
        </w:pict>
      </w:r>
      <w:r>
        <w:rPr>
          <w:noProof/>
          <w:lang w:eastAsia="es-ES"/>
        </w:rPr>
        <w:drawing>
          <wp:anchor distT="0" distB="0" distL="114300" distR="114300" simplePos="0" relativeHeight="251671552" behindDoc="0" locked="0" layoutInCell="1" allowOverlap="1" wp14:anchorId="527BE822" wp14:editId="76855456">
            <wp:simplePos x="0" y="0"/>
            <wp:positionH relativeFrom="column">
              <wp:posOffset>127635</wp:posOffset>
            </wp:positionH>
            <wp:positionV relativeFrom="paragraph">
              <wp:posOffset>1562735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F066FA" w:rsidRPr="001423BF" w:rsidRDefault="00D56B90" w:rsidP="00977FEA">
      <w:pPr>
        <w:rPr>
          <w:b/>
          <w:i/>
          <w:color w:val="FFFFFF" w:themeColor="background1"/>
        </w:rPr>
      </w:pPr>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w:t>
      </w:r>
      <w:r w:rsidR="00D266FC">
        <w:lastRenderedPageBreak/>
        <w:t>descubri</w:t>
      </w:r>
      <w:r w:rsidR="00977FEA">
        <w:t xml:space="preserve">eron la presencia del aneurisma. Entre </w:t>
      </w:r>
      <w:r w:rsidR="00066356">
        <w:t xml:space="preserve">las </w:t>
      </w:r>
      <w:r w:rsidR="00B5074C">
        <w:t>circunstancias</w:t>
      </w:r>
      <w:r w:rsidR="00066356">
        <w:t xml:space="preserve"> </w:t>
      </w:r>
      <w:r w:rsidR="00B5074C">
        <w:t xml:space="preserve">más relevantes </w:t>
      </w:r>
      <w:r w:rsidR="00066356">
        <w:t>que motivaro</w:t>
      </w:r>
      <w:r w:rsidR="00B5074C">
        <w:t>n el diagnóstico</w:t>
      </w:r>
      <w:r w:rsidR="00977FEA">
        <w:t xml:space="preserve"> del aneurisma encontramos: </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casos. La primera paciente tenía una hermana con múltiples aneurismas y secuelas debidas a HSA. La segunda tenía una tía materna intervenida endovascularmente por aneurismas cerebrales y su madre había fallecido por HSA según autopsia.</w:t>
      </w:r>
    </w:p>
    <w:p w:rsidR="00F066FA" w:rsidRDefault="00F066FA" w:rsidP="00E3729E">
      <w:pPr>
        <w:pStyle w:val="Prrafodelista"/>
        <w:numPr>
          <w:ilvl w:val="0"/>
          <w:numId w:val="1"/>
        </w:numPr>
      </w:pPr>
      <w:r>
        <w:t>Amnesia</w:t>
      </w:r>
      <w:r w:rsidR="00157CEE">
        <w:t xml:space="preserve"> 3 pacientes. En un caso fue de tipo disociativa y en los otros 2 fue amnesia global transitoria.</w:t>
      </w:r>
    </w:p>
    <w:p w:rsidR="00F023D6" w:rsidRDefault="00F023D6" w:rsidP="00E3729E">
      <w:pPr>
        <w:pStyle w:val="Prrafodelista"/>
        <w:numPr>
          <w:ilvl w:val="0"/>
          <w:numId w:val="1"/>
        </w:numPr>
      </w:pPr>
      <w:r>
        <w:t>Enfermedad ateroesclerótica en carótida interna en 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 y en el resto de tipo isquémico.</w:t>
      </w:r>
    </w:p>
    <w:p w:rsidR="00B026A8" w:rsidRDefault="000E1BC9" w:rsidP="00B026A8">
      <w:pPr>
        <w:pStyle w:val="Prrafodelista"/>
        <w:numPr>
          <w:ilvl w:val="0"/>
          <w:numId w:val="1"/>
        </w:numPr>
      </w:pPr>
      <w:r>
        <w:rPr>
          <w:noProof/>
          <w:lang w:eastAsia="es-ES"/>
        </w:rPr>
        <w:drawing>
          <wp:anchor distT="0" distB="0" distL="114300" distR="114300" simplePos="0" relativeHeight="251674624" behindDoc="0" locked="0" layoutInCell="1" allowOverlap="1" wp14:anchorId="081A887F" wp14:editId="7CF328EE">
            <wp:simplePos x="0" y="0"/>
            <wp:positionH relativeFrom="column">
              <wp:posOffset>2569845</wp:posOffset>
            </wp:positionH>
            <wp:positionV relativeFrom="paragraph">
              <wp:posOffset>558165</wp:posOffset>
            </wp:positionV>
            <wp:extent cx="2698115" cy="1571625"/>
            <wp:effectExtent l="0" t="0" r="6985" b="0"/>
            <wp:wrapSquare wrapText="bothSides"/>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14:anchorId="0FBEB1E6" wp14:editId="21BB7A35">
            <wp:simplePos x="0" y="0"/>
            <wp:positionH relativeFrom="column">
              <wp:posOffset>-116205</wp:posOffset>
            </wp:positionH>
            <wp:positionV relativeFrom="paragraph">
              <wp:posOffset>562610</wp:posOffset>
            </wp:positionV>
            <wp:extent cx="2695575" cy="1576070"/>
            <wp:effectExtent l="0" t="0" r="0" b="5080"/>
            <wp:wrapSquare wrapText="bothSides"/>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sidR="00977FEA">
        <w:t>Síncope</w:t>
      </w:r>
      <w:r w:rsidR="007B2268">
        <w:t xml:space="preserve"> en 2 pacientes. En uno de ellos los episodios de síncope se precedían de cefalea y en ocasiones se acompañaban de vómitos, palidez cutánea y diaforesis. </w:t>
      </w:r>
    </w:p>
    <w:p w:rsidR="000E1BC9" w:rsidRDefault="00F9739C" w:rsidP="000E1BC9">
      <w:r>
        <w:rPr>
          <w:noProof/>
          <w:lang w:eastAsia="es-ES"/>
        </w:rPr>
        <w:pict>
          <v:roundrect id="_x0000_s1035" style="position:absolute;left:0;text-align:left;margin-left:54.75pt;margin-top:131.35pt;width:147.75pt;height:153.75pt;z-index:251676672" arcsize="10923f" fillcolor="#726056 [3205]" strokecolor="#ac956e [3206]" strokeweight="3pt">
            <v:shadow on="t" type="perspective" color="#382f2a [1605]" opacity=".5" offset="1pt" offset2="-1pt"/>
            <v:textbox>
              <w:txbxContent>
                <w:p w:rsidR="00F9739C" w:rsidRDefault="00F9739C" w:rsidP="00F9739C">
                  <w:pPr>
                    <w:pStyle w:val="Epgrafe"/>
                  </w:pPr>
                  <w:bookmarkStart w:id="23" w:name="_Toc510797558"/>
                  <w:r>
                    <w:t>Figura 4. Proporción de pacientes cuya clínica neurológica condujo al diagnóstico.</w:t>
                  </w:r>
                  <w:bookmarkEnd w:id="23"/>
                </w:p>
                <w:p w:rsidR="00F9739C" w:rsidRDefault="00F9739C" w:rsidP="00F9739C">
                  <w:pPr>
                    <w:pStyle w:val="Epgrafe"/>
                  </w:pPr>
                  <w:bookmarkStart w:id="24" w:name="_Toc510797559"/>
                  <w:r>
                    <w:t>Figura 5.Proporción de consumo de alcohol en la muestra.</w:t>
                  </w:r>
                  <w:bookmarkEnd w:id="24"/>
                </w:p>
                <w:p w:rsidR="00F9739C" w:rsidRPr="00F9739C" w:rsidRDefault="00F9739C" w:rsidP="00F9739C">
                  <w:pPr>
                    <w:pStyle w:val="Epgrafe"/>
                  </w:pPr>
                  <w:bookmarkStart w:id="25" w:name="_Toc510797560"/>
                  <w:r>
                    <w:t>Figura 6. Distribución del tamaño de los aneurismas.</w:t>
                  </w:r>
                  <w:bookmarkEnd w:id="25"/>
                </w:p>
              </w:txbxContent>
            </v:textbox>
            <w10:wrap type="square"/>
          </v:roundrect>
        </w:pict>
      </w:r>
      <w:r w:rsidR="00F56D6A">
        <w:rPr>
          <w:noProof/>
          <w:lang w:eastAsia="es-ES"/>
        </w:rPr>
        <w:drawing>
          <wp:anchor distT="0" distB="0" distL="114300" distR="114300" simplePos="0" relativeHeight="251675648" behindDoc="0" locked="0" layoutInCell="1" allowOverlap="1">
            <wp:simplePos x="0" y="0"/>
            <wp:positionH relativeFrom="column">
              <wp:posOffset>-2810510</wp:posOffset>
            </wp:positionH>
            <wp:positionV relativeFrom="paragraph">
              <wp:posOffset>1610995</wp:posOffset>
            </wp:positionV>
            <wp:extent cx="3450590" cy="2009775"/>
            <wp:effectExtent l="0" t="0" r="0" b="0"/>
            <wp:wrapSquare wrapText="bothSides"/>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w:t>
      </w:r>
      <w:r w:rsidR="001A776F">
        <w:lastRenderedPageBreak/>
        <w:t>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6B6F18" w:rsidRDefault="0032737D" w:rsidP="007B51B8">
      <w:r>
        <w:rPr>
          <w:noProof/>
          <w:lang w:eastAsia="es-ES"/>
        </w:rPr>
        <w:drawing>
          <wp:anchor distT="0" distB="0" distL="114300" distR="114300" simplePos="0" relativeHeight="251678720" behindDoc="0" locked="0" layoutInCell="1" allowOverlap="1" wp14:anchorId="7142DEF6" wp14:editId="2D7070C4">
            <wp:simplePos x="0" y="0"/>
            <wp:positionH relativeFrom="column">
              <wp:posOffset>4099560</wp:posOffset>
            </wp:positionH>
            <wp:positionV relativeFrom="paragraph">
              <wp:posOffset>724535</wp:posOffset>
            </wp:positionV>
            <wp:extent cx="2362200" cy="1676400"/>
            <wp:effectExtent l="0" t="0" r="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00F80935">
        <w:t>El 86.</w:t>
      </w:r>
      <w:r w:rsidR="00214852">
        <w:t>6</w:t>
      </w:r>
      <w:r w:rsidR="007E5172">
        <w:t>%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1305AE" w:rsidRDefault="00E04F71" w:rsidP="006B6F18">
      <w:pPr>
        <w:spacing w:after="0" w:line="240" w:lineRule="auto"/>
      </w:pPr>
      <w:r>
        <w:rPr>
          <w:noProof/>
          <w:lang w:eastAsia="es-ES"/>
        </w:rPr>
        <w:pict>
          <v:roundrect id="_x0000_s1036" style="position:absolute;left:0;text-align:left;margin-left:329.55pt;margin-top:121.75pt;width:193.5pt;height:71.25pt;z-index:251680768" arcsize="10923f" fillcolor="#726056 [3205]" strokecolor="#ac956e [3206]" strokeweight="3pt">
            <v:shadow on="t" type="perspective" color="#382f2a [1605]" opacity=".5" offset="1pt" offset2="-1pt"/>
            <v:textbox style="mso-next-textbox:#_x0000_s1036">
              <w:txbxContent>
                <w:p w:rsidR="00E04F71" w:rsidRDefault="00E04F71" w:rsidP="00E04F71">
                  <w:pPr>
                    <w:pStyle w:val="Epgrafe"/>
                  </w:pPr>
                  <w:bookmarkStart w:id="26" w:name="_Toc510797561"/>
                  <w:r>
                    <w:t>Figura 7. Localizaciones de los aneurismas</w:t>
                  </w:r>
                  <w:bookmarkEnd w:id="26"/>
                </w:p>
                <w:p w:rsidR="00E04F71" w:rsidRPr="00E04F71" w:rsidRDefault="00E04F71" w:rsidP="00E04F71">
                  <w:pPr>
                    <w:pStyle w:val="Epgrafe"/>
                  </w:pPr>
                  <w:bookmarkStart w:id="27" w:name="_Toc510797562"/>
                  <w:r>
                    <w:t>Figura 8. Porcentajes de oclusión de los aneurismas</w:t>
                  </w:r>
                  <w:bookmarkEnd w:id="27"/>
                </w:p>
              </w:txbxContent>
            </v:textbox>
            <w10:wrap type="square"/>
          </v:roundrect>
        </w:pict>
      </w:r>
      <w:r w:rsidR="000E2038">
        <w:rPr>
          <w:noProof/>
          <w:lang w:eastAsia="es-ES"/>
        </w:rPr>
        <w:drawing>
          <wp:anchor distT="0" distB="0" distL="114300" distR="114300" simplePos="0" relativeHeight="251679744" behindDoc="0" locked="0" layoutInCell="1" allowOverlap="1" wp14:anchorId="1B74EDC9" wp14:editId="6FD30B0A">
            <wp:simplePos x="0" y="0"/>
            <wp:positionH relativeFrom="column">
              <wp:posOffset>3810</wp:posOffset>
            </wp:positionH>
            <wp:positionV relativeFrom="paragraph">
              <wp:posOffset>3175</wp:posOffset>
            </wp:positionV>
            <wp:extent cx="4095750" cy="2393315"/>
            <wp:effectExtent l="0" t="0" r="0" b="6985"/>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0325ED" w:rsidRDefault="00436C0A" w:rsidP="007B51B8">
      <w:r>
        <w:rPr>
          <w:noProof/>
          <w:lang w:eastAsia="es-ES"/>
        </w:rPr>
        <w:drawing>
          <wp:anchor distT="0" distB="0" distL="114300" distR="114300" simplePos="0" relativeHeight="251681792" behindDoc="0" locked="0" layoutInCell="1" allowOverlap="1" wp14:anchorId="666A0159" wp14:editId="0BC2AFCB">
            <wp:simplePos x="0" y="0"/>
            <wp:positionH relativeFrom="margin">
              <wp:posOffset>3166110</wp:posOffset>
            </wp:positionH>
            <wp:positionV relativeFrom="margin">
              <wp:posOffset>5248910</wp:posOffset>
            </wp:positionV>
            <wp:extent cx="2762250" cy="1847850"/>
            <wp:effectExtent l="0" t="0" r="0" b="0"/>
            <wp:wrapSquare wrapText="bothSides"/>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576522">
        <w:t>En relación a la técnica endovascular, en el 26.7% se utilizaron</w:t>
      </w:r>
      <w:r w:rsidR="001A776F">
        <w:t xml:space="preserve"> únicamente</w:t>
      </w:r>
      <w:r w:rsidR="00576522">
        <w:t xml:space="preserve"> coils y en el 73.3% de los casos restantes se implantó un </w:t>
      </w:r>
      <w:proofErr w:type="spellStart"/>
      <w:r w:rsidR="00576522">
        <w:t>stent</w:t>
      </w:r>
      <w:proofErr w:type="spellEnd"/>
      <w:r w:rsidR="00576522">
        <w:t xml:space="preserve"> empleando la técnica de </w:t>
      </w:r>
      <w:proofErr w:type="spellStart"/>
      <w:r w:rsidR="00576522">
        <w:t>remodeling</w:t>
      </w:r>
      <w:proofErr w:type="spellEnd"/>
      <w:r w:rsidR="00576522">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ser intervenido de nuevo.</w:t>
      </w:r>
      <w:r w:rsidR="00C609B5">
        <w:t xml:space="preserve"> En otro caso también se llevó a cabo una reintervención, aunque el motivo de ésta no estaba recogido en la historia clínica.</w:t>
      </w:r>
    </w:p>
    <w:p w:rsidR="00F336CE" w:rsidRDefault="003C32BC" w:rsidP="00F336CE">
      <w:pPr>
        <w:pStyle w:val="Ttulo2"/>
      </w:pPr>
      <w:bookmarkStart w:id="28" w:name="_Toc510724609"/>
      <w:r>
        <w:t>Descripción</w:t>
      </w:r>
      <w:r w:rsidR="00F336CE">
        <w:t xml:space="preserve"> de las complicaciones</w:t>
      </w:r>
      <w:bookmarkEnd w:id="28"/>
    </w:p>
    <w:p w:rsidR="00B70062" w:rsidRDefault="00B70062" w:rsidP="00B70062">
      <w:r>
        <w:t>Hubo complicaciones en un 40% 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436C0A" w:rsidP="00E3729E">
      <w:pPr>
        <w:pStyle w:val="Prrafodelista"/>
        <w:numPr>
          <w:ilvl w:val="0"/>
          <w:numId w:val="1"/>
        </w:numPr>
      </w:pPr>
      <w:r>
        <w:rPr>
          <w:noProof/>
          <w:lang w:eastAsia="es-ES"/>
        </w:rPr>
        <w:pict>
          <v:roundrect id="_x0000_s1037" style="position:absolute;left:0;text-align:left;margin-left:256.8pt;margin-top:37.65pt;width:203.25pt;height:24pt;z-index:251682816" arcsize="10923f" fillcolor="#726056 [3205]" strokecolor="#ac956e [3206]" strokeweight="3pt">
            <v:shadow on="t" type="perspective" color="#382f2a [1605]" opacity=".5" offset="1pt" offset2="-1pt"/>
            <v:textbox>
              <w:txbxContent>
                <w:p w:rsidR="00FE38B2" w:rsidRDefault="00FE38B2" w:rsidP="00FE38B2">
                  <w:pPr>
                    <w:pStyle w:val="Epgrafe"/>
                  </w:pPr>
                  <w:bookmarkStart w:id="29" w:name="_Toc510797563"/>
                  <w:r>
                    <w:t>Figura 9. Proporción de complicaciones</w:t>
                  </w:r>
                  <w:bookmarkEnd w:id="29"/>
                </w:p>
              </w:txbxContent>
            </v:textbox>
            <w10:wrap type="square"/>
          </v:roundrect>
        </w:pict>
      </w:r>
      <w:r w:rsidR="00B70062">
        <w:t>HSA</w:t>
      </w:r>
      <w:r w:rsidR="008428FC">
        <w:t xml:space="preserve">: en 2 casos. En el primero, a las 48 horas después del alta el paciente comenzó con cefalea brusca y en TC se visualizó la HSA. Este paciente resultó ser alérgico a AAS. En el </w:t>
      </w:r>
      <w:r w:rsidR="008428FC">
        <w:lastRenderedPageBreak/>
        <w:t xml:space="preserve">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E3729E">
      <w:pPr>
        <w:pStyle w:val="Prrafodelista"/>
        <w:numPr>
          <w:ilvl w:val="0"/>
          <w:numId w:val="1"/>
        </w:numPr>
      </w:pPr>
      <w:r>
        <w:t>Pérdida transitoria de agudeza visual</w:t>
      </w:r>
      <w:r w:rsidR="00FA0CEB">
        <w:t>: en 3 de los 30 casos. En un caso la pérdida de agudeza visual ocurrió tras la intervención y en los otros dos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017FB6" w:rsidP="00C609B5">
      <w:pPr>
        <w:pStyle w:val="Ttulo2"/>
      </w:pPr>
      <w:bookmarkStart w:id="30" w:name="_Toc510724610"/>
      <w:r>
        <w:t>Asociaciones encontradas</w:t>
      </w:r>
      <w:bookmarkEnd w:id="30"/>
    </w:p>
    <w:p w:rsidR="009767D4" w:rsidRDefault="0067534C" w:rsidP="00017FB6">
      <w:r>
        <w:t xml:space="preserve">Al analizar los datos recogidos se relacionaron entre sí, </w:t>
      </w:r>
      <w:r w:rsidR="00B95847">
        <w:t>encontramos</w:t>
      </w:r>
      <w:r>
        <w:t xml:space="preserve"> las siguientes asociaciones significativas:</w:t>
      </w:r>
    </w:p>
    <w:tbl>
      <w:tblPr>
        <w:tblStyle w:val="Cuadrculamedia3-nfasis2"/>
        <w:tblpPr w:leftFromText="141" w:rightFromText="141" w:vertAnchor="page" w:horzAnchor="page" w:tblpX="4858" w:tblpY="11941"/>
        <w:tblW w:w="6382" w:type="dxa"/>
        <w:tblLook w:val="04A0" w:firstRow="1" w:lastRow="0" w:firstColumn="1" w:lastColumn="0" w:noHBand="0" w:noVBand="1"/>
      </w:tblPr>
      <w:tblGrid>
        <w:gridCol w:w="2607"/>
        <w:gridCol w:w="1667"/>
        <w:gridCol w:w="1358"/>
        <w:gridCol w:w="750"/>
      </w:tblGrid>
      <w:tr w:rsidR="00AD7442" w:rsidTr="00AD7442">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0" w:type="auto"/>
          </w:tcPr>
          <w:p w:rsidR="00AD7442" w:rsidRPr="00C04C42" w:rsidRDefault="00AD7442" w:rsidP="00AD7442">
            <w:pPr>
              <w:pStyle w:val="Prrafodelista"/>
              <w:ind w:left="0"/>
              <w:jc w:val="left"/>
            </w:pPr>
            <w:r>
              <w:rPr>
                <w:i/>
                <w:iCs/>
              </w:rPr>
              <w:t>Tabla 1.</w:t>
            </w:r>
          </w:p>
          <w:p w:rsidR="00AD7442" w:rsidRDefault="00AD7442" w:rsidP="00AD7442">
            <w:pPr>
              <w:pStyle w:val="Prrafodelista"/>
              <w:ind w:left="0"/>
              <w:jc w:val="center"/>
            </w:pPr>
          </w:p>
        </w:tc>
        <w:tc>
          <w:tcPr>
            <w:tcW w:w="0" w:type="auto"/>
          </w:tcPr>
          <w:p w:rsidR="00AD7442" w:rsidRDefault="00AD7442" w:rsidP="00AD7442">
            <w:pPr>
              <w:pStyle w:val="Prrafodelista"/>
              <w:ind w:left="0"/>
              <w:jc w:val="center"/>
              <w:cnfStyle w:val="100000000000" w:firstRow="1" w:lastRow="0" w:firstColumn="0" w:lastColumn="0" w:oddVBand="0" w:evenVBand="0" w:oddHBand="0" w:evenHBand="0" w:firstRowFirstColumn="0" w:firstRowLastColumn="0" w:lastRowFirstColumn="0" w:lastRowLastColumn="0"/>
            </w:pPr>
            <w:r>
              <w:t>No fumadores</w:t>
            </w:r>
          </w:p>
        </w:tc>
        <w:tc>
          <w:tcPr>
            <w:tcW w:w="0" w:type="auto"/>
          </w:tcPr>
          <w:p w:rsidR="00AD7442" w:rsidRDefault="00AD7442" w:rsidP="00AD7442">
            <w:pPr>
              <w:pStyle w:val="Prrafodelista"/>
              <w:ind w:left="0"/>
              <w:jc w:val="center"/>
              <w:cnfStyle w:val="100000000000" w:firstRow="1" w:lastRow="0" w:firstColumn="0" w:lastColumn="0" w:oddVBand="0" w:evenVBand="0" w:oddHBand="0" w:evenHBand="0" w:firstRowFirstColumn="0" w:firstRowLastColumn="0" w:lastRowFirstColumn="0" w:lastRowLastColumn="0"/>
            </w:pPr>
            <w:r>
              <w:t>Fumadores</w:t>
            </w:r>
          </w:p>
        </w:tc>
        <w:tc>
          <w:tcPr>
            <w:tcW w:w="0" w:type="auto"/>
          </w:tcPr>
          <w:p w:rsidR="00AD7442" w:rsidRDefault="00AD7442" w:rsidP="00AD7442">
            <w:pPr>
              <w:pStyle w:val="Prrafodelista"/>
              <w:ind w:left="0"/>
              <w:jc w:val="center"/>
              <w:cnfStyle w:val="100000000000" w:firstRow="1" w:lastRow="0" w:firstColumn="0" w:lastColumn="0" w:oddVBand="0" w:evenVBand="0" w:oddHBand="0" w:evenHBand="0" w:firstRowFirstColumn="0" w:firstRowLastColumn="0" w:lastRowFirstColumn="0" w:lastRowLastColumn="0"/>
            </w:pPr>
            <w:r>
              <w:t>Total</w:t>
            </w:r>
          </w:p>
        </w:tc>
      </w:tr>
      <w:tr w:rsidR="00AD7442" w:rsidTr="00AD7442">
        <w:trPr>
          <w:cnfStyle w:val="000000100000" w:firstRow="0" w:lastRow="0" w:firstColumn="0" w:lastColumn="0" w:oddVBand="0" w:evenVBand="0" w:oddHBand="1" w:evenHBand="0" w:firstRowFirstColumn="0" w:firstRowLastColumn="0" w:lastRowFirstColumn="0" w:lastRowLastColumn="0"/>
          <w:cantSplit/>
          <w:trHeight w:val="31"/>
        </w:trPr>
        <w:tc>
          <w:tcPr>
            <w:cnfStyle w:val="001000000000" w:firstRow="0" w:lastRow="0" w:firstColumn="1" w:lastColumn="0" w:oddVBand="0" w:evenVBand="0" w:oddHBand="0" w:evenHBand="0" w:firstRowFirstColumn="0" w:firstRowLastColumn="0" w:lastRowFirstColumn="0" w:lastRowLastColumn="0"/>
            <w:tcW w:w="0" w:type="auto"/>
          </w:tcPr>
          <w:p w:rsidR="00AD7442" w:rsidRPr="007A51F4" w:rsidRDefault="00AD7442" w:rsidP="00AD7442">
            <w:pPr>
              <w:pStyle w:val="Prrafodelista"/>
              <w:ind w:left="0"/>
              <w:jc w:val="center"/>
              <w:rPr>
                <w:b w:val="0"/>
              </w:rPr>
            </w:pPr>
            <w:r w:rsidRPr="007A51F4">
              <w:rPr>
                <w:b w:val="0"/>
              </w:rPr>
              <w:t>Edad menor o igual a 60</w:t>
            </w:r>
          </w:p>
          <w:p w:rsidR="00AD7442" w:rsidRPr="00AA4566" w:rsidRDefault="00AD7442" w:rsidP="00AD7442">
            <w:pPr>
              <w:pStyle w:val="Prrafodelista"/>
              <w:ind w:left="0"/>
              <w:jc w:val="center"/>
              <w:rPr>
                <w:b w:val="0"/>
                <w:color w:val="AD0101" w:themeColor="accent1"/>
              </w:rPr>
            </w:pPr>
            <w:r w:rsidRPr="00AA4566">
              <w:rPr>
                <w:b w:val="0"/>
                <w:color w:val="AD0101" w:themeColor="accent1"/>
              </w:rPr>
              <w:t>%dentro de edad</w:t>
            </w:r>
          </w:p>
        </w:tc>
        <w:tc>
          <w:tcPr>
            <w:tcW w:w="0" w:type="auto"/>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2</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11.8%</w:t>
            </w:r>
          </w:p>
        </w:tc>
        <w:tc>
          <w:tcPr>
            <w:tcW w:w="0" w:type="auto"/>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15</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88.2%</w:t>
            </w:r>
          </w:p>
        </w:tc>
        <w:tc>
          <w:tcPr>
            <w:tcW w:w="0" w:type="auto"/>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17</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100%</w:t>
            </w:r>
          </w:p>
        </w:tc>
      </w:tr>
      <w:tr w:rsidR="00AD7442" w:rsidTr="00AD7442">
        <w:trPr>
          <w:cantSplit/>
          <w:trHeight w:val="20"/>
        </w:trPr>
        <w:tc>
          <w:tcPr>
            <w:cnfStyle w:val="001000000000" w:firstRow="0" w:lastRow="0" w:firstColumn="1" w:lastColumn="0" w:oddVBand="0" w:evenVBand="0" w:oddHBand="0" w:evenHBand="0" w:firstRowFirstColumn="0" w:firstRowLastColumn="0" w:lastRowFirstColumn="0" w:lastRowLastColumn="0"/>
            <w:tcW w:w="0" w:type="auto"/>
          </w:tcPr>
          <w:p w:rsidR="00AD7442" w:rsidRDefault="00AD7442" w:rsidP="00AD7442">
            <w:pPr>
              <w:pStyle w:val="Prrafodelista"/>
              <w:ind w:left="0"/>
              <w:jc w:val="center"/>
              <w:rPr>
                <w:b w:val="0"/>
              </w:rPr>
            </w:pPr>
            <w:r w:rsidRPr="007A51F4">
              <w:rPr>
                <w:b w:val="0"/>
              </w:rPr>
              <w:t>Edad mayor de 60</w:t>
            </w:r>
          </w:p>
          <w:p w:rsidR="00AD7442" w:rsidRPr="00AA4566" w:rsidRDefault="00AD7442" w:rsidP="00AD7442">
            <w:pPr>
              <w:pStyle w:val="Prrafodelista"/>
              <w:ind w:left="0"/>
              <w:jc w:val="center"/>
              <w:rPr>
                <w:b w:val="0"/>
                <w:color w:val="AD0101" w:themeColor="accent1"/>
              </w:rPr>
            </w:pPr>
            <w:r w:rsidRPr="00AA4566">
              <w:rPr>
                <w:b w:val="0"/>
                <w:color w:val="AD0101" w:themeColor="accent1"/>
              </w:rPr>
              <w:t>%dentro de edad</w:t>
            </w:r>
          </w:p>
        </w:tc>
        <w:tc>
          <w:tcPr>
            <w:tcW w:w="0" w:type="auto"/>
          </w:tcPr>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7</w:t>
            </w:r>
          </w:p>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53.8%</w:t>
            </w:r>
          </w:p>
        </w:tc>
        <w:tc>
          <w:tcPr>
            <w:tcW w:w="0" w:type="auto"/>
          </w:tcPr>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6</w:t>
            </w:r>
          </w:p>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46.2%</w:t>
            </w:r>
          </w:p>
        </w:tc>
        <w:tc>
          <w:tcPr>
            <w:tcW w:w="0" w:type="auto"/>
          </w:tcPr>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sz w:val="20"/>
              </w:rPr>
            </w:pPr>
            <w:r w:rsidRPr="00807916">
              <w:rPr>
                <w:sz w:val="20"/>
              </w:rPr>
              <w:t>13</w:t>
            </w:r>
          </w:p>
          <w:p w:rsidR="00AD7442" w:rsidRPr="00807916" w:rsidRDefault="00AD7442" w:rsidP="00AD7442">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AD0101" w:themeColor="accent1"/>
                <w:sz w:val="20"/>
              </w:rPr>
            </w:pPr>
            <w:r w:rsidRPr="00807916">
              <w:rPr>
                <w:color w:val="AD0101" w:themeColor="accent1"/>
                <w:sz w:val="20"/>
              </w:rPr>
              <w:t>100%</w:t>
            </w:r>
          </w:p>
        </w:tc>
      </w:tr>
      <w:tr w:rsidR="00AD7442" w:rsidTr="00AD7442">
        <w:trPr>
          <w:cnfStyle w:val="000000100000" w:firstRow="0" w:lastRow="0" w:firstColumn="0" w:lastColumn="0" w:oddVBand="0" w:evenVBand="0" w:oddHBand="1" w:evenHBand="0" w:firstRowFirstColumn="0" w:firstRowLastColumn="0" w:lastRowFirstColumn="0" w:lastRowLastColumn="0"/>
          <w:cantSplit/>
          <w:trHeight w:val="32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AD7442" w:rsidRDefault="00AD7442" w:rsidP="00AD7442">
            <w:pPr>
              <w:pStyle w:val="Prrafodelista"/>
              <w:ind w:left="0"/>
              <w:jc w:val="center"/>
              <w:rPr>
                <w:b w:val="0"/>
              </w:rPr>
            </w:pPr>
            <w:r w:rsidRPr="007A51F4">
              <w:rPr>
                <w:b w:val="0"/>
              </w:rPr>
              <w:t>Total</w:t>
            </w:r>
          </w:p>
          <w:p w:rsidR="00AD7442" w:rsidRPr="00AA4566" w:rsidRDefault="00AD7442" w:rsidP="00AD7442">
            <w:pPr>
              <w:pStyle w:val="Prrafodelista"/>
              <w:ind w:left="0"/>
              <w:jc w:val="center"/>
              <w:rPr>
                <w:b w:val="0"/>
                <w:color w:val="AD0101" w:themeColor="accent1"/>
              </w:rPr>
            </w:pPr>
            <w:r w:rsidRPr="00AA4566">
              <w:rPr>
                <w:b w:val="0"/>
                <w:color w:val="AD0101" w:themeColor="accent1"/>
              </w:rPr>
              <w:t>%total</w:t>
            </w:r>
          </w:p>
        </w:tc>
        <w:tc>
          <w:tcPr>
            <w:tcW w:w="0" w:type="auto"/>
            <w:tcBorders>
              <w:bottom w:val="single" w:sz="4" w:space="0" w:color="auto"/>
            </w:tcBorders>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9</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30%</w:t>
            </w:r>
          </w:p>
        </w:tc>
        <w:tc>
          <w:tcPr>
            <w:tcW w:w="0" w:type="auto"/>
            <w:tcBorders>
              <w:bottom w:val="single" w:sz="4" w:space="0" w:color="auto"/>
            </w:tcBorders>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21</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70%</w:t>
            </w:r>
          </w:p>
        </w:tc>
        <w:tc>
          <w:tcPr>
            <w:tcW w:w="0" w:type="auto"/>
            <w:tcBorders>
              <w:bottom w:val="single" w:sz="4" w:space="0" w:color="auto"/>
            </w:tcBorders>
          </w:tcPr>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sz w:val="20"/>
              </w:rPr>
            </w:pPr>
            <w:r w:rsidRPr="00807916">
              <w:rPr>
                <w:sz w:val="20"/>
              </w:rPr>
              <w:t>30</w:t>
            </w:r>
          </w:p>
          <w:p w:rsidR="00AD7442" w:rsidRPr="00807916" w:rsidRDefault="00AD7442" w:rsidP="00AD7442">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AD0101" w:themeColor="accent1"/>
                <w:sz w:val="20"/>
              </w:rPr>
            </w:pPr>
            <w:r w:rsidRPr="00807916">
              <w:rPr>
                <w:color w:val="AD0101" w:themeColor="accent1"/>
                <w:sz w:val="20"/>
              </w:rPr>
              <w:t>100%</w:t>
            </w:r>
          </w:p>
        </w:tc>
      </w:tr>
      <w:tr w:rsidR="00AD7442" w:rsidTr="00AD7442">
        <w:trPr>
          <w:cantSplit/>
          <w:trHeight w:val="137"/>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bottom w:val="nil"/>
              <w:right w:val="nil"/>
            </w:tcBorders>
            <w:shd w:val="clear" w:color="auto" w:fill="FFFFFF" w:themeFill="background1"/>
          </w:tcPr>
          <w:p w:rsidR="00AD7442" w:rsidRDefault="00AD7442" w:rsidP="00AD7442">
            <w:pPr>
              <w:pStyle w:val="Prrafodelista"/>
              <w:ind w:left="2124"/>
              <w:jc w:val="center"/>
              <w:rPr>
                <w:noProof/>
                <w:lang w:eastAsia="es-ES"/>
              </w:rPr>
            </w:pPr>
          </w:p>
        </w:tc>
      </w:tr>
    </w:tbl>
    <w:p w:rsidR="006B6F18" w:rsidRDefault="00AD7442" w:rsidP="00AD7442">
      <w:pPr>
        <w:pStyle w:val="Prrafodelista"/>
        <w:numPr>
          <w:ilvl w:val="0"/>
          <w:numId w:val="7"/>
        </w:numPr>
      </w:pPr>
      <w:r>
        <w:rPr>
          <w:noProof/>
          <w:lang w:eastAsia="es-ES"/>
        </w:rPr>
        <w:drawing>
          <wp:anchor distT="0" distB="0" distL="114300" distR="114300" simplePos="0" relativeHeight="251661312" behindDoc="0" locked="0" layoutInCell="1" allowOverlap="1" wp14:anchorId="78FFAF20" wp14:editId="03EE553E">
            <wp:simplePos x="0" y="0"/>
            <wp:positionH relativeFrom="margin">
              <wp:posOffset>1541145</wp:posOffset>
            </wp:positionH>
            <wp:positionV relativeFrom="paragraph">
              <wp:posOffset>606425</wp:posOffset>
            </wp:positionV>
            <wp:extent cx="2828925" cy="2190750"/>
            <wp:effectExtent l="0" t="0" r="0" b="0"/>
            <wp:wrapSquare wrapText="bothSides"/>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Pr>
          <w:noProof/>
          <w:lang w:eastAsia="es-ES"/>
        </w:rPr>
        <w:pict>
          <v:roundrect id="_x0000_s1028" style="position:absolute;left:0;text-align:left;margin-left:349.15pt;margin-top:34.95pt;width:104.45pt;height:180pt;z-index:251667456;mso-position-horizontal-relative:text;mso-position-vertical-relative:text" arcsize="10923f" fillcolor="#726056 [3205]" strokecolor="#ac956e [3206]" strokeweight="3pt">
            <v:shadow on="t" type="perspective" color="#382f2a [1605]" opacity=".5" offset="1pt" offset2="-1pt"/>
            <v:textbox style="mso-next-textbox:#_x0000_s1028">
              <w:txbxContent>
                <w:p w:rsidR="007E0057" w:rsidRPr="004B37C8" w:rsidRDefault="007E0057" w:rsidP="009B203D">
                  <w:pPr>
                    <w:pStyle w:val="Epgrafe"/>
                  </w:pPr>
                  <w:bookmarkStart w:id="31" w:name="_Toc510797564"/>
                  <w:r w:rsidRPr="004B37C8">
                    <w:t xml:space="preserve">Figura </w:t>
                  </w:r>
                  <w:r w:rsidR="009B203D">
                    <w:t>10</w:t>
                  </w:r>
                  <w:r w:rsidRPr="004B37C8">
                    <w:t>.</w:t>
                  </w:r>
                  <w:r>
                    <w:t xml:space="preserve"> </w:t>
                  </w:r>
                  <w:r w:rsidRPr="004B37C8">
                    <w:t xml:space="preserve">Diagrama de barras </w:t>
                  </w:r>
                  <w:r w:rsidR="009B203D">
                    <w:t>representativo de</w:t>
                  </w:r>
                  <w:r w:rsidRPr="004B37C8">
                    <w:t xml:space="preserve"> la relació</w:t>
                  </w:r>
                  <w:r w:rsidR="00352497">
                    <w:t xml:space="preserve">n entre </w:t>
                  </w:r>
                  <w:r w:rsidRPr="004B37C8">
                    <w:t>edad y presencia de comorbilidades.</w:t>
                  </w:r>
                  <w:bookmarkEnd w:id="31"/>
                </w:p>
                <w:p w:rsidR="007E0057" w:rsidRPr="00C04C42" w:rsidRDefault="006B6F18" w:rsidP="00AD7442">
                  <w:pPr>
                    <w:pStyle w:val="Epgrafe"/>
                    <w:rPr>
                      <w:i w:val="0"/>
                      <w:sz w:val="24"/>
                    </w:rPr>
                  </w:pPr>
                  <w:bookmarkStart w:id="32" w:name="_Toc510797565"/>
                  <w:r w:rsidRPr="006B6F18">
                    <w:t xml:space="preserve">Tabla </w:t>
                  </w:r>
                  <w:fldSimple w:instr=" SEQ Tabla \* ARABIC ">
                    <w:r w:rsidRPr="006B6F18">
                      <w:t>1</w:t>
                    </w:r>
                  </w:fldSimple>
                  <w:r w:rsidRPr="006B6F18">
                    <w:t>. Tabla cruzada entre hábito tabáquico y la edad.</w:t>
                  </w:r>
                  <w:bookmarkEnd w:id="32"/>
                </w:p>
                <w:p w:rsidR="007E0057" w:rsidRPr="00C04C42" w:rsidRDefault="007E0057">
                  <w:pPr>
                    <w:rPr>
                      <w:b/>
                      <w:i/>
                      <w:color w:val="FFFFFF" w:themeColor="background1"/>
                    </w:rPr>
                  </w:pPr>
                </w:p>
              </w:txbxContent>
            </v:textbox>
            <w10:wrap type="square"/>
          </v:roundrect>
        </w:pict>
      </w:r>
      <w:r w:rsidR="001F282C">
        <w:t xml:space="preserve">Se encontró relación con la edad y el hábito tabáquico, y también con la presencia de comorbilidad. </w:t>
      </w:r>
      <w:r w:rsidR="00DF61ED">
        <w:t xml:space="preserve">Los pacientes mayores de 60 años tenían más comorbilidades (únicamente el 11.1% de los pacientes que no tenían comorbilidades eran mayores de 60 años) con una p=0.02. Además encontramos más pacientes expuestos al tabaco entre los </w:t>
      </w:r>
      <w:r w:rsidR="00F61E75">
        <w:t>menores</w:t>
      </w:r>
      <w:r w:rsidR="00DF61ED">
        <w:t xml:space="preserve"> de 60 con una OR</w:t>
      </w:r>
      <w:r w:rsidR="00F61E75">
        <w:t>=0.114 (IC 95% 0.18-0.716</w:t>
      </w:r>
      <w:r w:rsidR="00DF61ED">
        <w:t xml:space="preserve"> p=0.013</w:t>
      </w:r>
      <w:r w:rsidR="00F61E75">
        <w:t>), de forma que los pacientes menores de 60 tienen 8.77 más posibilidades de fumar que los mayores de 60 años</w:t>
      </w:r>
      <w:r w:rsidR="00DF61ED">
        <w:t>.</w:t>
      </w:r>
      <w:r w:rsidR="00B3352E" w:rsidRPr="00B3352E">
        <w:rPr>
          <w:noProof/>
          <w:lang w:eastAsia="es-ES"/>
        </w:rPr>
        <w:t xml:space="preserve"> </w:t>
      </w:r>
    </w:p>
    <w:p w:rsidR="00AD7442" w:rsidRDefault="00AD7442" w:rsidP="00AD7442">
      <w:pPr>
        <w:pStyle w:val="Prrafodelista"/>
      </w:pPr>
    </w:p>
    <w:p w:rsidR="00AD7442" w:rsidRDefault="00191004" w:rsidP="00AD7442">
      <w:pPr>
        <w:pStyle w:val="Prrafodelista"/>
        <w:numPr>
          <w:ilvl w:val="0"/>
          <w:numId w:val="7"/>
        </w:numPr>
      </w:pPr>
      <w:r w:rsidRPr="002C55F2">
        <w:rPr>
          <w:noProof/>
          <w:sz w:val="18"/>
          <w:szCs w:val="18"/>
          <w:lang w:eastAsia="es-ES"/>
        </w:rPr>
        <w:lastRenderedPageBreak/>
        <w:drawing>
          <wp:anchor distT="0" distB="0" distL="114300" distR="114300" simplePos="0" relativeHeight="251687936" behindDoc="0" locked="0" layoutInCell="1" allowOverlap="1" wp14:anchorId="296F374A" wp14:editId="2AA8DE76">
            <wp:simplePos x="0" y="0"/>
            <wp:positionH relativeFrom="column">
              <wp:posOffset>2994025</wp:posOffset>
            </wp:positionH>
            <wp:positionV relativeFrom="paragraph">
              <wp:posOffset>2724785</wp:posOffset>
            </wp:positionV>
            <wp:extent cx="3190875" cy="1990725"/>
            <wp:effectExtent l="0" t="0" r="0" b="0"/>
            <wp:wrapTopAndBottom/>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sidR="00F87F3E">
        <w:rPr>
          <w:noProof/>
          <w:lang w:eastAsia="es-ES"/>
        </w:rPr>
        <w:drawing>
          <wp:anchor distT="0" distB="0" distL="114300" distR="114300" simplePos="0" relativeHeight="251685888" behindDoc="0" locked="0" layoutInCell="1" allowOverlap="1" wp14:anchorId="2B6B20C5" wp14:editId="47D4FF7B">
            <wp:simplePos x="0" y="0"/>
            <wp:positionH relativeFrom="margin">
              <wp:posOffset>2994660</wp:posOffset>
            </wp:positionH>
            <wp:positionV relativeFrom="paragraph">
              <wp:posOffset>867410</wp:posOffset>
            </wp:positionV>
            <wp:extent cx="3190875" cy="1857375"/>
            <wp:effectExtent l="0" t="0" r="0" b="0"/>
            <wp:wrapTopAndBottom/>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5B305F">
        <w:t>Encontramos que los hombres tenían 1.89 veces más probabilidad de beber alcohol que las mujeres con una p=0.005. Además, las mujeres presentaban clínica neurológica al diagnóstico con una OR=5.31</w:t>
      </w:r>
      <w:r w:rsidR="00494357">
        <w:t xml:space="preserve"> (IC 95% 0.96-29.29), es decir tienen 5.31 veces más posibilidades de presentar clínica que los hombres con </w:t>
      </w:r>
      <w:r w:rsidR="005B305F">
        <w:t>una p=0.046.</w:t>
      </w:r>
      <w:r w:rsidR="00F87F3E" w:rsidRPr="00F87F3E">
        <w:rPr>
          <w:noProof/>
          <w:lang w:eastAsia="es-ES"/>
        </w:rPr>
        <w:t xml:space="preserve"> </w:t>
      </w:r>
    </w:p>
    <w:p w:rsidR="005B305F" w:rsidRDefault="00191004" w:rsidP="00756AFA">
      <w:pPr>
        <w:pStyle w:val="Prrafodelista"/>
        <w:numPr>
          <w:ilvl w:val="0"/>
          <w:numId w:val="7"/>
        </w:numPr>
      </w:pPr>
      <w:r>
        <w:rPr>
          <w:noProof/>
        </w:rPr>
        <w:pict>
          <v:roundrect id="Rectángulo redondeado 2" o:spid="_x0000_s1038" style="position:absolute;left:0;text-align:left;margin-left:-16.95pt;margin-top:158.95pt;width:246pt;height:2in;z-index:251689984;visibility:visible;mso-wrap-distance-left:9pt;mso-wrap-distance-top:0;mso-wrap-distance-right:9pt;mso-wrap-distance-bottom:0;mso-position-horizontal-relative:text;mso-position-vertical-relative:text;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9twIAAM4FAAAOAAAAZHJzL2Uyb0RvYy54bWysVNtu1DAQfUfiHyy/01x2u5tGzVZVSxFS&#10;gYqCePbaTmJw7GA7my1/w7fwY4wnu8sWJCRQ8xB5PJ4zM2cu5xfbTpONdF5ZU9HsJKVEGm6FMk1F&#10;P364eVFQ4gMzgmlrZEUfpKcXq+fPzse+lLltrRbSEQAxvhz7irYh9GWSeN7KjvkT20sDytq6jgUQ&#10;XZMIx0ZA73SSp+kiGa0TvbNceg+315OSrhC/riUP7+ray0B0RSG2gH+H/3X8J6tzVjaO9a3iuzDY&#10;f0TRMWXA6QHqmgVGBqf+gOoUd9bbOpxw2yW2rhWXmANkk6W/ZXPfsl5iLkCO7w80+aeD5W83d44o&#10;UdH8lBLDOqjRe2Dtx3fTDNoSJ4U1QjJhSR7JGntfgs19f+diur6/tfyLJ8Zetcw08tI5O7bwHELM&#10;4vvkkUEUPJiS9fjGCnDFhmCRt23tuggIjJAtlufhUB65DYTDZV5kxXIBYXLQ5fNZMU+xgAkr9+a9&#10;8+GVtB2Jh4o6OxgR00EfbHPrAxZJ7DJl4jMldaeh5BumSbZYLJYYNSt3jwF7j4n5Wq3EjdIahdik&#10;8ko7AsaQC+fShBxd6aGDBKf7LI3f1GlwD/043e9jx16PMMAWMHrsQRsyVnRWAATCPlIe7I7dz57S&#10;PdKHExJL+tIIPAem9HSGcLWJTEictB27dgjS3bdiJELFIuTF7Ay2gFAwdrMiXaRnS0qYbmBf8OAo&#10;cTZ8UqHFZo81/wdqT//CLJRQ9y2byDk8jAzvy4Z8H6JF6SgR7NzYrFPTh+16i3OCbR0beW3FA7Qy&#10;hI/9CksQDq113ygZYaFU1H8dmJOU6NcGxuEsm8/jBkJhfrrMQXDHmvWxhhkOUBUNQBUer8K0tYbe&#10;qaYFTxkSZewljFCtwn7Wpqh2gwdLA9PaLbi4lY5lfPVrDa9+AgAA//8DAFBLAwQUAAYACAAAACEA&#10;llCa1+AAAAANAQAADwAAAGRycy9kb3ducmV2LnhtbEyPwU7DMAyG70i8Q2QkbixtOrqqNJ0QiBOX&#10;rUPimjVeW9E4VZJu3duTneD2W/70+3O1XczIzuj8YElCukqAIbVWD9RJ+Dp8PBXAfFCk1WgJJVzR&#10;w7a+v6tUqe2F9nhuQsdiCflSSehDmErOfdujUX5lJ6S4O1lnVIij67h26hLLzchFkuTcqIHihV5N&#10;+NZj+9PMRoKYn62i0+495LvP/TcemuCyq5SPD8vrC7CAS/iD4aYf1aGOTkc7k/ZslJCv11lEJWyy&#10;jQB2I5KiiOkYUypSAbyu+P8v6l8AAAD//wMAUEsBAi0AFAAGAAgAAAAhALaDOJL+AAAA4QEAABMA&#10;AAAAAAAAAAAAAAAAAAAAAFtDb250ZW50X1R5cGVzXS54bWxQSwECLQAUAAYACAAAACEAOP0h/9YA&#10;AACUAQAACwAAAAAAAAAAAAAAAAAvAQAAX3JlbHMvLnJlbHNQSwECLQAUAAYACAAAACEAYas/vbcC&#10;AADOBQAADgAAAAAAAAAAAAAAAAAuAgAAZHJzL2Uyb0RvYy54bWxQSwECLQAUAAYACAAAACEAllCa&#10;1+AAAAANAQAADwAAAAAAAAAAAAAAAAARBQAAZHJzL2Rvd25yZXYueG1sUEsFBgAAAAAEAAQA8wAA&#10;AB4GAAAAAA==&#10;" fillcolor="#726056 [3205]" strokecolor="#ac956e [3206]" strokeweight="3pt">
            <v:shadow on="t" color="#382f2a [1605]" opacity=".5" offset="1pt"/>
            <v:textbox style="mso-next-textbox:#Rectángulo redondeado 2">
              <w:txbxContent>
                <w:p w:rsidR="00191004" w:rsidRDefault="00191004" w:rsidP="00191004">
                  <w:pPr>
                    <w:pStyle w:val="Epgrafe"/>
                  </w:pPr>
                  <w:bookmarkStart w:id="33" w:name="_Toc510797566"/>
                  <w:r>
                    <w:t xml:space="preserve">Figura </w:t>
                  </w:r>
                  <w:r>
                    <w:t>11</w:t>
                  </w:r>
                  <w:r>
                    <w:t xml:space="preserve">. </w:t>
                  </w:r>
                  <w:r w:rsidRPr="00A401FA">
                    <w:t>Diagrama de barras que representa la relación entre</w:t>
                  </w:r>
                  <w:r>
                    <w:t xml:space="preserve"> el sexo y la presencia de clínica neurológica al diagnóstico.</w:t>
                  </w:r>
                  <w:bookmarkEnd w:id="33"/>
                </w:p>
                <w:p w:rsidR="00191004" w:rsidRDefault="00191004" w:rsidP="00191004">
                  <w:pPr>
                    <w:pStyle w:val="Epgrafe"/>
                  </w:pPr>
                  <w:bookmarkStart w:id="34" w:name="_Toc510797567"/>
                  <w:r>
                    <w:t>Figura</w:t>
                  </w:r>
                  <w:r>
                    <w:t xml:space="preserve"> 12</w:t>
                  </w:r>
                  <w:r>
                    <w:t>.</w:t>
                  </w:r>
                  <w:r w:rsidRPr="00A401FA">
                    <w:t xml:space="preserve"> Diagrama de barras que representa la relación entre</w:t>
                  </w:r>
                  <w:r>
                    <w:t xml:space="preserve"> el consumo de alcohol y la presencia de clínica neurológica al diagnóstico.</w:t>
                  </w:r>
                  <w:bookmarkEnd w:id="34"/>
                </w:p>
                <w:p w:rsidR="00191004" w:rsidRPr="00A401FA" w:rsidRDefault="00191004" w:rsidP="00191004">
                  <w:pPr>
                    <w:pStyle w:val="Epgrafe"/>
                  </w:pPr>
                  <w:bookmarkStart w:id="35" w:name="_Toc510797568"/>
                  <w:r>
                    <w:t>Figura 13</w:t>
                  </w:r>
                  <w:r>
                    <w:t xml:space="preserve">. </w:t>
                  </w:r>
                  <w:r w:rsidRPr="00A401FA">
                    <w:t>Diagrama de barras que representa la relación entre</w:t>
                  </w:r>
                  <w:r>
                    <w:t xml:space="preserve"> el sexo y el consumo de alcohol.</w:t>
                  </w:r>
                  <w:bookmarkEnd w:id="35"/>
                </w:p>
              </w:txbxContent>
            </v:textbox>
            <w10:wrap type="square"/>
          </v:roundrect>
        </w:pict>
      </w:r>
      <w:r w:rsidR="00F87F3E">
        <w:rPr>
          <w:noProof/>
          <w:lang w:eastAsia="es-ES"/>
        </w:rPr>
        <w:drawing>
          <wp:anchor distT="0" distB="0" distL="114300" distR="114300" simplePos="0" relativeHeight="251683840" behindDoc="0" locked="0" layoutInCell="1" allowOverlap="1" wp14:anchorId="5B872A31" wp14:editId="6B6A7FA0">
            <wp:simplePos x="0" y="0"/>
            <wp:positionH relativeFrom="column">
              <wp:posOffset>-196215</wp:posOffset>
            </wp:positionH>
            <wp:positionV relativeFrom="paragraph">
              <wp:posOffset>75565</wp:posOffset>
            </wp:positionV>
            <wp:extent cx="3188970" cy="1857375"/>
            <wp:effectExtent l="0" t="0" r="0" b="0"/>
            <wp:wrapTopAndBottom/>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r w:rsidR="005B305F">
        <w:t xml:space="preserve">Respecto al alcohol se encontró relación con la presencia de clínica neurológica al diagnóstico. </w:t>
      </w:r>
      <w:r w:rsidR="005B305F" w:rsidRPr="008D0AE8">
        <w:rPr>
          <w:color w:val="FF2E12" w:themeColor="accent6" w:themeTint="99"/>
        </w:rPr>
        <w:t>Observamos que los pacientes que no bebían alcohol tenían 7.14 veces más probabilidades de presentar síntomas neurológicos que conllevaran el diagnóstico del aneurisma que los pacientes que sí bebían</w:t>
      </w:r>
      <w:r w:rsidR="005B305F">
        <w:rPr>
          <w:color w:val="FF2E12" w:themeColor="accent6" w:themeTint="99"/>
        </w:rPr>
        <w:t>.</w:t>
      </w:r>
      <w:r w:rsidR="005B305F">
        <w:t xml:space="preserve"> Los pacientes que no bebían alcohol presentaban con mayor frecuencia algún tipo de síntoma neurológico que conllevó al diagnóstico del aneurisma. Asimismo se halló que el consumo de alcohol guardaba relación con el tipo de materiales utilizados en la TEV: a los pacientes que no consumían alcohol se les puso </w:t>
      </w:r>
      <w:proofErr w:type="spellStart"/>
      <w:r w:rsidR="005B305F">
        <w:t>stent</w:t>
      </w:r>
      <w:proofErr w:type="spellEnd"/>
      <w:r w:rsidR="005B305F">
        <w:t xml:space="preserve"> con una mayor frecuencia (OR=7.125 IC 95% 0.88-57.545) con una p=0.046.</w:t>
      </w:r>
    </w:p>
    <w:p w:rsidR="00AB772A" w:rsidRDefault="00AB772A" w:rsidP="00AB772A">
      <w:pPr>
        <w:pStyle w:val="Prrafodelista"/>
        <w:numPr>
          <w:ilvl w:val="0"/>
          <w:numId w:val="7"/>
        </w:numPr>
      </w:pPr>
      <w:r>
        <w:t xml:space="preserve">Se observó una asociación entre la exposición al tabaco y el número de aneurismas. Ninguno de los pacientes no expuestos poseían más de un aneurisma y cerca de la mitad de los sí expuestos tenían más de un aneurisma (Chi-Cuadrado p=0.11). También se vio que los pacientes que fumaban tenían aneurismas dependientes de la ACI y de la </w:t>
      </w:r>
      <w:proofErr w:type="spellStart"/>
      <w:r>
        <w:t>ACoA</w:t>
      </w:r>
      <w:proofErr w:type="spellEnd"/>
      <w:r>
        <w:t xml:space="preserve"> con mayor frecuencia que en otras localizaciones (Chi-Cuadrado p=0.29).</w:t>
      </w:r>
    </w:p>
    <w:p w:rsidR="003C32BC" w:rsidRDefault="00DF61ED" w:rsidP="00F61E75">
      <w:pPr>
        <w:pStyle w:val="Prrafodelista"/>
        <w:numPr>
          <w:ilvl w:val="0"/>
          <w:numId w:val="7"/>
        </w:numPr>
      </w:pPr>
      <w:r>
        <w:t>S</w:t>
      </w:r>
      <w:r w:rsidR="00B95847">
        <w:t xml:space="preserve">e vio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w:t>
      </w:r>
      <w:r w:rsidR="0071159E">
        <w:lastRenderedPageBreak/>
        <w:t>que en la posterior se hallaban los aneurismas que conten</w:t>
      </w:r>
      <w:r w:rsidR="0080226F">
        <w:t>ían lobulaciones (Chi-Cuadrado p=0.008)</w:t>
      </w:r>
      <w:r w:rsidR="00F61E75">
        <w:t>.</w:t>
      </w:r>
    </w:p>
    <w:p w:rsidR="001F282C" w:rsidRDefault="00D03706" w:rsidP="00AB772A">
      <w:pPr>
        <w:pStyle w:val="Prrafodelista"/>
        <w:numPr>
          <w:ilvl w:val="0"/>
          <w:numId w:val="7"/>
        </w:numPr>
      </w:pPr>
      <w:r>
        <w:t>Hallamos una OR</w:t>
      </w:r>
      <w:r w:rsidR="001F282C">
        <w:t xml:space="preserve"> de 8 (IC 95% 1.28-50.05) para los pacientes con un único aneurisma y un tamaño menor de 5mm con una p=0.018.</w:t>
      </w:r>
      <w:r w:rsidR="00AB772A">
        <w:t xml:space="preserve"> Esto significa que los pacientes con un solo aneurisma tienen 8 veces más posibilidades de tener aneurismas más pequeños</w:t>
      </w:r>
      <w:r w:rsidR="006017E3">
        <w:t xml:space="preserve"> (Chi-Cuadrado de Pearson p=0.018)</w:t>
      </w:r>
      <w:r w:rsidR="00AB772A">
        <w:t>.</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doble antiagregación eran mujeres  mientras que los hombres tenían 5.31 más posibilidades de recibir antiagregación simple (OR=5.31 IC 95% 0.963-29.294) con una p=0.046.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6 de los 7 pacientes para los que sólo se necesitó el uso de coils recibieron antiagregación simple (Chi-Cuadrado de Pearson p=0.000).</w:t>
      </w:r>
    </w:p>
    <w:p w:rsidR="00A158BF" w:rsidRDefault="00A158BF" w:rsidP="00C44778">
      <w:pPr>
        <w:pStyle w:val="Prrafodelista"/>
        <w:numPr>
          <w:ilvl w:val="0"/>
          <w:numId w:val="7"/>
        </w:numPr>
      </w:pPr>
      <w:r>
        <w:t xml:space="preserve">El número de intervenciones precisadas está estrechamente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A</w:t>
      </w:r>
      <w:r w:rsidR="00195D6F">
        <w:t xml:space="preserve">demás </w:t>
      </w:r>
      <w:r w:rsidR="00412BCA">
        <w:t xml:space="preserve">se encontró </w:t>
      </w:r>
      <w:r w:rsidR="00195D6F">
        <w:t xml:space="preserve">una </w:t>
      </w:r>
      <w:r w:rsidR="00412BCA">
        <w:t>relación entre el número de intervenciones realizadas y los antecedentes personales de HSA</w:t>
      </w:r>
      <w:r w:rsidR="00195D6F">
        <w:t xml:space="preserve">, de manera que los pacientes con historia de HSA presentan 13 veces más posibilidades de requerir más de una intervención que las personas que padecieron HSA en alguna ocasión (OR=13.000 IC 95% 0.572-295.206) con una significación de p=0.051 </w:t>
      </w:r>
      <w:r w:rsidR="00195D6F" w:rsidRPr="00195D6F">
        <w:rPr>
          <w:color w:val="7F7F7F" w:themeColor="text1" w:themeTint="80"/>
        </w:rPr>
        <w:t>(no significativo).</w:t>
      </w:r>
    </w:p>
    <w:p w:rsidR="0054730A" w:rsidRDefault="0054730A" w:rsidP="0054730A">
      <w:pPr>
        <w:pStyle w:val="Ttulo1"/>
      </w:pPr>
      <w:bookmarkStart w:id="36" w:name="_Toc510724611"/>
      <w:r>
        <w:t>Discusión</w:t>
      </w:r>
      <w:bookmarkEnd w:id="36"/>
    </w:p>
    <w:p w:rsidR="0054730A" w:rsidRDefault="0054730A" w:rsidP="0054730A">
      <w:pPr>
        <w:pStyle w:val="Ttulo1"/>
      </w:pPr>
      <w:bookmarkStart w:id="37" w:name="_Toc510724612"/>
      <w:r>
        <w:t>Conclusiones</w:t>
      </w:r>
      <w:bookmarkEnd w:id="37"/>
    </w:p>
    <w:p w:rsidR="00193DAE" w:rsidRPr="007C53E5" w:rsidRDefault="0054730A" w:rsidP="00412BCA">
      <w:pPr>
        <w:pStyle w:val="Ttulo1"/>
      </w:pPr>
      <w:bookmarkStart w:id="38" w:name="_Toc510724613"/>
      <w:r>
        <w:t>Bibliografí</w:t>
      </w:r>
      <w:r w:rsidR="00412BCA">
        <w:t>a</w:t>
      </w:r>
      <w:bookmarkEnd w:id="38"/>
    </w:p>
    <w:sectPr w:rsidR="00193DAE" w:rsidRPr="007C53E5" w:rsidSect="00690539">
      <w:headerReference w:type="even" r:id="rId41"/>
      <w:headerReference w:type="default" r:id="rId42"/>
      <w:headerReference w:type="first" r:id="rId43"/>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BB" w:rsidRDefault="00886FBB" w:rsidP="00B07406">
      <w:pPr>
        <w:spacing w:after="0" w:line="240" w:lineRule="auto"/>
      </w:pPr>
      <w:r>
        <w:separator/>
      </w:r>
    </w:p>
  </w:endnote>
  <w:endnote w:type="continuationSeparator" w:id="0">
    <w:p w:rsidR="00886FBB" w:rsidRDefault="00886FB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E0057">
      <w:tc>
        <w:tcPr>
          <w:tcW w:w="500" w:type="pct"/>
          <w:tcBorders>
            <w:top w:val="single" w:sz="4" w:space="0" w:color="554740" w:themeColor="accent2" w:themeShade="BF"/>
          </w:tcBorders>
          <w:shd w:val="clear" w:color="auto" w:fill="554740" w:themeFill="accent2" w:themeFillShade="BF"/>
        </w:tcPr>
        <w:p w:rsidR="007E0057" w:rsidRDefault="007E0057">
          <w:pPr>
            <w:pStyle w:val="Piedepgina"/>
            <w:jc w:val="right"/>
            <w:rPr>
              <w:b/>
              <w:color w:val="FFFFFF" w:themeColor="background1"/>
            </w:rPr>
          </w:pPr>
          <w:r>
            <w:fldChar w:fldCharType="begin"/>
          </w:r>
          <w:r>
            <w:instrText xml:space="preserve"> PAGE   \* MERGEFORMAT </w:instrText>
          </w:r>
          <w:r>
            <w:fldChar w:fldCharType="separate"/>
          </w:r>
          <w:r w:rsidR="00191004" w:rsidRPr="00191004">
            <w:rPr>
              <w:noProof/>
              <w:color w:val="FFFFFF" w:themeColor="background1"/>
            </w:rPr>
            <w:t>10</w:t>
          </w:r>
          <w:r>
            <w:rPr>
              <w:noProof/>
              <w:color w:val="FFFFFF" w:themeColor="background1"/>
            </w:rPr>
            <w:fldChar w:fldCharType="end"/>
          </w:r>
        </w:p>
      </w:tc>
      <w:tc>
        <w:tcPr>
          <w:tcW w:w="4500" w:type="pct"/>
          <w:tcBorders>
            <w:top w:val="single" w:sz="4" w:space="0" w:color="auto"/>
          </w:tcBorders>
        </w:tcPr>
        <w:p w:rsidR="007E0057" w:rsidRDefault="007E005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7E0057" w:rsidRDefault="007E005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E0057">
      <w:tc>
        <w:tcPr>
          <w:tcW w:w="4500" w:type="pct"/>
          <w:tcBorders>
            <w:top w:val="single" w:sz="4" w:space="0" w:color="000000" w:themeColor="text1"/>
          </w:tcBorders>
        </w:tcPr>
        <w:p w:rsidR="007E0057" w:rsidRDefault="007E005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7E0057" w:rsidRDefault="007E0057">
          <w:pPr>
            <w:pStyle w:val="Encabezado"/>
            <w:rPr>
              <w:color w:val="FFFFFF" w:themeColor="background1"/>
            </w:rPr>
          </w:pPr>
          <w:r>
            <w:fldChar w:fldCharType="begin"/>
          </w:r>
          <w:r>
            <w:instrText xml:space="preserve"> PAGE   \* MERGEFORMAT </w:instrText>
          </w:r>
          <w:r>
            <w:fldChar w:fldCharType="separate"/>
          </w:r>
          <w:r w:rsidR="00191004" w:rsidRPr="00191004">
            <w:rPr>
              <w:noProof/>
              <w:color w:val="FFFFFF" w:themeColor="background1"/>
            </w:rPr>
            <w:t>21</w:t>
          </w:r>
          <w:r>
            <w:rPr>
              <w:noProof/>
              <w:color w:val="FFFFFF" w:themeColor="background1"/>
            </w:rPr>
            <w:fldChar w:fldCharType="end"/>
          </w:r>
        </w:p>
      </w:tc>
    </w:tr>
  </w:tbl>
  <w:p w:rsidR="007E0057" w:rsidRDefault="007E0057"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E0057" w:rsidTr="009D1163">
      <w:tc>
        <w:tcPr>
          <w:tcW w:w="4500" w:type="pct"/>
          <w:tcBorders>
            <w:top w:val="single" w:sz="4" w:space="0" w:color="000000" w:themeColor="text1"/>
          </w:tcBorders>
        </w:tcPr>
        <w:p w:rsidR="007E0057" w:rsidRDefault="007E0057"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7E0057" w:rsidRDefault="007E0057" w:rsidP="009D1163">
          <w:pPr>
            <w:pStyle w:val="Encabezado"/>
            <w:rPr>
              <w:color w:val="FFFFFF" w:themeColor="background1"/>
            </w:rPr>
          </w:pPr>
          <w:r>
            <w:fldChar w:fldCharType="begin"/>
          </w:r>
          <w:r>
            <w:instrText xml:space="preserve"> PAGE   \* MERGEFORMAT </w:instrText>
          </w:r>
          <w:r>
            <w:fldChar w:fldCharType="separate"/>
          </w:r>
          <w:r w:rsidR="00191004" w:rsidRPr="00191004">
            <w:rPr>
              <w:noProof/>
              <w:color w:val="FFFFFF" w:themeColor="background1"/>
            </w:rPr>
            <w:t>9</w:t>
          </w:r>
          <w:r>
            <w:rPr>
              <w:noProof/>
              <w:color w:val="FFFFFF" w:themeColor="background1"/>
            </w:rPr>
            <w:fldChar w:fldCharType="end"/>
          </w:r>
        </w:p>
      </w:tc>
    </w:tr>
  </w:tbl>
  <w:p w:rsidR="007E0057" w:rsidRDefault="007E0057"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BB" w:rsidRDefault="00886FBB" w:rsidP="00B07406">
      <w:pPr>
        <w:spacing w:after="0" w:line="240" w:lineRule="auto"/>
      </w:pPr>
      <w:r>
        <w:separator/>
      </w:r>
    </w:p>
  </w:footnote>
  <w:footnote w:type="continuationSeparator" w:id="0">
    <w:p w:rsidR="00886FBB" w:rsidRDefault="00886FBB" w:rsidP="00B07406">
      <w:pPr>
        <w:spacing w:after="0" w:line="240" w:lineRule="auto"/>
      </w:pPr>
      <w:r>
        <w:continuationSeparator/>
      </w:r>
    </w:p>
  </w:footnote>
  <w:footnote w:id="1">
    <w:p w:rsidR="007E0057" w:rsidRDefault="007E0057"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7E0057" w:rsidRDefault="007E0057">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7E0057" w:rsidRDefault="007E0057"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7E0057" w:rsidRDefault="007E0057">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7E0057" w:rsidRDefault="007E0057" w:rsidP="001A776F">
      <w:pPr>
        <w:pStyle w:val="Textonotaalfinal"/>
      </w:pPr>
      <w:r>
        <w:rPr>
          <w:rStyle w:val="Refdenotaalpie"/>
        </w:rPr>
        <w:foot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7E0057" w:rsidRDefault="007E0057"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7E0057" w:rsidRDefault="007E0057">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57" w:rsidRDefault="007E0057"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57" w:rsidRDefault="007E0057"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57" w:rsidRDefault="007E0057"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191004">
      <w:rPr>
        <w:i/>
        <w:noProof/>
      </w:rPr>
      <w:t>Introducción</w:t>
    </w:r>
    <w:r w:rsidRPr="0087575A">
      <w:rPr>
        <w:i/>
      </w:rPr>
      <w:fldChar w:fldCharType="end"/>
    </w:r>
  </w:p>
  <w:p w:rsidR="007E0057" w:rsidRDefault="007E00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57" w:rsidRDefault="007E0057"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91004">
      <w:rPr>
        <w:i/>
        <w:noProof/>
      </w:rPr>
      <w:t>Resultados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7E0057" w:rsidRDefault="007E005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057" w:rsidRDefault="007E0057"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7E0057" w:rsidRDefault="007E00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7FB6"/>
    <w:rsid w:val="00022926"/>
    <w:rsid w:val="000266B2"/>
    <w:rsid w:val="00026A6A"/>
    <w:rsid w:val="000325ED"/>
    <w:rsid w:val="0004146D"/>
    <w:rsid w:val="00042540"/>
    <w:rsid w:val="000438C9"/>
    <w:rsid w:val="00045453"/>
    <w:rsid w:val="000560E3"/>
    <w:rsid w:val="00066356"/>
    <w:rsid w:val="000703FC"/>
    <w:rsid w:val="00075754"/>
    <w:rsid w:val="000815A5"/>
    <w:rsid w:val="0008664F"/>
    <w:rsid w:val="00087411"/>
    <w:rsid w:val="00097FB6"/>
    <w:rsid w:val="000A565F"/>
    <w:rsid w:val="000A5B23"/>
    <w:rsid w:val="000A6662"/>
    <w:rsid w:val="000D67BE"/>
    <w:rsid w:val="000E1BC9"/>
    <w:rsid w:val="000E2038"/>
    <w:rsid w:val="000E470F"/>
    <w:rsid w:val="000F6BED"/>
    <w:rsid w:val="00104333"/>
    <w:rsid w:val="001061F1"/>
    <w:rsid w:val="00106728"/>
    <w:rsid w:val="00111129"/>
    <w:rsid w:val="00121126"/>
    <w:rsid w:val="0012148F"/>
    <w:rsid w:val="001305AE"/>
    <w:rsid w:val="001327DC"/>
    <w:rsid w:val="00132CDC"/>
    <w:rsid w:val="00134399"/>
    <w:rsid w:val="001423BF"/>
    <w:rsid w:val="00144A9B"/>
    <w:rsid w:val="00147D13"/>
    <w:rsid w:val="00156B56"/>
    <w:rsid w:val="00157CEE"/>
    <w:rsid w:val="00164CEA"/>
    <w:rsid w:val="001650DE"/>
    <w:rsid w:val="00167FD1"/>
    <w:rsid w:val="00171FF3"/>
    <w:rsid w:val="0017479F"/>
    <w:rsid w:val="00180199"/>
    <w:rsid w:val="00181C82"/>
    <w:rsid w:val="00186877"/>
    <w:rsid w:val="00191004"/>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10AAD"/>
    <w:rsid w:val="00212745"/>
    <w:rsid w:val="00214244"/>
    <w:rsid w:val="00214852"/>
    <w:rsid w:val="0021485C"/>
    <w:rsid w:val="00215A22"/>
    <w:rsid w:val="00231DCA"/>
    <w:rsid w:val="002356C8"/>
    <w:rsid w:val="00252405"/>
    <w:rsid w:val="002534F8"/>
    <w:rsid w:val="00255B34"/>
    <w:rsid w:val="00255E6E"/>
    <w:rsid w:val="00260B41"/>
    <w:rsid w:val="00263FC7"/>
    <w:rsid w:val="002676DF"/>
    <w:rsid w:val="00271364"/>
    <w:rsid w:val="002961DD"/>
    <w:rsid w:val="002A60F6"/>
    <w:rsid w:val="002B189A"/>
    <w:rsid w:val="002B219D"/>
    <w:rsid w:val="002B3996"/>
    <w:rsid w:val="002B4119"/>
    <w:rsid w:val="002B6A0D"/>
    <w:rsid w:val="002B770A"/>
    <w:rsid w:val="002C55F2"/>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2737D"/>
    <w:rsid w:val="00330790"/>
    <w:rsid w:val="00330A73"/>
    <w:rsid w:val="003310A7"/>
    <w:rsid w:val="00334B33"/>
    <w:rsid w:val="00336DF9"/>
    <w:rsid w:val="00337A77"/>
    <w:rsid w:val="00345837"/>
    <w:rsid w:val="00346245"/>
    <w:rsid w:val="00346491"/>
    <w:rsid w:val="003515D8"/>
    <w:rsid w:val="00352497"/>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40129C"/>
    <w:rsid w:val="00404AFA"/>
    <w:rsid w:val="00410063"/>
    <w:rsid w:val="004111B0"/>
    <w:rsid w:val="00412BCA"/>
    <w:rsid w:val="004160BD"/>
    <w:rsid w:val="004161B2"/>
    <w:rsid w:val="00423F19"/>
    <w:rsid w:val="004261CF"/>
    <w:rsid w:val="004267D5"/>
    <w:rsid w:val="00433C0D"/>
    <w:rsid w:val="00436C0A"/>
    <w:rsid w:val="004445C9"/>
    <w:rsid w:val="00446BA8"/>
    <w:rsid w:val="004523AB"/>
    <w:rsid w:val="00453D41"/>
    <w:rsid w:val="00454853"/>
    <w:rsid w:val="00474EE7"/>
    <w:rsid w:val="00477AFD"/>
    <w:rsid w:val="004905BE"/>
    <w:rsid w:val="00492022"/>
    <w:rsid w:val="00492DB2"/>
    <w:rsid w:val="00494357"/>
    <w:rsid w:val="004A4BEC"/>
    <w:rsid w:val="004B006F"/>
    <w:rsid w:val="004B37C8"/>
    <w:rsid w:val="004C377A"/>
    <w:rsid w:val="004C5B48"/>
    <w:rsid w:val="004D03C8"/>
    <w:rsid w:val="004D075D"/>
    <w:rsid w:val="004D393C"/>
    <w:rsid w:val="00502005"/>
    <w:rsid w:val="0051698F"/>
    <w:rsid w:val="005202CB"/>
    <w:rsid w:val="005306B5"/>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B305F"/>
    <w:rsid w:val="005C04EA"/>
    <w:rsid w:val="005C0ACA"/>
    <w:rsid w:val="005C29E5"/>
    <w:rsid w:val="005C33BF"/>
    <w:rsid w:val="005D567B"/>
    <w:rsid w:val="005E042D"/>
    <w:rsid w:val="005E0532"/>
    <w:rsid w:val="005F6A73"/>
    <w:rsid w:val="00600111"/>
    <w:rsid w:val="00600A9A"/>
    <w:rsid w:val="006017E3"/>
    <w:rsid w:val="0060594C"/>
    <w:rsid w:val="00606501"/>
    <w:rsid w:val="0061162C"/>
    <w:rsid w:val="0061446B"/>
    <w:rsid w:val="00614F68"/>
    <w:rsid w:val="00621865"/>
    <w:rsid w:val="0062357F"/>
    <w:rsid w:val="006265DD"/>
    <w:rsid w:val="00633212"/>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61B6"/>
    <w:rsid w:val="006B6F18"/>
    <w:rsid w:val="006B77BF"/>
    <w:rsid w:val="006C0203"/>
    <w:rsid w:val="006C0E07"/>
    <w:rsid w:val="006C2A41"/>
    <w:rsid w:val="006C4A9F"/>
    <w:rsid w:val="006C6606"/>
    <w:rsid w:val="006E5F49"/>
    <w:rsid w:val="006E751B"/>
    <w:rsid w:val="006F3E10"/>
    <w:rsid w:val="006F65C4"/>
    <w:rsid w:val="00703BA3"/>
    <w:rsid w:val="00704100"/>
    <w:rsid w:val="00706D99"/>
    <w:rsid w:val="0071159E"/>
    <w:rsid w:val="007132F8"/>
    <w:rsid w:val="00716004"/>
    <w:rsid w:val="007211EF"/>
    <w:rsid w:val="00727085"/>
    <w:rsid w:val="00731971"/>
    <w:rsid w:val="007331AD"/>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93DA5"/>
    <w:rsid w:val="007A51F4"/>
    <w:rsid w:val="007B2268"/>
    <w:rsid w:val="007B2621"/>
    <w:rsid w:val="007B51B8"/>
    <w:rsid w:val="007B5ADD"/>
    <w:rsid w:val="007C3483"/>
    <w:rsid w:val="007C46D1"/>
    <w:rsid w:val="007C53E5"/>
    <w:rsid w:val="007C6AAF"/>
    <w:rsid w:val="007D10D8"/>
    <w:rsid w:val="007D3BE5"/>
    <w:rsid w:val="007D46DA"/>
    <w:rsid w:val="007E0057"/>
    <w:rsid w:val="007E0EDB"/>
    <w:rsid w:val="007E5172"/>
    <w:rsid w:val="007E6E05"/>
    <w:rsid w:val="007F5861"/>
    <w:rsid w:val="00801DF3"/>
    <w:rsid w:val="0080226F"/>
    <w:rsid w:val="00802EB0"/>
    <w:rsid w:val="008030F4"/>
    <w:rsid w:val="00807916"/>
    <w:rsid w:val="00811B54"/>
    <w:rsid w:val="00816CDF"/>
    <w:rsid w:val="008221B8"/>
    <w:rsid w:val="00823DA4"/>
    <w:rsid w:val="00824C19"/>
    <w:rsid w:val="00826DE3"/>
    <w:rsid w:val="0083359A"/>
    <w:rsid w:val="00833CD5"/>
    <w:rsid w:val="008404D4"/>
    <w:rsid w:val="00840D43"/>
    <w:rsid w:val="008428FC"/>
    <w:rsid w:val="008443CD"/>
    <w:rsid w:val="00844702"/>
    <w:rsid w:val="0084616B"/>
    <w:rsid w:val="00853074"/>
    <w:rsid w:val="008555DE"/>
    <w:rsid w:val="0085785E"/>
    <w:rsid w:val="00862E9D"/>
    <w:rsid w:val="00866F51"/>
    <w:rsid w:val="0087324A"/>
    <w:rsid w:val="0087418A"/>
    <w:rsid w:val="0087575A"/>
    <w:rsid w:val="0088359D"/>
    <w:rsid w:val="00886FBB"/>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974"/>
    <w:rsid w:val="00907C4D"/>
    <w:rsid w:val="00910AC8"/>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03D"/>
    <w:rsid w:val="009B2CDB"/>
    <w:rsid w:val="009B553E"/>
    <w:rsid w:val="009B719A"/>
    <w:rsid w:val="009B7B32"/>
    <w:rsid w:val="009C136D"/>
    <w:rsid w:val="009C554A"/>
    <w:rsid w:val="009D1163"/>
    <w:rsid w:val="009D5A70"/>
    <w:rsid w:val="009D7FEC"/>
    <w:rsid w:val="009F186F"/>
    <w:rsid w:val="009F3E84"/>
    <w:rsid w:val="009F7FD1"/>
    <w:rsid w:val="00A055C0"/>
    <w:rsid w:val="00A068B3"/>
    <w:rsid w:val="00A07F74"/>
    <w:rsid w:val="00A158BF"/>
    <w:rsid w:val="00A17939"/>
    <w:rsid w:val="00A2064D"/>
    <w:rsid w:val="00A30F9D"/>
    <w:rsid w:val="00A326B6"/>
    <w:rsid w:val="00A401FA"/>
    <w:rsid w:val="00A41734"/>
    <w:rsid w:val="00A46CB7"/>
    <w:rsid w:val="00A51872"/>
    <w:rsid w:val="00A51FC4"/>
    <w:rsid w:val="00A52B75"/>
    <w:rsid w:val="00A57556"/>
    <w:rsid w:val="00A57B3B"/>
    <w:rsid w:val="00A60373"/>
    <w:rsid w:val="00A700B0"/>
    <w:rsid w:val="00A70FD7"/>
    <w:rsid w:val="00A7132F"/>
    <w:rsid w:val="00A76CCA"/>
    <w:rsid w:val="00A779A7"/>
    <w:rsid w:val="00AA12F8"/>
    <w:rsid w:val="00AA4566"/>
    <w:rsid w:val="00AB6AAC"/>
    <w:rsid w:val="00AB772A"/>
    <w:rsid w:val="00AC7702"/>
    <w:rsid w:val="00AD7442"/>
    <w:rsid w:val="00AE03D3"/>
    <w:rsid w:val="00AE1648"/>
    <w:rsid w:val="00AE24A5"/>
    <w:rsid w:val="00AE7441"/>
    <w:rsid w:val="00AF0C8D"/>
    <w:rsid w:val="00AF1319"/>
    <w:rsid w:val="00AF28A5"/>
    <w:rsid w:val="00B026A8"/>
    <w:rsid w:val="00B03153"/>
    <w:rsid w:val="00B035F3"/>
    <w:rsid w:val="00B0541B"/>
    <w:rsid w:val="00B07406"/>
    <w:rsid w:val="00B1278B"/>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C42"/>
    <w:rsid w:val="00C1132E"/>
    <w:rsid w:val="00C114A7"/>
    <w:rsid w:val="00C12E10"/>
    <w:rsid w:val="00C20DA7"/>
    <w:rsid w:val="00C329A4"/>
    <w:rsid w:val="00C3570C"/>
    <w:rsid w:val="00C44778"/>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03706"/>
    <w:rsid w:val="00D20820"/>
    <w:rsid w:val="00D25404"/>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A1786"/>
    <w:rsid w:val="00DA1884"/>
    <w:rsid w:val="00DA22C7"/>
    <w:rsid w:val="00DA477A"/>
    <w:rsid w:val="00DB10AA"/>
    <w:rsid w:val="00DB20C2"/>
    <w:rsid w:val="00DB32CD"/>
    <w:rsid w:val="00DB36DF"/>
    <w:rsid w:val="00DB6C4A"/>
    <w:rsid w:val="00DC138E"/>
    <w:rsid w:val="00DD408A"/>
    <w:rsid w:val="00DE44F9"/>
    <w:rsid w:val="00DE4DE1"/>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355B"/>
    <w:rsid w:val="00E53788"/>
    <w:rsid w:val="00E563D8"/>
    <w:rsid w:val="00E61AE2"/>
    <w:rsid w:val="00E7284D"/>
    <w:rsid w:val="00E73C97"/>
    <w:rsid w:val="00E74392"/>
    <w:rsid w:val="00E75627"/>
    <w:rsid w:val="00E86396"/>
    <w:rsid w:val="00E91749"/>
    <w:rsid w:val="00E93E23"/>
    <w:rsid w:val="00E96C4F"/>
    <w:rsid w:val="00EB3114"/>
    <w:rsid w:val="00EB4FA9"/>
    <w:rsid w:val="00EB7406"/>
    <w:rsid w:val="00EC1B2B"/>
    <w:rsid w:val="00EC451A"/>
    <w:rsid w:val="00EC7595"/>
    <w:rsid w:val="00ED447D"/>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547C9"/>
    <w:rsid w:val="00F5503D"/>
    <w:rsid w:val="00F559C3"/>
    <w:rsid w:val="00F56D6A"/>
    <w:rsid w:val="00F57602"/>
    <w:rsid w:val="00F617F1"/>
    <w:rsid w:val="00F61E75"/>
    <w:rsid w:val="00F632EC"/>
    <w:rsid w:val="00F63640"/>
    <w:rsid w:val="00F654E9"/>
    <w:rsid w:val="00F657AA"/>
    <w:rsid w:val="00F6753A"/>
    <w:rsid w:val="00F80935"/>
    <w:rsid w:val="00F81FA2"/>
    <w:rsid w:val="00F87F3E"/>
    <w:rsid w:val="00F95F95"/>
    <w:rsid w:val="00F9739C"/>
    <w:rsid w:val="00FA0CEB"/>
    <w:rsid w:val="00FA13DE"/>
    <w:rsid w:val="00FC2304"/>
    <w:rsid w:val="00FC4C04"/>
    <w:rsid w:val="00FC632E"/>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B37C8"/>
    <w:pPr>
      <w:spacing w:after="0" w:line="240" w:lineRule="auto"/>
      <w:jc w:val="left"/>
    </w:pPr>
    <w:rPr>
      <w:b/>
      <w:bCs/>
      <w:i/>
      <w:color w:val="FFFFFF" w:themeColor="background1"/>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9"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chart" Target="charts/chart7.xml"/><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chart" Target="charts/chart2.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header" Target="header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3.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layout>
        <c:manualLayout>
          <c:xMode val="edge"/>
          <c:yMode val="edge"/>
          <c:x val="2.1906402107521563E-2"/>
          <c:y val="2.3809523809523808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121201516477107"/>
          <c:y val="0.36162214098237722"/>
          <c:w val="0.71743448658352371"/>
          <c:h val="0.45889341957255342"/>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5.9259259259259262E-2"/>
                  <c:y val="0.17142857142857143"/>
                </c:manualLayout>
              </c:layout>
              <c:showLegendKey val="0"/>
              <c:showVal val="1"/>
              <c:showCatName val="0"/>
              <c:showSerName val="0"/>
              <c:showPercent val="0"/>
              <c:showBubbleSize val="0"/>
            </c:dLbl>
            <c:dLbl>
              <c:idx val="1"/>
              <c:layout>
                <c:manualLayout>
                  <c:x val="-1.4814814814814815E-2"/>
                  <c:y val="0"/>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8518518518518517E-2"/>
                  <c:y val="0.16507936507936508"/>
                </c:manualLayout>
              </c:layout>
              <c:showLegendKey val="0"/>
              <c:showVal val="1"/>
              <c:showCatName val="0"/>
              <c:showSerName val="0"/>
              <c:showPercent val="0"/>
              <c:showBubbleSize val="0"/>
            </c:dLbl>
            <c:dLbl>
              <c:idx val="1"/>
              <c:layout>
                <c:manualLayout>
                  <c:x val="2.9629629629629631E-2"/>
                  <c:y val="0.3111111111111111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666637440"/>
        <c:axId val="666638976"/>
        <c:axId val="0"/>
      </c:bar3DChart>
      <c:catAx>
        <c:axId val="666637440"/>
        <c:scaling>
          <c:orientation val="minMax"/>
        </c:scaling>
        <c:delete val="0"/>
        <c:axPos val="b"/>
        <c:majorTickMark val="out"/>
        <c:minorTickMark val="none"/>
        <c:tickLblPos val="nextTo"/>
        <c:txPr>
          <a:bodyPr/>
          <a:lstStyle/>
          <a:p>
            <a:pPr>
              <a:defRPr sz="900"/>
            </a:pPr>
            <a:endParaRPr lang="es-ES"/>
          </a:p>
        </c:txPr>
        <c:crossAx val="666638976"/>
        <c:crosses val="autoZero"/>
        <c:auto val="1"/>
        <c:lblAlgn val="ctr"/>
        <c:lblOffset val="100"/>
        <c:noMultiLvlLbl val="0"/>
      </c:catAx>
      <c:valAx>
        <c:axId val="666638976"/>
        <c:scaling>
          <c:orientation val="minMax"/>
        </c:scaling>
        <c:delete val="0"/>
        <c:axPos val="l"/>
        <c:majorGridlines/>
        <c:numFmt formatCode="0.00%" sourceLinked="1"/>
        <c:majorTickMark val="out"/>
        <c:minorTickMark val="none"/>
        <c:tickLblPos val="nextTo"/>
        <c:crossAx val="666637440"/>
        <c:crosses val="autoZero"/>
        <c:crossBetween val="between"/>
      </c:valAx>
      <c:spPr>
        <a:ln w="25400">
          <a:noFill/>
        </a:ln>
      </c:spPr>
    </c:plotArea>
    <c:legend>
      <c:legendPos val="t"/>
      <c:layout>
        <c:manualLayout>
          <c:xMode val="edge"/>
          <c:yMode val="edge"/>
          <c:x val="3.0863589967920678E-2"/>
          <c:y val="0.14672619047619048"/>
          <c:w val="0.53135741025884276"/>
          <c:h val="0.1919656917885264"/>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6.741725049388346E-2"/>
                  <c:y val="0.18045362909608798"/>
                </c:manualLayout>
              </c:layout>
              <c:showLegendKey val="0"/>
              <c:showVal val="1"/>
              <c:showCatName val="0"/>
              <c:showSerName val="0"/>
              <c:showPercent val="0"/>
              <c:showBubbleSize val="0"/>
            </c:dLbl>
            <c:dLbl>
              <c:idx val="1"/>
              <c:layout>
                <c:manualLayout>
                  <c:x val="-2.9271975008887577E-2"/>
                  <c:y val="-6.3578099249221749E-4"/>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2.6037276360150657E-2"/>
                  <c:y val="0.19100457019113171"/>
                </c:manualLayout>
              </c:layout>
              <c:showLegendKey val="0"/>
              <c:showVal val="1"/>
              <c:showCatName val="0"/>
              <c:showSerName val="0"/>
              <c:showPercent val="0"/>
              <c:showBubbleSize val="0"/>
            </c:dLbl>
            <c:dLbl>
              <c:idx val="1"/>
              <c:layout>
                <c:manualLayout>
                  <c:x val="3.8745210324645313E-2"/>
                  <c:y val="0.38444749452190036"/>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666666112"/>
        <c:axId val="666667648"/>
        <c:axId val="0"/>
      </c:bar3DChart>
      <c:catAx>
        <c:axId val="666666112"/>
        <c:scaling>
          <c:orientation val="minMax"/>
        </c:scaling>
        <c:delete val="0"/>
        <c:axPos val="b"/>
        <c:majorTickMark val="out"/>
        <c:minorTickMark val="none"/>
        <c:tickLblPos val="nextTo"/>
        <c:crossAx val="666667648"/>
        <c:crosses val="autoZero"/>
        <c:auto val="1"/>
        <c:lblAlgn val="ctr"/>
        <c:lblOffset val="100"/>
        <c:noMultiLvlLbl val="0"/>
      </c:catAx>
      <c:valAx>
        <c:axId val="666667648"/>
        <c:scaling>
          <c:orientation val="minMax"/>
        </c:scaling>
        <c:delete val="0"/>
        <c:axPos val="l"/>
        <c:majorGridlines/>
        <c:numFmt formatCode="0%" sourceLinked="1"/>
        <c:majorTickMark val="out"/>
        <c:minorTickMark val="none"/>
        <c:tickLblPos val="nextTo"/>
        <c:crossAx val="666666112"/>
        <c:crosses val="autoZero"/>
        <c:crossBetween val="between"/>
      </c:valAx>
    </c:plotArea>
    <c:legend>
      <c:legendPos val="r"/>
      <c:layout>
        <c:manualLayout>
          <c:xMode val="edge"/>
          <c:yMode val="edge"/>
          <c:x val="0.67859474784903229"/>
          <c:y val="0.22046040852472906"/>
          <c:w val="0.26867208443864304"/>
          <c:h val="0.47271624665498724"/>
        </c:manualLayout>
      </c:layout>
      <c:overlay val="0"/>
      <c:txPr>
        <a:bodyPr/>
        <a:lstStyle/>
        <a:p>
          <a:pPr>
            <a:defRPr sz="10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22554267171934919"/>
          <c:y val="6.5724613867893522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0316730581587965"/>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650942336"/>
        <c:axId val="650943872"/>
        <c:axId val="0"/>
      </c:bar3DChart>
      <c:catAx>
        <c:axId val="650942336"/>
        <c:scaling>
          <c:orientation val="minMax"/>
        </c:scaling>
        <c:delete val="0"/>
        <c:axPos val="b"/>
        <c:majorTickMark val="out"/>
        <c:minorTickMark val="none"/>
        <c:tickLblPos val="nextTo"/>
        <c:crossAx val="650943872"/>
        <c:crosses val="autoZero"/>
        <c:auto val="1"/>
        <c:lblAlgn val="ctr"/>
        <c:lblOffset val="100"/>
        <c:noMultiLvlLbl val="0"/>
      </c:catAx>
      <c:valAx>
        <c:axId val="650943872"/>
        <c:scaling>
          <c:orientation val="minMax"/>
        </c:scaling>
        <c:delete val="0"/>
        <c:axPos val="l"/>
        <c:majorGridlines/>
        <c:numFmt formatCode="0%" sourceLinked="1"/>
        <c:majorTickMark val="out"/>
        <c:minorTickMark val="none"/>
        <c:tickLblPos val="nextTo"/>
        <c:crossAx val="650942336"/>
        <c:crosses val="autoZero"/>
        <c:crossBetween val="between"/>
      </c:valAx>
    </c:plotArea>
    <c:legend>
      <c:legendPos val="r"/>
      <c:layout>
        <c:manualLayout>
          <c:xMode val="edge"/>
          <c:yMode val="edge"/>
          <c:x val="0.63993888823598544"/>
          <c:y val="0.1301214925453906"/>
          <c:w val="0.35404868714119897"/>
          <c:h val="0.72809805990746002"/>
        </c:manualLayout>
      </c:layout>
      <c:overlay val="0"/>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showLegendKey val="0"/>
              <c:showVal val="1"/>
              <c:showCatName val="0"/>
              <c:showSerName val="0"/>
              <c:showPercent val="0"/>
              <c:showBubbleSize val="0"/>
            </c:dLbl>
            <c:dLbl>
              <c:idx val="1"/>
              <c:layout>
                <c:manualLayout>
                  <c:x val="3.1210234846298663E-3"/>
                  <c:y val="0.33881995692242506"/>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664975232"/>
        <c:axId val="664976768"/>
        <c:axId val="0"/>
      </c:bar3DChart>
      <c:catAx>
        <c:axId val="664975232"/>
        <c:scaling>
          <c:orientation val="minMax"/>
        </c:scaling>
        <c:delete val="0"/>
        <c:axPos val="b"/>
        <c:majorTickMark val="out"/>
        <c:minorTickMark val="none"/>
        <c:tickLblPos val="nextTo"/>
        <c:crossAx val="664976768"/>
        <c:crosses val="autoZero"/>
        <c:auto val="1"/>
        <c:lblAlgn val="ctr"/>
        <c:lblOffset val="100"/>
        <c:noMultiLvlLbl val="0"/>
      </c:catAx>
      <c:valAx>
        <c:axId val="664976768"/>
        <c:scaling>
          <c:orientation val="minMax"/>
        </c:scaling>
        <c:delete val="0"/>
        <c:axPos val="l"/>
        <c:majorGridlines/>
        <c:numFmt formatCode="0.00%" sourceLinked="1"/>
        <c:majorTickMark val="out"/>
        <c:minorTickMark val="none"/>
        <c:tickLblPos val="nextTo"/>
        <c:crossAx val="664975232"/>
        <c:crosses val="autoZero"/>
        <c:crossBetween val="between"/>
      </c:valAx>
    </c:plotArea>
    <c:legend>
      <c:legendPos val="r"/>
      <c:layout>
        <c:manualLayout>
          <c:xMode val="edge"/>
          <c:yMode val="edge"/>
          <c:x val="0.64673786787289889"/>
          <c:y val="0.22453908783880755"/>
          <c:w val="0.33198553638242029"/>
          <c:h val="0.53056897656930191"/>
        </c:manualLayout>
      </c:layout>
      <c:overlay val="0"/>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63017877482296"/>
          <c:y val="5.1612903225806452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655249408"/>
        <c:axId val="655250944"/>
      </c:lineChart>
      <c:catAx>
        <c:axId val="655249408"/>
        <c:scaling>
          <c:orientation val="minMax"/>
        </c:scaling>
        <c:delete val="0"/>
        <c:axPos val="b"/>
        <c:majorTickMark val="out"/>
        <c:minorTickMark val="none"/>
        <c:tickLblPos val="nextTo"/>
        <c:crossAx val="655250944"/>
        <c:crosses val="autoZero"/>
        <c:auto val="1"/>
        <c:lblAlgn val="ctr"/>
        <c:lblOffset val="100"/>
        <c:noMultiLvlLbl val="0"/>
      </c:catAx>
      <c:valAx>
        <c:axId val="655250944"/>
        <c:scaling>
          <c:orientation val="minMax"/>
        </c:scaling>
        <c:delete val="0"/>
        <c:axPos val="l"/>
        <c:majorGridlines/>
        <c:numFmt formatCode="0%" sourceLinked="1"/>
        <c:majorTickMark val="out"/>
        <c:minorTickMark val="none"/>
        <c:tickLblPos val="nextTo"/>
        <c:crossAx val="655249408"/>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8310077519379845"/>
          <c:y val="3.0360531309297913E-2"/>
        </c:manualLayout>
      </c:layout>
      <c:overlay val="0"/>
      <c:txPr>
        <a:bodyPr/>
        <a:lstStyle/>
        <a:p>
          <a:pPr>
            <a:defRPr sz="1200"/>
          </a:pPr>
          <a:endParaRPr lang="es-ES"/>
        </a:p>
      </c:txPr>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17994333094726792"/>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4.4296788482834993E-3"/>
                  <c:y val="0.20454545454545456"/>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655259904"/>
        <c:axId val="655273984"/>
        <c:axId val="0"/>
      </c:bar3DChart>
      <c:catAx>
        <c:axId val="655259904"/>
        <c:scaling>
          <c:orientation val="minMax"/>
        </c:scaling>
        <c:delete val="0"/>
        <c:axPos val="b"/>
        <c:majorTickMark val="out"/>
        <c:minorTickMark val="none"/>
        <c:tickLblPos val="nextTo"/>
        <c:crossAx val="655273984"/>
        <c:crosses val="autoZero"/>
        <c:auto val="1"/>
        <c:lblAlgn val="ctr"/>
        <c:lblOffset val="100"/>
        <c:noMultiLvlLbl val="0"/>
      </c:catAx>
      <c:valAx>
        <c:axId val="655273984"/>
        <c:scaling>
          <c:orientation val="minMax"/>
        </c:scaling>
        <c:delete val="0"/>
        <c:axPos val="l"/>
        <c:majorGridlines/>
        <c:numFmt formatCode="0.00%" sourceLinked="1"/>
        <c:majorTickMark val="out"/>
        <c:minorTickMark val="none"/>
        <c:tickLblPos val="nextTo"/>
        <c:crossAx val="655259904"/>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dLbls>
            <c:dLbl>
              <c:idx val="0"/>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0"/>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ofPieChart>
    </c:plotArea>
    <c:legend>
      <c:legendPos val="b"/>
      <c:legendEntry>
        <c:idx val="0"/>
        <c:delete val="1"/>
      </c:legendEntry>
      <c:layout>
        <c:manualLayout>
          <c:xMode val="edge"/>
          <c:yMode val="edge"/>
          <c:x val="0"/>
          <c:y val="0.81412141736461774"/>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cdr:y>
    </cdr:from>
    <cdr:to>
      <cdr:x>0.21046</cdr:x>
      <cdr:y>0.14405</cdr:y>
    </cdr:to>
    <cdr:sp macro="" textlink="">
      <cdr:nvSpPr>
        <cdr:cNvPr id="2" name="1 Cuadro de texto"/>
        <cdr:cNvSpPr txBox="1"/>
      </cdr:nvSpPr>
      <cdr:spPr>
        <a:xfrm xmlns:a="http://schemas.openxmlformats.org/drawingml/2006/main">
          <a:off x="0" y="0"/>
          <a:ext cx="695325"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7</a:t>
          </a:r>
          <a:endParaRPr lang="es-ES" sz="1100" b="1" i="1">
            <a:solidFill>
              <a:schemeClr val="accent5">
                <a:lumMod val="75000"/>
              </a:schemeClr>
            </a:solidFill>
          </a:endParaRP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0.24784</cdr:x>
      <cdr:y>0.12871</cdr:y>
    </cdr:to>
    <cdr:sp macro="" textlink="">
      <cdr:nvSpPr>
        <cdr:cNvPr id="2" name="1 Cuadro de texto"/>
        <cdr:cNvSpPr txBox="1"/>
      </cdr:nvSpPr>
      <cdr:spPr>
        <a:xfrm xmlns:a="http://schemas.openxmlformats.org/drawingml/2006/main">
          <a:off x="0" y="0"/>
          <a:ext cx="8191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6</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0.00496</cdr:y>
    </cdr:from>
    <cdr:to>
      <cdr:x>0.23636</cdr:x>
      <cdr:y>0.19326</cdr:y>
    </cdr:to>
    <cdr:sp macro="" textlink="">
      <cdr:nvSpPr>
        <cdr:cNvPr id="2" name="1 Cuadro de texto"/>
        <cdr:cNvSpPr txBox="1"/>
      </cdr:nvSpPr>
      <cdr:spPr>
        <a:xfrm xmlns:a="http://schemas.openxmlformats.org/drawingml/2006/main">
          <a:off x="-9525" y="9525"/>
          <a:ext cx="781050"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chemeClr val="accent5">
                  <a:lumMod val="75000"/>
                </a:schemeClr>
              </a:solidFill>
            </a:rPr>
            <a:t>Figura</a:t>
          </a:r>
          <a:r>
            <a:rPr lang="es-ES" sz="1100" b="1" i="1" baseline="0">
              <a:solidFill>
                <a:schemeClr val="accent5">
                  <a:lumMod val="75000"/>
                </a:schemeClr>
              </a:solidFill>
            </a:rPr>
            <a:t> 5</a:t>
          </a:r>
        </a:p>
      </cdr:txBody>
    </cdr:sp>
  </cdr:relSizeAnchor>
</c:userShapes>
</file>

<file path=word/drawings/drawing2.xml><?xml version="1.0" encoding="utf-8"?>
<c:userShapes xmlns:c="http://schemas.openxmlformats.org/drawingml/2006/chart">
  <cdr:relSizeAnchor xmlns:cdr="http://schemas.openxmlformats.org/drawingml/2006/chartDrawing">
    <cdr:from>
      <cdr:x>0.70512</cdr:x>
      <cdr:y>0.77632</cdr:y>
    </cdr:from>
    <cdr:to>
      <cdr:x>1</cdr:x>
      <cdr:y>1</cdr:y>
    </cdr:to>
    <cdr:sp macro="" textlink="">
      <cdr:nvSpPr>
        <cdr:cNvPr id="2" name="1 Cuadro de texto"/>
        <cdr:cNvSpPr txBox="1"/>
      </cdr:nvSpPr>
      <cdr:spPr>
        <a:xfrm xmlns:a="http://schemas.openxmlformats.org/drawingml/2006/main">
          <a:off x="1746234" y="1123950"/>
          <a:ext cx="730266"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a:t>
          </a:r>
        </a:p>
      </cdr:txBody>
    </cdr:sp>
  </cdr:relSizeAnchor>
</c:userShapes>
</file>

<file path=word/drawings/drawing3.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4.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5.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4</a:t>
          </a:r>
        </a:p>
      </cdr:txBody>
    </cdr:sp>
  </cdr:relSizeAnchor>
</c:userShapes>
</file>

<file path=word/drawings/drawing6.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7.xml><?xml version="1.0" encoding="utf-8"?>
<c:userShapes xmlns:c="http://schemas.openxmlformats.org/drawingml/2006/chart">
  <cdr:relSizeAnchor xmlns:cdr="http://schemas.openxmlformats.org/drawingml/2006/chartDrawing">
    <cdr:from>
      <cdr:x>0.04435</cdr:x>
      <cdr:y>0.82386</cdr:y>
    </cdr:from>
    <cdr:to>
      <cdr:x>0.43548</cdr:x>
      <cdr:y>0.96591</cdr:y>
    </cdr:to>
    <cdr:sp macro="" textlink="">
      <cdr:nvSpPr>
        <cdr:cNvPr id="2" name="1 Cuadro de texto"/>
        <cdr:cNvSpPr txBox="1"/>
      </cdr:nvSpPr>
      <cdr:spPr>
        <a:xfrm xmlns:a="http://schemas.openxmlformats.org/drawingml/2006/main">
          <a:off x="104775" y="1381125"/>
          <a:ext cx="9239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8.</a:t>
          </a:r>
        </a:p>
        <a:p xmlns:a="http://schemas.openxmlformats.org/drawingml/2006/main">
          <a:endParaRPr lang="es-ES" sz="1100" b="1" i="1"/>
        </a:p>
      </cdr:txBody>
    </cdr:sp>
  </cdr:relSizeAnchor>
</c:userShapes>
</file>

<file path=word/drawings/drawing8.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9.</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11067"/>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ECA7-B07E-46C8-9DCB-DBD9494C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6917</TotalTime>
  <Pages>23</Pages>
  <Words>12565</Words>
  <Characters>69108</Characters>
  <Application>Microsoft Office Word</Application>
  <DocSecurity>0</DocSecurity>
  <Lines>575</Lines>
  <Paragraphs>163</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81510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83</cp:revision>
  <dcterms:created xsi:type="dcterms:W3CDTF">2009-12-19T20:05:00Z</dcterms:created>
  <dcterms:modified xsi:type="dcterms:W3CDTF">2018-04-06T15:03:00Z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