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drawings/drawing13.xml" ContentType="application/vnd.openxmlformats-officedocument.drawingml.chartshapes+xml"/>
  <Override PartName="/word/charts/chart14.xml" ContentType="application/vnd.openxmlformats-officedocument.drawingml.chart+xml"/>
  <Override PartName="/word/drawings/drawing14.xml" ContentType="application/vnd.openxmlformats-officedocument.drawingml.chartshapes+xml"/>
  <Override PartName="/word/charts/chart15.xml" ContentType="application/vnd.openxmlformats-officedocument.drawingml.chart+xml"/>
  <Override PartName="/word/drawings/drawing15.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2F6" w:rsidRDefault="004052F6" w:rsidP="0018396A">
      <w:pPr>
        <w:pStyle w:val="Ttulo"/>
        <w:jc w:val="both"/>
      </w:pPr>
      <w:r>
        <w:rPr>
          <w:noProof/>
          <w:lang w:eastAsia="es-ES"/>
        </w:rPr>
        <w:drawing>
          <wp:anchor distT="0" distB="0" distL="114300" distR="114300" simplePos="0" relativeHeight="251669504" behindDoc="0" locked="0" layoutInCell="1" allowOverlap="1" wp14:anchorId="2D894AFF" wp14:editId="070EE7C4">
            <wp:simplePos x="0" y="0"/>
            <wp:positionH relativeFrom="margin">
              <wp:posOffset>-1278255</wp:posOffset>
            </wp:positionH>
            <wp:positionV relativeFrom="margin">
              <wp:posOffset>-672465</wp:posOffset>
            </wp:positionV>
            <wp:extent cx="7220585" cy="10582275"/>
            <wp:effectExtent l="0" t="0" r="0" b="0"/>
            <wp:wrapSquare wrapText="bothSides"/>
            <wp:docPr id="11" name="Imagen 11" descr="F:\portadina_lo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portadina_lok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0585" cy="1058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052F6" w:rsidRDefault="004052F6">
      <w:pPr>
        <w:rPr>
          <w:rFonts w:asciiTheme="majorHAnsi" w:eastAsiaTheme="majorEastAsia" w:hAnsiTheme="majorHAnsi" w:cstheme="majorBidi"/>
          <w:color w:val="232323" w:themeColor="text2" w:themeShade="BF"/>
          <w:spacing w:val="5"/>
          <w:kern w:val="28"/>
          <w:sz w:val="52"/>
          <w:szCs w:val="52"/>
        </w:rPr>
      </w:pPr>
      <w:r>
        <w:lastRenderedPageBreak/>
        <w:br w:type="page"/>
      </w:r>
    </w:p>
    <w:p w:rsidR="00900E8E" w:rsidRDefault="00900E8E" w:rsidP="0018396A">
      <w:pPr>
        <w:pStyle w:val="Ttulo"/>
        <w:jc w:val="both"/>
      </w:pPr>
      <w:r>
        <w:lastRenderedPageBreak/>
        <w:t>Resumen</w:t>
      </w:r>
    </w:p>
    <w:p w:rsidR="006B4F6F" w:rsidRDefault="00D4217F" w:rsidP="00DD169A">
      <w:pPr>
        <w:pStyle w:val="Ttulo3"/>
        <w:spacing w:before="0" w:line="240" w:lineRule="auto"/>
        <w:jc w:val="both"/>
        <w:rPr>
          <w:rFonts w:asciiTheme="minorHAnsi" w:hAnsiTheme="minorHAnsi" w:cstheme="minorHAnsi"/>
          <w:b w:val="0"/>
          <w:color w:val="auto"/>
        </w:rPr>
      </w:pPr>
      <w:bookmarkStart w:id="0" w:name="_Toc516070225"/>
      <w:r w:rsidRPr="00852CA4">
        <w:rPr>
          <w:color w:val="21272D" w:themeColor="accent5" w:themeShade="80"/>
        </w:rPr>
        <w:t>Introducción:</w:t>
      </w:r>
      <w:r w:rsidR="00852CA4">
        <w:rPr>
          <w:color w:val="1D103E"/>
        </w:rPr>
        <w:t xml:space="preserve"> </w:t>
      </w:r>
      <w:r w:rsidR="00852CA4" w:rsidRPr="00852CA4">
        <w:rPr>
          <w:rFonts w:asciiTheme="minorHAnsi" w:hAnsiTheme="minorHAnsi" w:cstheme="minorHAnsi"/>
          <w:b w:val="0"/>
          <w:color w:val="auto"/>
        </w:rPr>
        <w:t xml:space="preserve">El </w:t>
      </w:r>
      <w:r w:rsidR="00852CA4">
        <w:rPr>
          <w:rFonts w:asciiTheme="minorHAnsi" w:hAnsiTheme="minorHAnsi" w:cstheme="minorHAnsi"/>
          <w:b w:val="0"/>
          <w:color w:val="auto"/>
        </w:rPr>
        <w:t xml:space="preserve">desarrollo de las técnicas de diagnóstico por imagen y </w:t>
      </w:r>
      <w:r w:rsidR="000B5A23">
        <w:rPr>
          <w:rFonts w:asciiTheme="minorHAnsi" w:hAnsiTheme="minorHAnsi" w:cstheme="minorHAnsi"/>
          <w:b w:val="0"/>
          <w:color w:val="auto"/>
        </w:rPr>
        <w:t xml:space="preserve">la tendencia a aumentar su uso han conllevado el descubrimiento de una mayor prevalencia de aneurismas intracraneales incidentales. </w:t>
      </w:r>
      <w:r w:rsidR="001016FD">
        <w:rPr>
          <w:rFonts w:asciiTheme="minorHAnsi" w:hAnsiTheme="minorHAnsi" w:cstheme="minorHAnsi"/>
          <w:b w:val="0"/>
          <w:color w:val="auto"/>
        </w:rPr>
        <w:t xml:space="preserve">La evolución natural de un aneurisma es su </w:t>
      </w:r>
      <w:r w:rsidR="00852CA4" w:rsidRPr="00852CA4">
        <w:rPr>
          <w:rFonts w:asciiTheme="minorHAnsi" w:hAnsiTheme="minorHAnsi" w:cstheme="minorHAnsi"/>
          <w:b w:val="0"/>
          <w:color w:val="auto"/>
        </w:rPr>
        <w:t xml:space="preserve"> ruptura</w:t>
      </w:r>
      <w:r w:rsidR="001016FD">
        <w:rPr>
          <w:rFonts w:asciiTheme="minorHAnsi" w:hAnsiTheme="minorHAnsi" w:cstheme="minorHAnsi"/>
          <w:b w:val="0"/>
          <w:color w:val="auto"/>
        </w:rPr>
        <w:t>, con un riesgo de 1-2%</w:t>
      </w:r>
      <w:r w:rsidR="00454297">
        <w:rPr>
          <w:rFonts w:asciiTheme="minorHAnsi" w:hAnsiTheme="minorHAnsi" w:cstheme="minorHAnsi"/>
          <w:b w:val="0"/>
          <w:color w:val="auto"/>
        </w:rPr>
        <w:t>/</w:t>
      </w:r>
      <w:r w:rsidR="001016FD">
        <w:rPr>
          <w:rFonts w:asciiTheme="minorHAnsi" w:hAnsiTheme="minorHAnsi" w:cstheme="minorHAnsi"/>
          <w:b w:val="0"/>
          <w:color w:val="auto"/>
        </w:rPr>
        <w:t>año.</w:t>
      </w:r>
      <w:r w:rsidR="001016FD" w:rsidRPr="001016FD">
        <w:rPr>
          <w:rFonts w:asciiTheme="minorHAnsi" w:hAnsiTheme="minorHAnsi" w:cstheme="minorHAnsi"/>
          <w:b w:val="0"/>
          <w:color w:val="auto"/>
        </w:rPr>
        <w:t xml:space="preserve"> </w:t>
      </w:r>
      <w:r w:rsidR="001016FD">
        <w:rPr>
          <w:rFonts w:asciiTheme="minorHAnsi" w:hAnsiTheme="minorHAnsi" w:cstheme="minorHAnsi"/>
          <w:b w:val="0"/>
          <w:color w:val="auto"/>
        </w:rPr>
        <w:t xml:space="preserve">Las consecuencias de la </w:t>
      </w:r>
      <w:r w:rsidR="00454297">
        <w:rPr>
          <w:rFonts w:asciiTheme="minorHAnsi" w:hAnsiTheme="minorHAnsi" w:cstheme="minorHAnsi"/>
          <w:b w:val="0"/>
          <w:color w:val="auto"/>
        </w:rPr>
        <w:t>hemorragia subaracnoidea</w:t>
      </w:r>
      <w:r w:rsidR="001016FD">
        <w:rPr>
          <w:rFonts w:asciiTheme="minorHAnsi" w:hAnsiTheme="minorHAnsi" w:cstheme="minorHAnsi"/>
          <w:b w:val="0"/>
          <w:color w:val="auto"/>
        </w:rPr>
        <w:t xml:space="preserve"> pueden ser fatales, con un 50% de mortalidad global. Sobre el riesgo de ruptura influyen múltiples factores tanto dependientes del aneurism</w:t>
      </w:r>
      <w:r w:rsidR="00454297">
        <w:rPr>
          <w:rFonts w:asciiTheme="minorHAnsi" w:hAnsiTheme="minorHAnsi" w:cstheme="minorHAnsi"/>
          <w:b w:val="0"/>
          <w:color w:val="auto"/>
        </w:rPr>
        <w:t>a como del paciente, siendo la historia natural del aneurisma</w:t>
      </w:r>
      <w:r w:rsidR="001016FD">
        <w:rPr>
          <w:rFonts w:asciiTheme="minorHAnsi" w:hAnsiTheme="minorHAnsi" w:cstheme="minorHAnsi"/>
          <w:b w:val="0"/>
          <w:color w:val="auto"/>
        </w:rPr>
        <w:t xml:space="preserve"> </w:t>
      </w:r>
      <w:r w:rsidR="00454297">
        <w:rPr>
          <w:rFonts w:asciiTheme="minorHAnsi" w:hAnsiTheme="minorHAnsi" w:cstheme="minorHAnsi"/>
          <w:b w:val="0"/>
          <w:color w:val="auto"/>
        </w:rPr>
        <w:t>un tema controvertido. Aún no hay consenso sobre el manejo de esta patología. Para el tratamiento de los aneurismas existen dos alternativas, el clipaje quirúrgico, muy eficaz pero mayor tasa de complicaciones y el tratamiento endovascular con porcentaje de oclusión menor pero más seguro.</w:t>
      </w:r>
      <w:bookmarkEnd w:id="0"/>
    </w:p>
    <w:p w:rsidR="006B4F6F" w:rsidRPr="00057FFD" w:rsidRDefault="00454297" w:rsidP="00DD169A">
      <w:pPr>
        <w:pStyle w:val="Ttulo3"/>
        <w:spacing w:before="0" w:line="240" w:lineRule="auto"/>
        <w:jc w:val="both"/>
        <w:rPr>
          <w:rFonts w:asciiTheme="minorHAnsi" w:hAnsiTheme="minorHAnsi" w:cstheme="minorHAnsi"/>
          <w:b w:val="0"/>
          <w:color w:val="21272D" w:themeColor="accent5" w:themeShade="80"/>
        </w:rPr>
      </w:pPr>
      <w:bookmarkStart w:id="1" w:name="_Toc516070226"/>
      <w:r w:rsidRPr="00454297">
        <w:rPr>
          <w:color w:val="21272D" w:themeColor="accent5" w:themeShade="80"/>
        </w:rPr>
        <w:t xml:space="preserve">Objetivos: </w:t>
      </w:r>
      <w:r w:rsidR="00057FFD" w:rsidRPr="00057FFD">
        <w:rPr>
          <w:rFonts w:asciiTheme="minorHAnsi" w:hAnsiTheme="minorHAnsi" w:cstheme="minorHAnsi"/>
          <w:b w:val="0"/>
          <w:color w:val="auto"/>
        </w:rPr>
        <w:t>Analizar las características de los aneurismas de la muestra, las complicaciones del tratamiento</w:t>
      </w:r>
      <w:r w:rsidR="00057FFD">
        <w:rPr>
          <w:rFonts w:asciiTheme="minorHAnsi" w:hAnsiTheme="minorHAnsi" w:cstheme="minorHAnsi"/>
          <w:b w:val="0"/>
          <w:color w:val="auto"/>
        </w:rPr>
        <w:t xml:space="preserve"> y la seguridad del mismo.</w:t>
      </w:r>
      <w:bookmarkEnd w:id="1"/>
    </w:p>
    <w:p w:rsidR="00057FFD" w:rsidRDefault="00057FFD" w:rsidP="00DD169A">
      <w:pPr>
        <w:spacing w:line="240" w:lineRule="auto"/>
        <w:jc w:val="both"/>
      </w:pPr>
      <w:r>
        <w:rPr>
          <w:rFonts w:asciiTheme="majorHAnsi" w:hAnsiTheme="majorHAnsi" w:cstheme="minorHAnsi"/>
          <w:b/>
          <w:color w:val="21272D" w:themeColor="accent5" w:themeShade="80"/>
        </w:rPr>
        <w:t xml:space="preserve">Material y métodos: </w:t>
      </w:r>
      <w:r>
        <w:rPr>
          <w:rFonts w:cstheme="minorHAnsi"/>
        </w:rPr>
        <w:t xml:space="preserve">Se realizó un estudio descriptivo sobre 30 casos de aneurismas incidentales intracraneales no rotos tratados mediante tratamiento endovascular en el HUCA. Los datos se obtuvieron de las historias clínicas de los pacientes mediante el programa informático </w:t>
      </w:r>
      <w:r>
        <w:rPr>
          <w:rFonts w:cstheme="minorHAnsi"/>
          <w:i/>
        </w:rPr>
        <w:t>Cerner M</w:t>
      </w:r>
      <w:r w:rsidRPr="00057FFD">
        <w:rPr>
          <w:rFonts w:cstheme="minorHAnsi"/>
          <w:i/>
        </w:rPr>
        <w:t>illenium</w:t>
      </w:r>
      <w:r>
        <w:rPr>
          <w:rFonts w:cstheme="minorHAnsi"/>
        </w:rPr>
        <w:t xml:space="preserve"> y  los análisis estadísticos fueron realizados con </w:t>
      </w:r>
      <w:r>
        <w:rPr>
          <w:i/>
        </w:rPr>
        <w:t>IBM-SPSS 23.0.</w:t>
      </w:r>
    </w:p>
    <w:p w:rsidR="00057FFD" w:rsidRDefault="00057FFD" w:rsidP="00DD169A">
      <w:pPr>
        <w:spacing w:line="240" w:lineRule="auto"/>
        <w:jc w:val="both"/>
        <w:rPr>
          <w:rFonts w:cstheme="minorHAnsi"/>
        </w:rPr>
      </w:pPr>
      <w:r>
        <w:rPr>
          <w:rFonts w:asciiTheme="majorHAnsi" w:hAnsiTheme="majorHAnsi"/>
          <w:b/>
          <w:color w:val="21272D" w:themeColor="accent5" w:themeShade="80"/>
        </w:rPr>
        <w:t>Resultados:</w:t>
      </w:r>
      <w:r w:rsidR="000F28C1">
        <w:rPr>
          <w:rFonts w:asciiTheme="majorHAnsi" w:hAnsiTheme="majorHAnsi"/>
          <w:b/>
          <w:color w:val="21272D" w:themeColor="accent5" w:themeShade="80"/>
        </w:rPr>
        <w:t xml:space="preserve"> </w:t>
      </w:r>
      <w:r w:rsidR="00DE5CB5">
        <w:rPr>
          <w:rFonts w:cstheme="minorHAnsi"/>
        </w:rPr>
        <w:t xml:space="preserve">Había un 70% de mujeres, siendo la edad media al diagnóstico 60.13 años. Hubo un 40% de complicaciones menores, ningún exitus ni secuela permanente. </w:t>
      </w:r>
      <w:r w:rsidR="00262DF8">
        <w:rPr>
          <w:rFonts w:cstheme="minorHAnsi"/>
        </w:rPr>
        <w:t xml:space="preserve">No se encontró relación entre complicaciones y ninguna otra variable. </w:t>
      </w:r>
      <w:r w:rsidR="00092551">
        <w:rPr>
          <w:rFonts w:cstheme="minorHAnsi"/>
        </w:rPr>
        <w:t>Se encontró relación entre localización del aneurisma y su tamaño y morfología. Hallamos también asociación entre el número de aneurismas y presencia de antecedentes de hemorragia subaracnoidea, además de relacionarse con el tamaño de los aneurismas</w:t>
      </w:r>
      <w:r w:rsidR="000E5457">
        <w:rPr>
          <w:rFonts w:cstheme="minorHAnsi"/>
        </w:rPr>
        <w:t>,</w:t>
      </w:r>
      <w:r w:rsidR="00092551">
        <w:rPr>
          <w:rFonts w:cstheme="minorHAnsi"/>
        </w:rPr>
        <w:t xml:space="preserve"> de manera que los aneurismas únicos tienen un tamaño menor. El hábito tabáquico también demostró influencia sobre la evolución de los aneurismas, relacionándose con el número </w:t>
      </w:r>
      <w:r w:rsidR="000E5457">
        <w:rPr>
          <w:rFonts w:cstheme="minorHAnsi"/>
        </w:rPr>
        <w:t>de aneurismas</w:t>
      </w:r>
      <w:r w:rsidR="00092551">
        <w:rPr>
          <w:rFonts w:cstheme="minorHAnsi"/>
        </w:rPr>
        <w:t xml:space="preserve"> y su localización. No vimos diferencias respecto a la seguridad y eficacia del </w:t>
      </w:r>
      <w:r w:rsidR="000E5457">
        <w:rPr>
          <w:rFonts w:cstheme="minorHAnsi"/>
        </w:rPr>
        <w:t>tratamiento ni según edad ni</w:t>
      </w:r>
      <w:r w:rsidR="00092551">
        <w:rPr>
          <w:rFonts w:cstheme="minorHAnsi"/>
        </w:rPr>
        <w:t xml:space="preserve"> </w:t>
      </w:r>
      <w:r w:rsidR="00BB6175">
        <w:rPr>
          <w:rFonts w:cstheme="minorHAnsi"/>
        </w:rPr>
        <w:t xml:space="preserve">tamaño ni </w:t>
      </w:r>
      <w:r w:rsidR="000E5457">
        <w:rPr>
          <w:rFonts w:cstheme="minorHAnsi"/>
        </w:rPr>
        <w:t xml:space="preserve">por </w:t>
      </w:r>
      <w:r w:rsidR="00BB6175">
        <w:rPr>
          <w:rFonts w:cstheme="minorHAnsi"/>
        </w:rPr>
        <w:t>localización de los aneurismas.</w:t>
      </w:r>
    </w:p>
    <w:p w:rsidR="006B4F6F" w:rsidRDefault="00262DF8" w:rsidP="00DD169A">
      <w:pPr>
        <w:spacing w:line="240" w:lineRule="auto"/>
        <w:jc w:val="both"/>
        <w:rPr>
          <w:rFonts w:cstheme="minorHAnsi"/>
        </w:rPr>
      </w:pPr>
      <w:r>
        <w:rPr>
          <w:rFonts w:asciiTheme="majorHAnsi" w:hAnsiTheme="majorHAnsi" w:cstheme="minorHAnsi"/>
          <w:b/>
          <w:color w:val="21272D" w:themeColor="accent5" w:themeShade="80"/>
        </w:rPr>
        <w:t xml:space="preserve">Conclusiones: </w:t>
      </w:r>
      <w:r>
        <w:rPr>
          <w:rFonts w:cstheme="minorHAnsi"/>
        </w:rPr>
        <w:t>El tratamiento endovascular es una alternativa segura para el tratamiento de aneurismas incidentales. Existen múltiples factores que influyen en la evolución del aneurisma, a los cuales se debe prestar atención de cara a decidir el tratamiento del paciente. Aún la historia natural de aneurisma es desconocida, es necesaria la realización de un estudio prospectivo aleatorizado para descubrir cuáles son los factores determinante</w:t>
      </w:r>
      <w:r w:rsidR="007B2750">
        <w:rPr>
          <w:rFonts w:cstheme="minorHAnsi"/>
        </w:rPr>
        <w:t>s que indican cuándo y cómo tratar los aneurismas. De esta manera el paciente a</w:t>
      </w:r>
      <w:r w:rsidR="000E5457">
        <w:rPr>
          <w:rFonts w:cstheme="minorHAnsi"/>
        </w:rPr>
        <w:t>sumiría el menor riesgo posible.</w:t>
      </w:r>
    </w:p>
    <w:p w:rsidR="000E5457" w:rsidRDefault="000E5457" w:rsidP="00DD169A">
      <w:pPr>
        <w:spacing w:line="240" w:lineRule="auto"/>
        <w:jc w:val="both"/>
      </w:pPr>
    </w:p>
    <w:p w:rsidR="000E5457" w:rsidRDefault="000E545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0E5457" w:rsidRPr="006B4F6F" w:rsidRDefault="000E5457" w:rsidP="00DD169A">
      <w:pPr>
        <w:spacing w:line="240" w:lineRule="auto"/>
        <w:jc w:val="both"/>
      </w:pPr>
    </w:p>
    <w:p w:rsidR="007E5172" w:rsidRDefault="000E5457" w:rsidP="00DD169A">
      <w:pPr>
        <w:pStyle w:val="Ttulo"/>
        <w:jc w:val="both"/>
      </w:pPr>
      <w:r>
        <w:lastRenderedPageBreak/>
        <w:t>P</w:t>
      </w:r>
      <w:r w:rsidR="007E5172">
        <w:t>alabras clave</w:t>
      </w:r>
    </w:p>
    <w:p w:rsidR="00FE78C1" w:rsidRDefault="00FE78C1" w:rsidP="00DD169A">
      <w:pPr>
        <w:pStyle w:val="Prrafodelista"/>
        <w:numPr>
          <w:ilvl w:val="0"/>
          <w:numId w:val="4"/>
        </w:numPr>
        <w:spacing w:line="240" w:lineRule="auto"/>
        <w:jc w:val="both"/>
      </w:pPr>
      <w:r>
        <w:t>ACoP: Arteria Comunicante Posterior</w:t>
      </w:r>
    </w:p>
    <w:p w:rsidR="007E1D23" w:rsidRDefault="007E1D23" w:rsidP="00DD169A">
      <w:pPr>
        <w:pStyle w:val="Prrafodelista"/>
        <w:numPr>
          <w:ilvl w:val="0"/>
          <w:numId w:val="4"/>
        </w:numPr>
        <w:spacing w:line="240" w:lineRule="auto"/>
        <w:jc w:val="both"/>
      </w:pPr>
      <w:r>
        <w:t>ACM: Arteria Cerebral Media</w:t>
      </w:r>
    </w:p>
    <w:p w:rsidR="00AE1648" w:rsidRDefault="007E5172" w:rsidP="00DD169A">
      <w:pPr>
        <w:pStyle w:val="Prrafodelista"/>
        <w:numPr>
          <w:ilvl w:val="0"/>
          <w:numId w:val="4"/>
        </w:numPr>
        <w:spacing w:line="240" w:lineRule="auto"/>
        <w:jc w:val="both"/>
      </w:pPr>
      <w:r>
        <w:t>HSA: Hemorragia Subaracnoidea</w:t>
      </w:r>
    </w:p>
    <w:p w:rsidR="00AE1648" w:rsidRDefault="007E5172" w:rsidP="00DD169A">
      <w:pPr>
        <w:pStyle w:val="Prrafodelista"/>
        <w:numPr>
          <w:ilvl w:val="0"/>
          <w:numId w:val="4"/>
        </w:numPr>
        <w:spacing w:line="240" w:lineRule="auto"/>
        <w:jc w:val="both"/>
      </w:pPr>
      <w:r>
        <w:t>ACI: Arteria Carótida Interna</w:t>
      </w:r>
    </w:p>
    <w:p w:rsidR="000D6641" w:rsidRDefault="000D6641" w:rsidP="00DD169A">
      <w:pPr>
        <w:pStyle w:val="Prrafodelista"/>
        <w:numPr>
          <w:ilvl w:val="0"/>
          <w:numId w:val="4"/>
        </w:numPr>
        <w:spacing w:line="240" w:lineRule="auto"/>
        <w:jc w:val="both"/>
      </w:pPr>
      <w:r>
        <w:t xml:space="preserve">NIS: </w:t>
      </w:r>
      <w:r w:rsidRPr="000D6641">
        <w:t>Nation</w:t>
      </w:r>
      <w:r w:rsidR="004625BB">
        <w:t>al</w:t>
      </w:r>
      <w:r w:rsidRPr="000D6641">
        <w:t xml:space="preserve"> Inpatient Sample</w:t>
      </w:r>
    </w:p>
    <w:p w:rsidR="00AE1648" w:rsidRDefault="008428FC" w:rsidP="00DD169A">
      <w:pPr>
        <w:pStyle w:val="Prrafodelista"/>
        <w:numPr>
          <w:ilvl w:val="0"/>
          <w:numId w:val="4"/>
        </w:numPr>
        <w:spacing w:line="240" w:lineRule="auto"/>
        <w:jc w:val="both"/>
      </w:pPr>
      <w:r>
        <w:t>TC: Tomografía Computarizada</w:t>
      </w:r>
    </w:p>
    <w:p w:rsidR="00852CA4" w:rsidRDefault="00852CA4" w:rsidP="00DD169A">
      <w:pPr>
        <w:pStyle w:val="Prrafodelista"/>
        <w:numPr>
          <w:ilvl w:val="0"/>
          <w:numId w:val="4"/>
        </w:numPr>
        <w:spacing w:line="240" w:lineRule="auto"/>
        <w:jc w:val="both"/>
      </w:pPr>
      <w:r>
        <w:t>HUCA: Hospital Universitario Central de Asturias</w:t>
      </w:r>
    </w:p>
    <w:p w:rsidR="00AE1648" w:rsidRDefault="008428FC" w:rsidP="00DD169A">
      <w:pPr>
        <w:pStyle w:val="Prrafodelista"/>
        <w:numPr>
          <w:ilvl w:val="0"/>
          <w:numId w:val="4"/>
        </w:numPr>
        <w:spacing w:line="240" w:lineRule="auto"/>
        <w:jc w:val="both"/>
      </w:pPr>
      <w:r>
        <w:t>AAS: Ácido Acetilsalic</w:t>
      </w:r>
      <w:r w:rsidR="004A4BEC">
        <w:t>ílico</w:t>
      </w:r>
    </w:p>
    <w:p w:rsidR="00AE1648" w:rsidRDefault="004A4BEC" w:rsidP="00DD169A">
      <w:pPr>
        <w:pStyle w:val="Prrafodelista"/>
        <w:numPr>
          <w:ilvl w:val="0"/>
          <w:numId w:val="4"/>
        </w:numPr>
        <w:spacing w:line="240" w:lineRule="auto"/>
        <w:jc w:val="both"/>
      </w:pPr>
      <w:r>
        <w:t>DM: Diabetes Mellitus</w:t>
      </w:r>
    </w:p>
    <w:p w:rsidR="004A4BEC" w:rsidRDefault="004A4BEC" w:rsidP="00DD169A">
      <w:pPr>
        <w:pStyle w:val="Prrafodelista"/>
        <w:numPr>
          <w:ilvl w:val="0"/>
          <w:numId w:val="4"/>
        </w:numPr>
        <w:spacing w:line="240" w:lineRule="auto"/>
        <w:jc w:val="both"/>
      </w:pPr>
      <w:r>
        <w:t>HPBM</w:t>
      </w:r>
      <w:r w:rsidR="00AE1648">
        <w:t>: Heparina</w:t>
      </w:r>
      <w:r>
        <w:t xml:space="preserve"> de Bajo Peso Molecular</w:t>
      </w:r>
    </w:p>
    <w:p w:rsidR="00F632EC" w:rsidRDefault="00F632EC" w:rsidP="00DD169A">
      <w:pPr>
        <w:pStyle w:val="Prrafodelista"/>
        <w:numPr>
          <w:ilvl w:val="0"/>
          <w:numId w:val="4"/>
        </w:numPr>
        <w:spacing w:line="240" w:lineRule="auto"/>
        <w:jc w:val="both"/>
      </w:pPr>
      <w:r>
        <w:t>TEV: Tratamiento endovascular</w:t>
      </w:r>
    </w:p>
    <w:p w:rsidR="005B305F" w:rsidRDefault="0080226F" w:rsidP="00DD169A">
      <w:pPr>
        <w:pStyle w:val="Prrafodelista"/>
        <w:numPr>
          <w:ilvl w:val="0"/>
          <w:numId w:val="4"/>
        </w:numPr>
        <w:spacing w:line="240" w:lineRule="auto"/>
        <w:jc w:val="both"/>
      </w:pPr>
      <w:r>
        <w:t>ACoA: Arteria Comunicante Anterior</w:t>
      </w:r>
    </w:p>
    <w:p w:rsidR="00FE78C1" w:rsidRDefault="005B305F" w:rsidP="00DD169A">
      <w:pPr>
        <w:pStyle w:val="Prrafodelista"/>
        <w:numPr>
          <w:ilvl w:val="0"/>
          <w:numId w:val="4"/>
        </w:numPr>
        <w:spacing w:line="240" w:lineRule="auto"/>
        <w:jc w:val="both"/>
      </w:pPr>
      <w:r>
        <w:t>IC: Intervalo de Confianza</w:t>
      </w:r>
    </w:p>
    <w:p w:rsidR="00FE78C1" w:rsidRPr="007E5172" w:rsidRDefault="00FE78C1" w:rsidP="00DD169A">
      <w:pPr>
        <w:pStyle w:val="Prrafodelista"/>
        <w:numPr>
          <w:ilvl w:val="0"/>
          <w:numId w:val="4"/>
        </w:numPr>
        <w:spacing w:line="240" w:lineRule="auto"/>
        <w:jc w:val="both"/>
        <w:sectPr w:rsidR="00FE78C1" w:rsidRPr="007E5172" w:rsidSect="00B44379">
          <w:headerReference w:type="even" r:id="rId10"/>
          <w:footerReference w:type="even" r:id="rId11"/>
          <w:footerReference w:type="default" r:id="rId12"/>
          <w:headerReference w:type="first" r:id="rId13"/>
          <w:footerReference w:type="first" r:id="rId14"/>
          <w:type w:val="oddPage"/>
          <w:pgSz w:w="11906" w:h="16838" w:code="9"/>
          <w:pgMar w:top="1134" w:right="1134" w:bottom="1134" w:left="1134" w:header="567" w:footer="567" w:gutter="1134"/>
          <w:cols w:space="708"/>
          <w:titlePg/>
          <w:docGrid w:linePitch="360"/>
        </w:sectPr>
      </w:pPr>
    </w:p>
    <w:p w:rsidR="002F717A" w:rsidRPr="002F717A" w:rsidRDefault="002F717A" w:rsidP="002F717A">
      <w:pPr>
        <w:pStyle w:val="Ttulo"/>
        <w:jc w:val="both"/>
      </w:pPr>
      <w:r>
        <w:lastRenderedPageBreak/>
        <w:t>Índice General</w:t>
      </w:r>
      <w:r w:rsidR="001E752C">
        <w:fldChar w:fldCharType="begin"/>
      </w:r>
      <w:r w:rsidR="00DB36DF">
        <w:instrText xml:space="preserve"> TOC \o "1-3" \h \z \u </w:instrText>
      </w:r>
      <w:r w:rsidR="001E752C">
        <w:fldChar w:fldCharType="separate"/>
      </w:r>
    </w:p>
    <w:p w:rsidR="002F717A" w:rsidRDefault="002F717A">
      <w:pPr>
        <w:pStyle w:val="TDC1"/>
        <w:tabs>
          <w:tab w:val="right" w:leader="dot" w:pos="8494"/>
        </w:tabs>
        <w:rPr>
          <w:rFonts w:eastAsiaTheme="minorEastAsia"/>
          <w:b w:val="0"/>
          <w:bCs w:val="0"/>
          <w:caps w:val="0"/>
          <w:noProof/>
          <w:sz w:val="22"/>
          <w:szCs w:val="22"/>
          <w:lang w:eastAsia="es-ES"/>
        </w:rPr>
      </w:pPr>
      <w:hyperlink w:anchor="_Toc516070227" w:history="1">
        <w:r w:rsidRPr="00C4366F">
          <w:rPr>
            <w:rStyle w:val="Hipervnculo"/>
            <w:noProof/>
          </w:rPr>
          <w:t>Introducción</w:t>
        </w:r>
        <w:r>
          <w:rPr>
            <w:noProof/>
            <w:webHidden/>
          </w:rPr>
          <w:tab/>
        </w:r>
        <w:r>
          <w:rPr>
            <w:noProof/>
            <w:webHidden/>
          </w:rPr>
          <w:fldChar w:fldCharType="begin"/>
        </w:r>
        <w:r>
          <w:rPr>
            <w:noProof/>
            <w:webHidden/>
          </w:rPr>
          <w:instrText xml:space="preserve"> PAGEREF _Toc516070227 \h </w:instrText>
        </w:r>
        <w:r>
          <w:rPr>
            <w:noProof/>
            <w:webHidden/>
          </w:rPr>
        </w:r>
        <w:r>
          <w:rPr>
            <w:noProof/>
            <w:webHidden/>
          </w:rPr>
          <w:fldChar w:fldCharType="separate"/>
        </w:r>
        <w:r>
          <w:rPr>
            <w:noProof/>
            <w:webHidden/>
          </w:rPr>
          <w:t>8</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28" w:history="1">
        <w:r w:rsidRPr="00C4366F">
          <w:rPr>
            <w:rStyle w:val="Hipervnculo"/>
            <w:noProof/>
          </w:rPr>
          <w:t>Definición de aneurisma incidental</w:t>
        </w:r>
        <w:r>
          <w:rPr>
            <w:noProof/>
            <w:webHidden/>
          </w:rPr>
          <w:tab/>
        </w:r>
        <w:r>
          <w:rPr>
            <w:noProof/>
            <w:webHidden/>
          </w:rPr>
          <w:fldChar w:fldCharType="begin"/>
        </w:r>
        <w:r>
          <w:rPr>
            <w:noProof/>
            <w:webHidden/>
          </w:rPr>
          <w:instrText xml:space="preserve"> PAGEREF _Toc516070228 \h </w:instrText>
        </w:r>
        <w:r>
          <w:rPr>
            <w:noProof/>
            <w:webHidden/>
          </w:rPr>
        </w:r>
        <w:r>
          <w:rPr>
            <w:noProof/>
            <w:webHidden/>
          </w:rPr>
          <w:fldChar w:fldCharType="separate"/>
        </w:r>
        <w:r>
          <w:rPr>
            <w:noProof/>
            <w:webHidden/>
          </w:rPr>
          <w:t>8</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29" w:history="1">
        <w:r w:rsidRPr="00C4366F">
          <w:rPr>
            <w:rStyle w:val="Hipervnculo"/>
            <w:noProof/>
          </w:rPr>
          <w:t>Epidemiología</w:t>
        </w:r>
        <w:r>
          <w:rPr>
            <w:noProof/>
            <w:webHidden/>
          </w:rPr>
          <w:tab/>
        </w:r>
        <w:r>
          <w:rPr>
            <w:noProof/>
            <w:webHidden/>
          </w:rPr>
          <w:fldChar w:fldCharType="begin"/>
        </w:r>
        <w:r>
          <w:rPr>
            <w:noProof/>
            <w:webHidden/>
          </w:rPr>
          <w:instrText xml:space="preserve"> PAGEREF _Toc516070229 \h </w:instrText>
        </w:r>
        <w:r>
          <w:rPr>
            <w:noProof/>
            <w:webHidden/>
          </w:rPr>
        </w:r>
        <w:r>
          <w:rPr>
            <w:noProof/>
            <w:webHidden/>
          </w:rPr>
          <w:fldChar w:fldCharType="separate"/>
        </w:r>
        <w:r>
          <w:rPr>
            <w:noProof/>
            <w:webHidden/>
          </w:rPr>
          <w:t>9</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30" w:history="1">
        <w:r w:rsidRPr="00C4366F">
          <w:rPr>
            <w:rStyle w:val="Hipervnculo"/>
            <w:noProof/>
          </w:rPr>
          <w:t>Historia natural del aneurisma</w:t>
        </w:r>
        <w:r>
          <w:rPr>
            <w:noProof/>
            <w:webHidden/>
          </w:rPr>
          <w:tab/>
        </w:r>
        <w:r>
          <w:rPr>
            <w:noProof/>
            <w:webHidden/>
          </w:rPr>
          <w:fldChar w:fldCharType="begin"/>
        </w:r>
        <w:r>
          <w:rPr>
            <w:noProof/>
            <w:webHidden/>
          </w:rPr>
          <w:instrText xml:space="preserve"> PAGEREF _Toc516070230 \h </w:instrText>
        </w:r>
        <w:r>
          <w:rPr>
            <w:noProof/>
            <w:webHidden/>
          </w:rPr>
        </w:r>
        <w:r>
          <w:rPr>
            <w:noProof/>
            <w:webHidden/>
          </w:rPr>
          <w:fldChar w:fldCharType="separate"/>
        </w:r>
        <w:r>
          <w:rPr>
            <w:noProof/>
            <w:webHidden/>
          </w:rPr>
          <w:t>9</w:t>
        </w:r>
        <w:r>
          <w:rPr>
            <w:noProof/>
            <w:webHidden/>
          </w:rPr>
          <w:fldChar w:fldCharType="end"/>
        </w:r>
      </w:hyperlink>
    </w:p>
    <w:p w:rsidR="002F717A" w:rsidRDefault="002F717A">
      <w:pPr>
        <w:pStyle w:val="TDC3"/>
        <w:tabs>
          <w:tab w:val="right" w:leader="dot" w:pos="8494"/>
        </w:tabs>
        <w:rPr>
          <w:rFonts w:eastAsiaTheme="minorEastAsia"/>
          <w:i w:val="0"/>
          <w:iCs w:val="0"/>
          <w:noProof/>
          <w:sz w:val="22"/>
          <w:szCs w:val="22"/>
          <w:lang w:eastAsia="es-ES"/>
        </w:rPr>
      </w:pPr>
      <w:hyperlink w:anchor="_Toc516070231" w:history="1">
        <w:r w:rsidRPr="00C4366F">
          <w:rPr>
            <w:rStyle w:val="Hipervnculo"/>
            <w:noProof/>
          </w:rPr>
          <w:t>Hemorragia Subaracnoidea (HSA)</w:t>
        </w:r>
        <w:r>
          <w:rPr>
            <w:noProof/>
            <w:webHidden/>
          </w:rPr>
          <w:tab/>
        </w:r>
        <w:r>
          <w:rPr>
            <w:noProof/>
            <w:webHidden/>
          </w:rPr>
          <w:fldChar w:fldCharType="begin"/>
        </w:r>
        <w:r>
          <w:rPr>
            <w:noProof/>
            <w:webHidden/>
          </w:rPr>
          <w:instrText xml:space="preserve"> PAGEREF _Toc516070231 \h </w:instrText>
        </w:r>
        <w:r>
          <w:rPr>
            <w:noProof/>
            <w:webHidden/>
          </w:rPr>
        </w:r>
        <w:r>
          <w:rPr>
            <w:noProof/>
            <w:webHidden/>
          </w:rPr>
          <w:fldChar w:fldCharType="separate"/>
        </w:r>
        <w:r>
          <w:rPr>
            <w:noProof/>
            <w:webHidden/>
          </w:rPr>
          <w:t>9</w:t>
        </w:r>
        <w:r>
          <w:rPr>
            <w:noProof/>
            <w:webHidden/>
          </w:rPr>
          <w:fldChar w:fldCharType="end"/>
        </w:r>
      </w:hyperlink>
    </w:p>
    <w:p w:rsidR="002F717A" w:rsidRDefault="002F717A">
      <w:pPr>
        <w:pStyle w:val="TDC3"/>
        <w:tabs>
          <w:tab w:val="right" w:leader="dot" w:pos="8494"/>
        </w:tabs>
        <w:rPr>
          <w:rFonts w:eastAsiaTheme="minorEastAsia"/>
          <w:i w:val="0"/>
          <w:iCs w:val="0"/>
          <w:noProof/>
          <w:sz w:val="22"/>
          <w:szCs w:val="22"/>
          <w:lang w:eastAsia="es-ES"/>
        </w:rPr>
      </w:pPr>
      <w:hyperlink w:anchor="_Toc516070232" w:history="1">
        <w:r w:rsidRPr="00C4366F">
          <w:rPr>
            <w:rStyle w:val="Hipervnculo"/>
            <w:noProof/>
          </w:rPr>
          <w:t>Factores pronósticos y factores de riesgo de ruptura aneurismática</w:t>
        </w:r>
        <w:r>
          <w:rPr>
            <w:noProof/>
            <w:webHidden/>
          </w:rPr>
          <w:tab/>
        </w:r>
        <w:r>
          <w:rPr>
            <w:noProof/>
            <w:webHidden/>
          </w:rPr>
          <w:fldChar w:fldCharType="begin"/>
        </w:r>
        <w:r>
          <w:rPr>
            <w:noProof/>
            <w:webHidden/>
          </w:rPr>
          <w:instrText xml:space="preserve"> PAGEREF _Toc516070232 \h </w:instrText>
        </w:r>
        <w:r>
          <w:rPr>
            <w:noProof/>
            <w:webHidden/>
          </w:rPr>
        </w:r>
        <w:r>
          <w:rPr>
            <w:noProof/>
            <w:webHidden/>
          </w:rPr>
          <w:fldChar w:fldCharType="separate"/>
        </w:r>
        <w:r>
          <w:rPr>
            <w:noProof/>
            <w:webHidden/>
          </w:rPr>
          <w:t>12</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33" w:history="1">
        <w:r w:rsidRPr="00C4366F">
          <w:rPr>
            <w:rStyle w:val="Hipervnculo"/>
            <w:noProof/>
          </w:rPr>
          <w:t>Tratamiento de los aneurismas incidentales</w:t>
        </w:r>
        <w:r>
          <w:rPr>
            <w:noProof/>
            <w:webHidden/>
          </w:rPr>
          <w:tab/>
        </w:r>
        <w:r>
          <w:rPr>
            <w:noProof/>
            <w:webHidden/>
          </w:rPr>
          <w:fldChar w:fldCharType="begin"/>
        </w:r>
        <w:r>
          <w:rPr>
            <w:noProof/>
            <w:webHidden/>
          </w:rPr>
          <w:instrText xml:space="preserve"> PAGEREF _Toc516070233 \h </w:instrText>
        </w:r>
        <w:r>
          <w:rPr>
            <w:noProof/>
            <w:webHidden/>
          </w:rPr>
        </w:r>
        <w:r>
          <w:rPr>
            <w:noProof/>
            <w:webHidden/>
          </w:rPr>
          <w:fldChar w:fldCharType="separate"/>
        </w:r>
        <w:r>
          <w:rPr>
            <w:noProof/>
            <w:webHidden/>
          </w:rPr>
          <w:t>14</w:t>
        </w:r>
        <w:r>
          <w:rPr>
            <w:noProof/>
            <w:webHidden/>
          </w:rPr>
          <w:fldChar w:fldCharType="end"/>
        </w:r>
      </w:hyperlink>
    </w:p>
    <w:p w:rsidR="002F717A" w:rsidRDefault="002F717A">
      <w:pPr>
        <w:pStyle w:val="TDC3"/>
        <w:tabs>
          <w:tab w:val="right" w:leader="dot" w:pos="8494"/>
        </w:tabs>
        <w:rPr>
          <w:rFonts w:eastAsiaTheme="minorEastAsia"/>
          <w:i w:val="0"/>
          <w:iCs w:val="0"/>
          <w:noProof/>
          <w:sz w:val="22"/>
          <w:szCs w:val="22"/>
          <w:lang w:eastAsia="es-ES"/>
        </w:rPr>
      </w:pPr>
      <w:hyperlink w:anchor="_Toc516070234" w:history="1">
        <w:r w:rsidRPr="00C4366F">
          <w:rPr>
            <w:rStyle w:val="Hipervnculo"/>
            <w:noProof/>
          </w:rPr>
          <w:t>Tratamiento quirúrgico</w:t>
        </w:r>
        <w:r>
          <w:rPr>
            <w:noProof/>
            <w:webHidden/>
          </w:rPr>
          <w:tab/>
        </w:r>
        <w:r>
          <w:rPr>
            <w:noProof/>
            <w:webHidden/>
          </w:rPr>
          <w:fldChar w:fldCharType="begin"/>
        </w:r>
        <w:r>
          <w:rPr>
            <w:noProof/>
            <w:webHidden/>
          </w:rPr>
          <w:instrText xml:space="preserve"> PAGEREF _Toc516070234 \h </w:instrText>
        </w:r>
        <w:r>
          <w:rPr>
            <w:noProof/>
            <w:webHidden/>
          </w:rPr>
        </w:r>
        <w:r>
          <w:rPr>
            <w:noProof/>
            <w:webHidden/>
          </w:rPr>
          <w:fldChar w:fldCharType="separate"/>
        </w:r>
        <w:r>
          <w:rPr>
            <w:noProof/>
            <w:webHidden/>
          </w:rPr>
          <w:t>14</w:t>
        </w:r>
        <w:r>
          <w:rPr>
            <w:noProof/>
            <w:webHidden/>
          </w:rPr>
          <w:fldChar w:fldCharType="end"/>
        </w:r>
      </w:hyperlink>
    </w:p>
    <w:p w:rsidR="002F717A" w:rsidRDefault="002F717A">
      <w:pPr>
        <w:pStyle w:val="TDC3"/>
        <w:tabs>
          <w:tab w:val="right" w:leader="dot" w:pos="8494"/>
        </w:tabs>
        <w:rPr>
          <w:rFonts w:eastAsiaTheme="minorEastAsia"/>
          <w:i w:val="0"/>
          <w:iCs w:val="0"/>
          <w:noProof/>
          <w:sz w:val="22"/>
          <w:szCs w:val="22"/>
          <w:lang w:eastAsia="es-ES"/>
        </w:rPr>
      </w:pPr>
      <w:hyperlink w:anchor="_Toc516070235" w:history="1">
        <w:r w:rsidRPr="00C4366F">
          <w:rPr>
            <w:rStyle w:val="Hipervnculo"/>
            <w:noProof/>
          </w:rPr>
          <w:t>Tratamiento endovascular</w:t>
        </w:r>
        <w:r>
          <w:rPr>
            <w:noProof/>
            <w:webHidden/>
          </w:rPr>
          <w:tab/>
        </w:r>
        <w:r>
          <w:rPr>
            <w:noProof/>
            <w:webHidden/>
          </w:rPr>
          <w:fldChar w:fldCharType="begin"/>
        </w:r>
        <w:r>
          <w:rPr>
            <w:noProof/>
            <w:webHidden/>
          </w:rPr>
          <w:instrText xml:space="preserve"> PAGEREF _Toc516070235 \h </w:instrText>
        </w:r>
        <w:r>
          <w:rPr>
            <w:noProof/>
            <w:webHidden/>
          </w:rPr>
        </w:r>
        <w:r>
          <w:rPr>
            <w:noProof/>
            <w:webHidden/>
          </w:rPr>
          <w:fldChar w:fldCharType="separate"/>
        </w:r>
        <w:r>
          <w:rPr>
            <w:noProof/>
            <w:webHidden/>
          </w:rPr>
          <w:t>15</w:t>
        </w:r>
        <w:r>
          <w:rPr>
            <w:noProof/>
            <w:webHidden/>
          </w:rPr>
          <w:fldChar w:fldCharType="end"/>
        </w:r>
      </w:hyperlink>
    </w:p>
    <w:p w:rsidR="002F717A" w:rsidRDefault="002F717A">
      <w:pPr>
        <w:pStyle w:val="TDC1"/>
        <w:tabs>
          <w:tab w:val="right" w:leader="dot" w:pos="8494"/>
        </w:tabs>
        <w:rPr>
          <w:rFonts w:eastAsiaTheme="minorEastAsia"/>
          <w:b w:val="0"/>
          <w:bCs w:val="0"/>
          <w:caps w:val="0"/>
          <w:noProof/>
          <w:sz w:val="22"/>
          <w:szCs w:val="22"/>
          <w:lang w:eastAsia="es-ES"/>
        </w:rPr>
      </w:pPr>
      <w:hyperlink w:anchor="_Toc516070236" w:history="1">
        <w:r w:rsidRPr="00C4366F">
          <w:rPr>
            <w:rStyle w:val="Hipervnculo"/>
            <w:noProof/>
          </w:rPr>
          <w:t>Justificación del Proyecto</w:t>
        </w:r>
        <w:r>
          <w:rPr>
            <w:noProof/>
            <w:webHidden/>
          </w:rPr>
          <w:tab/>
        </w:r>
        <w:r>
          <w:rPr>
            <w:noProof/>
            <w:webHidden/>
          </w:rPr>
          <w:fldChar w:fldCharType="begin"/>
        </w:r>
        <w:r>
          <w:rPr>
            <w:noProof/>
            <w:webHidden/>
          </w:rPr>
          <w:instrText xml:space="preserve"> PAGEREF _Toc516070236 \h </w:instrText>
        </w:r>
        <w:r>
          <w:rPr>
            <w:noProof/>
            <w:webHidden/>
          </w:rPr>
        </w:r>
        <w:r>
          <w:rPr>
            <w:noProof/>
            <w:webHidden/>
          </w:rPr>
          <w:fldChar w:fldCharType="separate"/>
        </w:r>
        <w:r>
          <w:rPr>
            <w:noProof/>
            <w:webHidden/>
          </w:rPr>
          <w:t>17</w:t>
        </w:r>
        <w:r>
          <w:rPr>
            <w:noProof/>
            <w:webHidden/>
          </w:rPr>
          <w:fldChar w:fldCharType="end"/>
        </w:r>
      </w:hyperlink>
    </w:p>
    <w:p w:rsidR="002F717A" w:rsidRDefault="002F717A">
      <w:pPr>
        <w:pStyle w:val="TDC1"/>
        <w:tabs>
          <w:tab w:val="right" w:leader="dot" w:pos="8494"/>
        </w:tabs>
        <w:rPr>
          <w:rFonts w:eastAsiaTheme="minorEastAsia"/>
          <w:b w:val="0"/>
          <w:bCs w:val="0"/>
          <w:caps w:val="0"/>
          <w:noProof/>
          <w:sz w:val="22"/>
          <w:szCs w:val="22"/>
          <w:lang w:eastAsia="es-ES"/>
        </w:rPr>
      </w:pPr>
      <w:hyperlink w:anchor="_Toc516070237" w:history="1">
        <w:r w:rsidRPr="00C4366F">
          <w:rPr>
            <w:rStyle w:val="Hipervnculo"/>
            <w:noProof/>
          </w:rPr>
          <w:t>Objetivos</w:t>
        </w:r>
        <w:r>
          <w:rPr>
            <w:noProof/>
            <w:webHidden/>
          </w:rPr>
          <w:tab/>
        </w:r>
        <w:r>
          <w:rPr>
            <w:noProof/>
            <w:webHidden/>
          </w:rPr>
          <w:fldChar w:fldCharType="begin"/>
        </w:r>
        <w:r>
          <w:rPr>
            <w:noProof/>
            <w:webHidden/>
          </w:rPr>
          <w:instrText xml:space="preserve"> PAGEREF _Toc516070237 \h </w:instrText>
        </w:r>
        <w:r>
          <w:rPr>
            <w:noProof/>
            <w:webHidden/>
          </w:rPr>
        </w:r>
        <w:r>
          <w:rPr>
            <w:noProof/>
            <w:webHidden/>
          </w:rPr>
          <w:fldChar w:fldCharType="separate"/>
        </w:r>
        <w:r>
          <w:rPr>
            <w:noProof/>
            <w:webHidden/>
          </w:rPr>
          <w:t>17</w:t>
        </w:r>
        <w:r>
          <w:rPr>
            <w:noProof/>
            <w:webHidden/>
          </w:rPr>
          <w:fldChar w:fldCharType="end"/>
        </w:r>
      </w:hyperlink>
    </w:p>
    <w:p w:rsidR="002F717A" w:rsidRDefault="002F717A">
      <w:pPr>
        <w:pStyle w:val="TDC1"/>
        <w:tabs>
          <w:tab w:val="right" w:leader="dot" w:pos="8494"/>
        </w:tabs>
        <w:rPr>
          <w:rFonts w:eastAsiaTheme="minorEastAsia"/>
          <w:b w:val="0"/>
          <w:bCs w:val="0"/>
          <w:caps w:val="0"/>
          <w:noProof/>
          <w:sz w:val="22"/>
          <w:szCs w:val="22"/>
          <w:lang w:eastAsia="es-ES"/>
        </w:rPr>
      </w:pPr>
      <w:hyperlink w:anchor="_Toc516070238" w:history="1">
        <w:r w:rsidRPr="00C4366F">
          <w:rPr>
            <w:rStyle w:val="Hipervnculo"/>
            <w:noProof/>
          </w:rPr>
          <w:t>Material y métodos</w:t>
        </w:r>
        <w:r>
          <w:rPr>
            <w:noProof/>
            <w:webHidden/>
          </w:rPr>
          <w:tab/>
        </w:r>
        <w:r>
          <w:rPr>
            <w:noProof/>
            <w:webHidden/>
          </w:rPr>
          <w:fldChar w:fldCharType="begin"/>
        </w:r>
        <w:r>
          <w:rPr>
            <w:noProof/>
            <w:webHidden/>
          </w:rPr>
          <w:instrText xml:space="preserve"> PAGEREF _Toc516070238 \h </w:instrText>
        </w:r>
        <w:r>
          <w:rPr>
            <w:noProof/>
            <w:webHidden/>
          </w:rPr>
        </w:r>
        <w:r>
          <w:rPr>
            <w:noProof/>
            <w:webHidden/>
          </w:rPr>
          <w:fldChar w:fldCharType="separate"/>
        </w:r>
        <w:r>
          <w:rPr>
            <w:noProof/>
            <w:webHidden/>
          </w:rPr>
          <w:t>18</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39" w:history="1">
        <w:r w:rsidRPr="00C4366F">
          <w:rPr>
            <w:rStyle w:val="Hipervnculo"/>
            <w:noProof/>
          </w:rPr>
          <w:t>Criterios de inclusión</w:t>
        </w:r>
        <w:r>
          <w:rPr>
            <w:noProof/>
            <w:webHidden/>
          </w:rPr>
          <w:tab/>
        </w:r>
        <w:r>
          <w:rPr>
            <w:noProof/>
            <w:webHidden/>
          </w:rPr>
          <w:fldChar w:fldCharType="begin"/>
        </w:r>
        <w:r>
          <w:rPr>
            <w:noProof/>
            <w:webHidden/>
          </w:rPr>
          <w:instrText xml:space="preserve"> PAGEREF _Toc516070239 \h </w:instrText>
        </w:r>
        <w:r>
          <w:rPr>
            <w:noProof/>
            <w:webHidden/>
          </w:rPr>
        </w:r>
        <w:r>
          <w:rPr>
            <w:noProof/>
            <w:webHidden/>
          </w:rPr>
          <w:fldChar w:fldCharType="separate"/>
        </w:r>
        <w:r>
          <w:rPr>
            <w:noProof/>
            <w:webHidden/>
          </w:rPr>
          <w:t>18</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40" w:history="1">
        <w:r w:rsidRPr="00C4366F">
          <w:rPr>
            <w:rStyle w:val="Hipervnculo"/>
            <w:noProof/>
          </w:rPr>
          <w:t>Datos recogidos</w:t>
        </w:r>
        <w:r>
          <w:rPr>
            <w:noProof/>
            <w:webHidden/>
          </w:rPr>
          <w:tab/>
        </w:r>
        <w:r>
          <w:rPr>
            <w:noProof/>
            <w:webHidden/>
          </w:rPr>
          <w:fldChar w:fldCharType="begin"/>
        </w:r>
        <w:r>
          <w:rPr>
            <w:noProof/>
            <w:webHidden/>
          </w:rPr>
          <w:instrText xml:space="preserve"> PAGEREF _Toc516070240 \h </w:instrText>
        </w:r>
        <w:r>
          <w:rPr>
            <w:noProof/>
            <w:webHidden/>
          </w:rPr>
        </w:r>
        <w:r>
          <w:rPr>
            <w:noProof/>
            <w:webHidden/>
          </w:rPr>
          <w:fldChar w:fldCharType="separate"/>
        </w:r>
        <w:r>
          <w:rPr>
            <w:noProof/>
            <w:webHidden/>
          </w:rPr>
          <w:t>18</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41" w:history="1">
        <w:r w:rsidRPr="00C4366F">
          <w:rPr>
            <w:rStyle w:val="Hipervnculo"/>
            <w:noProof/>
          </w:rPr>
          <w:t>Análisis estadístico</w:t>
        </w:r>
        <w:r>
          <w:rPr>
            <w:noProof/>
            <w:webHidden/>
          </w:rPr>
          <w:tab/>
        </w:r>
        <w:r>
          <w:rPr>
            <w:noProof/>
            <w:webHidden/>
          </w:rPr>
          <w:fldChar w:fldCharType="begin"/>
        </w:r>
        <w:r>
          <w:rPr>
            <w:noProof/>
            <w:webHidden/>
          </w:rPr>
          <w:instrText xml:space="preserve"> PAGEREF _Toc516070241 \h </w:instrText>
        </w:r>
        <w:r>
          <w:rPr>
            <w:noProof/>
            <w:webHidden/>
          </w:rPr>
        </w:r>
        <w:r>
          <w:rPr>
            <w:noProof/>
            <w:webHidden/>
          </w:rPr>
          <w:fldChar w:fldCharType="separate"/>
        </w:r>
        <w:r>
          <w:rPr>
            <w:noProof/>
            <w:webHidden/>
          </w:rPr>
          <w:t>19</w:t>
        </w:r>
        <w:r>
          <w:rPr>
            <w:noProof/>
            <w:webHidden/>
          </w:rPr>
          <w:fldChar w:fldCharType="end"/>
        </w:r>
      </w:hyperlink>
    </w:p>
    <w:p w:rsidR="002F717A" w:rsidRDefault="002F717A">
      <w:pPr>
        <w:pStyle w:val="TDC3"/>
        <w:tabs>
          <w:tab w:val="right" w:leader="dot" w:pos="8494"/>
        </w:tabs>
        <w:rPr>
          <w:rFonts w:eastAsiaTheme="minorEastAsia"/>
          <w:i w:val="0"/>
          <w:iCs w:val="0"/>
          <w:noProof/>
          <w:sz w:val="22"/>
          <w:szCs w:val="22"/>
          <w:lang w:eastAsia="es-ES"/>
        </w:rPr>
      </w:pPr>
      <w:hyperlink w:anchor="_Toc516070242" w:history="1">
        <w:r w:rsidRPr="00C4366F">
          <w:rPr>
            <w:rStyle w:val="Hipervnculo"/>
            <w:noProof/>
          </w:rPr>
          <w:t>Descriptivo</w:t>
        </w:r>
        <w:r>
          <w:rPr>
            <w:noProof/>
            <w:webHidden/>
          </w:rPr>
          <w:tab/>
        </w:r>
        <w:r>
          <w:rPr>
            <w:noProof/>
            <w:webHidden/>
          </w:rPr>
          <w:fldChar w:fldCharType="begin"/>
        </w:r>
        <w:r>
          <w:rPr>
            <w:noProof/>
            <w:webHidden/>
          </w:rPr>
          <w:instrText xml:space="preserve"> PAGEREF _Toc516070242 \h </w:instrText>
        </w:r>
        <w:r>
          <w:rPr>
            <w:noProof/>
            <w:webHidden/>
          </w:rPr>
        </w:r>
        <w:r>
          <w:rPr>
            <w:noProof/>
            <w:webHidden/>
          </w:rPr>
          <w:fldChar w:fldCharType="separate"/>
        </w:r>
        <w:r>
          <w:rPr>
            <w:noProof/>
            <w:webHidden/>
          </w:rPr>
          <w:t>19</w:t>
        </w:r>
        <w:r>
          <w:rPr>
            <w:noProof/>
            <w:webHidden/>
          </w:rPr>
          <w:fldChar w:fldCharType="end"/>
        </w:r>
      </w:hyperlink>
    </w:p>
    <w:p w:rsidR="002F717A" w:rsidRDefault="002F717A">
      <w:pPr>
        <w:pStyle w:val="TDC3"/>
        <w:tabs>
          <w:tab w:val="right" w:leader="dot" w:pos="8494"/>
        </w:tabs>
        <w:rPr>
          <w:rFonts w:eastAsiaTheme="minorEastAsia"/>
          <w:i w:val="0"/>
          <w:iCs w:val="0"/>
          <w:noProof/>
          <w:sz w:val="22"/>
          <w:szCs w:val="22"/>
          <w:lang w:eastAsia="es-ES"/>
        </w:rPr>
      </w:pPr>
      <w:hyperlink w:anchor="_Toc516070243" w:history="1">
        <w:r w:rsidRPr="00C4366F">
          <w:rPr>
            <w:rStyle w:val="Hipervnculo"/>
            <w:rFonts w:eastAsia="ArialMT"/>
            <w:noProof/>
          </w:rPr>
          <w:t>Analítico</w:t>
        </w:r>
        <w:r>
          <w:rPr>
            <w:noProof/>
            <w:webHidden/>
          </w:rPr>
          <w:tab/>
        </w:r>
        <w:r>
          <w:rPr>
            <w:noProof/>
            <w:webHidden/>
          </w:rPr>
          <w:fldChar w:fldCharType="begin"/>
        </w:r>
        <w:r>
          <w:rPr>
            <w:noProof/>
            <w:webHidden/>
          </w:rPr>
          <w:instrText xml:space="preserve"> PAGEREF _Toc516070243 \h </w:instrText>
        </w:r>
        <w:r>
          <w:rPr>
            <w:noProof/>
            <w:webHidden/>
          </w:rPr>
        </w:r>
        <w:r>
          <w:rPr>
            <w:noProof/>
            <w:webHidden/>
          </w:rPr>
          <w:fldChar w:fldCharType="separate"/>
        </w:r>
        <w:r>
          <w:rPr>
            <w:noProof/>
            <w:webHidden/>
          </w:rPr>
          <w:t>19</w:t>
        </w:r>
        <w:r>
          <w:rPr>
            <w:noProof/>
            <w:webHidden/>
          </w:rPr>
          <w:fldChar w:fldCharType="end"/>
        </w:r>
      </w:hyperlink>
    </w:p>
    <w:p w:rsidR="002F717A" w:rsidRDefault="002F717A">
      <w:pPr>
        <w:pStyle w:val="TDC1"/>
        <w:tabs>
          <w:tab w:val="right" w:leader="dot" w:pos="8494"/>
        </w:tabs>
        <w:rPr>
          <w:rFonts w:eastAsiaTheme="minorEastAsia"/>
          <w:b w:val="0"/>
          <w:bCs w:val="0"/>
          <w:caps w:val="0"/>
          <w:noProof/>
          <w:sz w:val="22"/>
          <w:szCs w:val="22"/>
          <w:lang w:eastAsia="es-ES"/>
        </w:rPr>
      </w:pPr>
      <w:hyperlink w:anchor="_Toc516070244" w:history="1">
        <w:r w:rsidRPr="00C4366F">
          <w:rPr>
            <w:rStyle w:val="Hipervnculo"/>
            <w:noProof/>
          </w:rPr>
          <w:t>Resultados</w:t>
        </w:r>
        <w:r>
          <w:rPr>
            <w:noProof/>
            <w:webHidden/>
          </w:rPr>
          <w:tab/>
        </w:r>
        <w:r>
          <w:rPr>
            <w:noProof/>
            <w:webHidden/>
          </w:rPr>
          <w:fldChar w:fldCharType="begin"/>
        </w:r>
        <w:r>
          <w:rPr>
            <w:noProof/>
            <w:webHidden/>
          </w:rPr>
          <w:instrText xml:space="preserve"> PAGEREF _Toc516070244 \h </w:instrText>
        </w:r>
        <w:r>
          <w:rPr>
            <w:noProof/>
            <w:webHidden/>
          </w:rPr>
        </w:r>
        <w:r>
          <w:rPr>
            <w:noProof/>
            <w:webHidden/>
          </w:rPr>
          <w:fldChar w:fldCharType="separate"/>
        </w:r>
        <w:r>
          <w:rPr>
            <w:noProof/>
            <w:webHidden/>
          </w:rPr>
          <w:t>20</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45" w:history="1">
        <w:r w:rsidRPr="00C4366F">
          <w:rPr>
            <w:rStyle w:val="Hipervnculo"/>
            <w:noProof/>
          </w:rPr>
          <w:t>Descripción de la muestra</w:t>
        </w:r>
        <w:r>
          <w:rPr>
            <w:noProof/>
            <w:webHidden/>
          </w:rPr>
          <w:tab/>
        </w:r>
        <w:r>
          <w:rPr>
            <w:noProof/>
            <w:webHidden/>
          </w:rPr>
          <w:fldChar w:fldCharType="begin"/>
        </w:r>
        <w:r>
          <w:rPr>
            <w:noProof/>
            <w:webHidden/>
          </w:rPr>
          <w:instrText xml:space="preserve"> PAGEREF _Toc516070245 \h </w:instrText>
        </w:r>
        <w:r>
          <w:rPr>
            <w:noProof/>
            <w:webHidden/>
          </w:rPr>
        </w:r>
        <w:r>
          <w:rPr>
            <w:noProof/>
            <w:webHidden/>
          </w:rPr>
          <w:fldChar w:fldCharType="separate"/>
        </w:r>
        <w:r>
          <w:rPr>
            <w:noProof/>
            <w:webHidden/>
          </w:rPr>
          <w:t>20</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46" w:history="1">
        <w:r w:rsidRPr="00C4366F">
          <w:rPr>
            <w:rStyle w:val="Hipervnculo"/>
            <w:noProof/>
          </w:rPr>
          <w:t>Descripción de las complicaciones</w:t>
        </w:r>
        <w:r>
          <w:rPr>
            <w:noProof/>
            <w:webHidden/>
          </w:rPr>
          <w:tab/>
        </w:r>
        <w:r>
          <w:rPr>
            <w:noProof/>
            <w:webHidden/>
          </w:rPr>
          <w:fldChar w:fldCharType="begin"/>
        </w:r>
        <w:r>
          <w:rPr>
            <w:noProof/>
            <w:webHidden/>
          </w:rPr>
          <w:instrText xml:space="preserve"> PAGEREF _Toc516070246 \h </w:instrText>
        </w:r>
        <w:r>
          <w:rPr>
            <w:noProof/>
            <w:webHidden/>
          </w:rPr>
        </w:r>
        <w:r>
          <w:rPr>
            <w:noProof/>
            <w:webHidden/>
          </w:rPr>
          <w:fldChar w:fldCharType="separate"/>
        </w:r>
        <w:r>
          <w:rPr>
            <w:noProof/>
            <w:webHidden/>
          </w:rPr>
          <w:t>22</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47" w:history="1">
        <w:r w:rsidRPr="00C4366F">
          <w:rPr>
            <w:rStyle w:val="Hipervnculo"/>
            <w:noProof/>
          </w:rPr>
          <w:t>Relaciones entre variables</w:t>
        </w:r>
        <w:r>
          <w:rPr>
            <w:noProof/>
            <w:webHidden/>
          </w:rPr>
          <w:tab/>
        </w:r>
        <w:r>
          <w:rPr>
            <w:noProof/>
            <w:webHidden/>
          </w:rPr>
          <w:fldChar w:fldCharType="begin"/>
        </w:r>
        <w:r>
          <w:rPr>
            <w:noProof/>
            <w:webHidden/>
          </w:rPr>
          <w:instrText xml:space="preserve"> PAGEREF _Toc516070247 \h </w:instrText>
        </w:r>
        <w:r>
          <w:rPr>
            <w:noProof/>
            <w:webHidden/>
          </w:rPr>
        </w:r>
        <w:r>
          <w:rPr>
            <w:noProof/>
            <w:webHidden/>
          </w:rPr>
          <w:fldChar w:fldCharType="separate"/>
        </w:r>
        <w:r>
          <w:rPr>
            <w:noProof/>
            <w:webHidden/>
          </w:rPr>
          <w:t>24</w:t>
        </w:r>
        <w:r>
          <w:rPr>
            <w:noProof/>
            <w:webHidden/>
          </w:rPr>
          <w:fldChar w:fldCharType="end"/>
        </w:r>
      </w:hyperlink>
    </w:p>
    <w:p w:rsidR="002F717A" w:rsidRDefault="002F717A">
      <w:pPr>
        <w:pStyle w:val="TDC1"/>
        <w:tabs>
          <w:tab w:val="right" w:leader="dot" w:pos="8494"/>
        </w:tabs>
        <w:rPr>
          <w:rFonts w:eastAsiaTheme="minorEastAsia"/>
          <w:b w:val="0"/>
          <w:bCs w:val="0"/>
          <w:caps w:val="0"/>
          <w:noProof/>
          <w:sz w:val="22"/>
          <w:szCs w:val="22"/>
          <w:lang w:eastAsia="es-ES"/>
        </w:rPr>
      </w:pPr>
      <w:hyperlink w:anchor="_Toc516070248" w:history="1">
        <w:r w:rsidRPr="00C4366F">
          <w:rPr>
            <w:rStyle w:val="Hipervnculo"/>
            <w:noProof/>
          </w:rPr>
          <w:t>Discusión</w:t>
        </w:r>
        <w:r>
          <w:rPr>
            <w:noProof/>
            <w:webHidden/>
          </w:rPr>
          <w:tab/>
        </w:r>
        <w:r>
          <w:rPr>
            <w:noProof/>
            <w:webHidden/>
          </w:rPr>
          <w:fldChar w:fldCharType="begin"/>
        </w:r>
        <w:r>
          <w:rPr>
            <w:noProof/>
            <w:webHidden/>
          </w:rPr>
          <w:instrText xml:space="preserve"> PAGEREF _Toc516070248 \h </w:instrText>
        </w:r>
        <w:r>
          <w:rPr>
            <w:noProof/>
            <w:webHidden/>
          </w:rPr>
        </w:r>
        <w:r>
          <w:rPr>
            <w:noProof/>
            <w:webHidden/>
          </w:rPr>
          <w:fldChar w:fldCharType="separate"/>
        </w:r>
        <w:r>
          <w:rPr>
            <w:noProof/>
            <w:webHidden/>
          </w:rPr>
          <w:t>28</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49" w:history="1">
        <w:r w:rsidRPr="00C4366F">
          <w:rPr>
            <w:rStyle w:val="Hipervnculo"/>
            <w:noProof/>
          </w:rPr>
          <w:t>1.</w:t>
        </w:r>
        <w:r>
          <w:rPr>
            <w:rFonts w:eastAsiaTheme="minorEastAsia"/>
            <w:smallCaps w:val="0"/>
            <w:noProof/>
            <w:sz w:val="22"/>
            <w:szCs w:val="22"/>
            <w:lang w:eastAsia="es-ES"/>
          </w:rPr>
          <w:tab/>
        </w:r>
        <w:r w:rsidRPr="00C4366F">
          <w:rPr>
            <w:rStyle w:val="Hipervnculo"/>
            <w:noProof/>
          </w:rPr>
          <w:t>Análisis de las características epidemiológicas, clínicas y radiológicas de los aneurismas incidentales sometidos a tratamiento endovascular</w:t>
        </w:r>
        <w:r>
          <w:rPr>
            <w:noProof/>
            <w:webHidden/>
          </w:rPr>
          <w:tab/>
        </w:r>
        <w:r>
          <w:rPr>
            <w:noProof/>
            <w:webHidden/>
          </w:rPr>
          <w:fldChar w:fldCharType="begin"/>
        </w:r>
        <w:r>
          <w:rPr>
            <w:noProof/>
            <w:webHidden/>
          </w:rPr>
          <w:instrText xml:space="preserve"> PAGEREF _Toc516070249 \h </w:instrText>
        </w:r>
        <w:r>
          <w:rPr>
            <w:noProof/>
            <w:webHidden/>
          </w:rPr>
        </w:r>
        <w:r>
          <w:rPr>
            <w:noProof/>
            <w:webHidden/>
          </w:rPr>
          <w:fldChar w:fldCharType="separate"/>
        </w:r>
        <w:r>
          <w:rPr>
            <w:noProof/>
            <w:webHidden/>
          </w:rPr>
          <w:t>28</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50" w:history="1">
        <w:r w:rsidRPr="00C4366F">
          <w:rPr>
            <w:rStyle w:val="Hipervnculo"/>
            <w:noProof/>
          </w:rPr>
          <w:t>2.</w:t>
        </w:r>
        <w:r>
          <w:rPr>
            <w:rFonts w:eastAsiaTheme="minorEastAsia"/>
            <w:smallCaps w:val="0"/>
            <w:noProof/>
            <w:sz w:val="22"/>
            <w:szCs w:val="22"/>
            <w:lang w:eastAsia="es-ES"/>
          </w:rPr>
          <w:tab/>
        </w:r>
        <w:r w:rsidRPr="00C4366F">
          <w:rPr>
            <w:rStyle w:val="Hipervnculo"/>
            <w:noProof/>
          </w:rPr>
          <w:t>Análisis de las complicaciones del tratamiento endovascular de 30 casos de aneurismas intracraneales incidentales</w:t>
        </w:r>
        <w:r>
          <w:rPr>
            <w:noProof/>
            <w:webHidden/>
          </w:rPr>
          <w:tab/>
        </w:r>
        <w:r>
          <w:rPr>
            <w:noProof/>
            <w:webHidden/>
          </w:rPr>
          <w:fldChar w:fldCharType="begin"/>
        </w:r>
        <w:r>
          <w:rPr>
            <w:noProof/>
            <w:webHidden/>
          </w:rPr>
          <w:instrText xml:space="preserve"> PAGEREF _Toc516070250 \h </w:instrText>
        </w:r>
        <w:r>
          <w:rPr>
            <w:noProof/>
            <w:webHidden/>
          </w:rPr>
        </w:r>
        <w:r>
          <w:rPr>
            <w:noProof/>
            <w:webHidden/>
          </w:rPr>
          <w:fldChar w:fldCharType="separate"/>
        </w:r>
        <w:r>
          <w:rPr>
            <w:noProof/>
            <w:webHidden/>
          </w:rPr>
          <w:t>31</w:t>
        </w:r>
        <w:r>
          <w:rPr>
            <w:noProof/>
            <w:webHidden/>
          </w:rPr>
          <w:fldChar w:fldCharType="end"/>
        </w:r>
      </w:hyperlink>
    </w:p>
    <w:p w:rsidR="002F717A" w:rsidRDefault="002F717A">
      <w:pPr>
        <w:pStyle w:val="TDC2"/>
        <w:rPr>
          <w:rFonts w:eastAsiaTheme="minorEastAsia"/>
          <w:smallCaps w:val="0"/>
          <w:noProof/>
          <w:sz w:val="22"/>
          <w:szCs w:val="22"/>
          <w:lang w:eastAsia="es-ES"/>
        </w:rPr>
      </w:pPr>
      <w:hyperlink w:anchor="_Toc516070251" w:history="1">
        <w:r w:rsidRPr="00C4366F">
          <w:rPr>
            <w:rStyle w:val="Hipervnculo"/>
            <w:noProof/>
          </w:rPr>
          <w:t>3.</w:t>
        </w:r>
        <w:r>
          <w:rPr>
            <w:rFonts w:eastAsiaTheme="minorEastAsia"/>
            <w:smallCaps w:val="0"/>
            <w:noProof/>
            <w:sz w:val="22"/>
            <w:szCs w:val="22"/>
            <w:lang w:eastAsia="es-ES"/>
          </w:rPr>
          <w:tab/>
        </w:r>
        <w:r w:rsidRPr="00C4366F">
          <w:rPr>
            <w:rStyle w:val="Hipervnculo"/>
            <w:noProof/>
          </w:rPr>
          <w:t>Análisis de la seguridad del proceso endovascular frente al manejo conservador en aneurismas incidentales</w:t>
        </w:r>
        <w:r>
          <w:rPr>
            <w:noProof/>
            <w:webHidden/>
          </w:rPr>
          <w:tab/>
        </w:r>
        <w:r>
          <w:rPr>
            <w:noProof/>
            <w:webHidden/>
          </w:rPr>
          <w:fldChar w:fldCharType="begin"/>
        </w:r>
        <w:r>
          <w:rPr>
            <w:noProof/>
            <w:webHidden/>
          </w:rPr>
          <w:instrText xml:space="preserve"> PAGEREF _Toc516070251 \h </w:instrText>
        </w:r>
        <w:r>
          <w:rPr>
            <w:noProof/>
            <w:webHidden/>
          </w:rPr>
        </w:r>
        <w:r>
          <w:rPr>
            <w:noProof/>
            <w:webHidden/>
          </w:rPr>
          <w:fldChar w:fldCharType="separate"/>
        </w:r>
        <w:r>
          <w:rPr>
            <w:noProof/>
            <w:webHidden/>
          </w:rPr>
          <w:t>32</w:t>
        </w:r>
        <w:r>
          <w:rPr>
            <w:noProof/>
            <w:webHidden/>
          </w:rPr>
          <w:fldChar w:fldCharType="end"/>
        </w:r>
      </w:hyperlink>
    </w:p>
    <w:p w:rsidR="002F717A" w:rsidRDefault="002F717A">
      <w:pPr>
        <w:pStyle w:val="TDC1"/>
        <w:tabs>
          <w:tab w:val="right" w:leader="dot" w:pos="8494"/>
        </w:tabs>
        <w:rPr>
          <w:rFonts w:eastAsiaTheme="minorEastAsia"/>
          <w:b w:val="0"/>
          <w:bCs w:val="0"/>
          <w:caps w:val="0"/>
          <w:noProof/>
          <w:sz w:val="22"/>
          <w:szCs w:val="22"/>
          <w:lang w:eastAsia="es-ES"/>
        </w:rPr>
      </w:pPr>
      <w:hyperlink w:anchor="_Toc516070252" w:history="1">
        <w:r w:rsidRPr="00C4366F">
          <w:rPr>
            <w:rStyle w:val="Hipervnculo"/>
            <w:noProof/>
          </w:rPr>
          <w:t>Conclusiones</w:t>
        </w:r>
        <w:r>
          <w:rPr>
            <w:noProof/>
            <w:webHidden/>
          </w:rPr>
          <w:tab/>
        </w:r>
        <w:r>
          <w:rPr>
            <w:noProof/>
            <w:webHidden/>
          </w:rPr>
          <w:fldChar w:fldCharType="begin"/>
        </w:r>
        <w:r>
          <w:rPr>
            <w:noProof/>
            <w:webHidden/>
          </w:rPr>
          <w:instrText xml:space="preserve"> PAGEREF _Toc516070252 \h </w:instrText>
        </w:r>
        <w:r>
          <w:rPr>
            <w:noProof/>
            <w:webHidden/>
          </w:rPr>
        </w:r>
        <w:r>
          <w:rPr>
            <w:noProof/>
            <w:webHidden/>
          </w:rPr>
          <w:fldChar w:fldCharType="separate"/>
        </w:r>
        <w:r>
          <w:rPr>
            <w:noProof/>
            <w:webHidden/>
          </w:rPr>
          <w:t>35</w:t>
        </w:r>
        <w:r>
          <w:rPr>
            <w:noProof/>
            <w:webHidden/>
          </w:rPr>
          <w:fldChar w:fldCharType="end"/>
        </w:r>
      </w:hyperlink>
    </w:p>
    <w:p w:rsidR="002F717A" w:rsidRDefault="002F717A">
      <w:pPr>
        <w:pStyle w:val="TDC1"/>
        <w:tabs>
          <w:tab w:val="right" w:leader="dot" w:pos="8494"/>
        </w:tabs>
        <w:rPr>
          <w:rFonts w:eastAsiaTheme="minorEastAsia"/>
          <w:b w:val="0"/>
          <w:bCs w:val="0"/>
          <w:caps w:val="0"/>
          <w:noProof/>
          <w:sz w:val="22"/>
          <w:szCs w:val="22"/>
          <w:lang w:eastAsia="es-ES"/>
        </w:rPr>
      </w:pPr>
      <w:hyperlink w:anchor="_Toc516070253" w:history="1">
        <w:r w:rsidRPr="00C4366F">
          <w:rPr>
            <w:rStyle w:val="Hipervnculo"/>
            <w:noProof/>
          </w:rPr>
          <w:t>Bibliografía</w:t>
        </w:r>
        <w:r>
          <w:rPr>
            <w:noProof/>
            <w:webHidden/>
          </w:rPr>
          <w:tab/>
        </w:r>
        <w:r>
          <w:rPr>
            <w:noProof/>
            <w:webHidden/>
          </w:rPr>
          <w:fldChar w:fldCharType="begin"/>
        </w:r>
        <w:r>
          <w:rPr>
            <w:noProof/>
            <w:webHidden/>
          </w:rPr>
          <w:instrText xml:space="preserve"> PAGEREF _Toc516070253 \h </w:instrText>
        </w:r>
        <w:r>
          <w:rPr>
            <w:noProof/>
            <w:webHidden/>
          </w:rPr>
        </w:r>
        <w:r>
          <w:rPr>
            <w:noProof/>
            <w:webHidden/>
          </w:rPr>
          <w:fldChar w:fldCharType="separate"/>
        </w:r>
        <w:r>
          <w:rPr>
            <w:noProof/>
            <w:webHidden/>
          </w:rPr>
          <w:t>35</w:t>
        </w:r>
        <w:r>
          <w:rPr>
            <w:noProof/>
            <w:webHidden/>
          </w:rPr>
          <w:fldChar w:fldCharType="end"/>
        </w:r>
      </w:hyperlink>
    </w:p>
    <w:p w:rsidR="00816CDF" w:rsidRDefault="001E752C" w:rsidP="00DD169A">
      <w:pPr>
        <w:spacing w:line="240" w:lineRule="auto"/>
        <w:jc w:val="both"/>
        <w:sectPr w:rsidR="00816CDF" w:rsidSect="0090528B">
          <w:type w:val="oddPage"/>
          <w:pgSz w:w="11906" w:h="16838" w:code="9"/>
          <w:pgMar w:top="1134" w:right="1134" w:bottom="1134" w:left="1134" w:header="567" w:footer="567" w:gutter="1134"/>
          <w:cols w:space="708"/>
          <w:titlePg/>
          <w:docGrid w:linePitch="360"/>
        </w:sectPr>
      </w:pPr>
      <w:r>
        <w:fldChar w:fldCharType="end"/>
      </w:r>
    </w:p>
    <w:p w:rsidR="00900E8E" w:rsidRDefault="00900E8E" w:rsidP="00636BF4">
      <w:pPr>
        <w:pStyle w:val="Ttulo"/>
        <w:spacing w:before="240"/>
        <w:jc w:val="both"/>
      </w:pPr>
      <w:r>
        <w:lastRenderedPageBreak/>
        <w:t>Índice de Figuras</w:t>
      </w:r>
    </w:p>
    <w:p w:rsidR="00DF2C25"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5" w:anchor="_Toc516069711" w:history="1">
        <w:r w:rsidR="00DF2C25" w:rsidRPr="00CB73B4">
          <w:rPr>
            <w:rStyle w:val="Hipervnculo"/>
            <w:noProof/>
          </w:rPr>
          <w:t>Tabla 1. Clasificación de Hunt y Hess</w:t>
        </w:r>
        <w:r w:rsidR="00DF2C25">
          <w:rPr>
            <w:noProof/>
            <w:webHidden/>
          </w:rPr>
          <w:tab/>
        </w:r>
        <w:r w:rsidR="00DF2C25">
          <w:rPr>
            <w:noProof/>
            <w:webHidden/>
          </w:rPr>
          <w:fldChar w:fldCharType="begin"/>
        </w:r>
        <w:r w:rsidR="00DF2C25">
          <w:rPr>
            <w:noProof/>
            <w:webHidden/>
          </w:rPr>
          <w:instrText xml:space="preserve"> PAGEREF _Toc516069711 \h </w:instrText>
        </w:r>
        <w:r w:rsidR="00DF2C25">
          <w:rPr>
            <w:noProof/>
            <w:webHidden/>
          </w:rPr>
        </w:r>
        <w:r w:rsidR="00DF2C25">
          <w:rPr>
            <w:noProof/>
            <w:webHidden/>
          </w:rPr>
          <w:fldChar w:fldCharType="separate"/>
        </w:r>
        <w:r w:rsidR="00DF2C25">
          <w:rPr>
            <w:noProof/>
            <w:webHidden/>
          </w:rPr>
          <w:t>9</w:t>
        </w:r>
        <w:r w:rsidR="00DF2C25">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w:anchor="_Toc516069712" w:history="1">
        <w:r w:rsidRPr="00CB73B4">
          <w:rPr>
            <w:rStyle w:val="Hipervnculo"/>
            <w:noProof/>
          </w:rPr>
          <w:t>Figura 1. Polígono de Willis</w:t>
        </w:r>
        <w:r>
          <w:rPr>
            <w:noProof/>
            <w:webHidden/>
          </w:rPr>
          <w:tab/>
        </w:r>
        <w:r>
          <w:rPr>
            <w:noProof/>
            <w:webHidden/>
          </w:rPr>
          <w:fldChar w:fldCharType="begin"/>
        </w:r>
        <w:r>
          <w:rPr>
            <w:noProof/>
            <w:webHidden/>
          </w:rPr>
          <w:instrText xml:space="preserve"> PAGEREF _Toc516069712 \h </w:instrText>
        </w:r>
        <w:r>
          <w:rPr>
            <w:noProof/>
            <w:webHidden/>
          </w:rPr>
        </w:r>
        <w:r>
          <w:rPr>
            <w:noProof/>
            <w:webHidden/>
          </w:rPr>
          <w:fldChar w:fldCharType="separate"/>
        </w:r>
        <w:r>
          <w:rPr>
            <w:noProof/>
            <w:webHidden/>
          </w:rPr>
          <w:t>12</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16" w:anchor="_Toc516069713" w:history="1">
        <w:r w:rsidRPr="00CB73B4">
          <w:rPr>
            <w:rStyle w:val="Hipervnculo"/>
            <w:noProof/>
          </w:rPr>
          <w:t>Figura 2. Proporción de hombres y mujeres en la muestra.</w:t>
        </w:r>
        <w:r>
          <w:rPr>
            <w:noProof/>
            <w:webHidden/>
          </w:rPr>
          <w:tab/>
        </w:r>
        <w:r>
          <w:rPr>
            <w:noProof/>
            <w:webHidden/>
          </w:rPr>
          <w:fldChar w:fldCharType="begin"/>
        </w:r>
        <w:r>
          <w:rPr>
            <w:noProof/>
            <w:webHidden/>
          </w:rPr>
          <w:instrText xml:space="preserve"> PAGEREF _Toc516069713 \h </w:instrText>
        </w:r>
        <w:r>
          <w:rPr>
            <w:noProof/>
            <w:webHidden/>
          </w:rPr>
        </w:r>
        <w:r>
          <w:rPr>
            <w:noProof/>
            <w:webHidden/>
          </w:rPr>
          <w:fldChar w:fldCharType="separate"/>
        </w:r>
        <w:r>
          <w:rPr>
            <w:noProof/>
            <w:webHidden/>
          </w:rPr>
          <w:t>19</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17" w:anchor="_Toc516069714" w:history="1">
        <w:r w:rsidRPr="00CB73B4">
          <w:rPr>
            <w:rStyle w:val="Hipervnculo"/>
            <w:noProof/>
          </w:rPr>
          <w:t>Figura 3. Proporción de pacientes mayores y menores de 60 años.</w:t>
        </w:r>
        <w:r>
          <w:rPr>
            <w:noProof/>
            <w:webHidden/>
          </w:rPr>
          <w:tab/>
        </w:r>
        <w:r>
          <w:rPr>
            <w:noProof/>
            <w:webHidden/>
          </w:rPr>
          <w:fldChar w:fldCharType="begin"/>
        </w:r>
        <w:r>
          <w:rPr>
            <w:noProof/>
            <w:webHidden/>
          </w:rPr>
          <w:instrText xml:space="preserve"> PAGEREF _Toc516069714 \h </w:instrText>
        </w:r>
        <w:r>
          <w:rPr>
            <w:noProof/>
            <w:webHidden/>
          </w:rPr>
        </w:r>
        <w:r>
          <w:rPr>
            <w:noProof/>
            <w:webHidden/>
          </w:rPr>
          <w:fldChar w:fldCharType="separate"/>
        </w:r>
        <w:r>
          <w:rPr>
            <w:noProof/>
            <w:webHidden/>
          </w:rPr>
          <w:t>19</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18" w:anchor="_Toc516069715" w:history="1">
        <w:r w:rsidRPr="00CB73B4">
          <w:rPr>
            <w:rStyle w:val="Hipervnculo"/>
            <w:noProof/>
          </w:rPr>
          <w:t>Figura 4. Proporción de pacientes que presentan algún tipo de comorbilidad.</w:t>
        </w:r>
        <w:r>
          <w:rPr>
            <w:noProof/>
            <w:webHidden/>
          </w:rPr>
          <w:tab/>
        </w:r>
        <w:r>
          <w:rPr>
            <w:noProof/>
            <w:webHidden/>
          </w:rPr>
          <w:fldChar w:fldCharType="begin"/>
        </w:r>
        <w:r>
          <w:rPr>
            <w:noProof/>
            <w:webHidden/>
          </w:rPr>
          <w:instrText xml:space="preserve"> PAGEREF _Toc516069715 \h </w:instrText>
        </w:r>
        <w:r>
          <w:rPr>
            <w:noProof/>
            <w:webHidden/>
          </w:rPr>
        </w:r>
        <w:r>
          <w:rPr>
            <w:noProof/>
            <w:webHidden/>
          </w:rPr>
          <w:fldChar w:fldCharType="separate"/>
        </w:r>
        <w:r>
          <w:rPr>
            <w:noProof/>
            <w:webHidden/>
          </w:rPr>
          <w:t>19</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19" w:anchor="_Toc516069716" w:history="1">
        <w:r w:rsidRPr="00CB73B4">
          <w:rPr>
            <w:rStyle w:val="Hipervnculo"/>
            <w:noProof/>
          </w:rPr>
          <w:t>Figura 6. Proporción de consumo de</w:t>
        </w:r>
        <w:r>
          <w:rPr>
            <w:noProof/>
            <w:webHidden/>
          </w:rPr>
          <w:tab/>
        </w:r>
        <w:r>
          <w:rPr>
            <w:noProof/>
            <w:webHidden/>
          </w:rPr>
          <w:fldChar w:fldCharType="begin"/>
        </w:r>
        <w:r>
          <w:rPr>
            <w:noProof/>
            <w:webHidden/>
          </w:rPr>
          <w:instrText xml:space="preserve"> PAGEREF _Toc516069716 \h </w:instrText>
        </w:r>
        <w:r>
          <w:rPr>
            <w:noProof/>
            <w:webHidden/>
          </w:rPr>
        </w:r>
        <w:r>
          <w:rPr>
            <w:noProof/>
            <w:webHidden/>
          </w:rPr>
          <w:fldChar w:fldCharType="separate"/>
        </w:r>
        <w:r>
          <w:rPr>
            <w:noProof/>
            <w:webHidden/>
          </w:rPr>
          <w:t>20</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20" w:anchor="_Toc516069717" w:history="1">
        <w:r w:rsidRPr="00CB73B4">
          <w:rPr>
            <w:rStyle w:val="Hipervnculo"/>
            <w:noProof/>
          </w:rPr>
          <w:t>alcohol en la muestra</w:t>
        </w:r>
        <w:r>
          <w:rPr>
            <w:noProof/>
            <w:webHidden/>
          </w:rPr>
          <w:tab/>
        </w:r>
        <w:r>
          <w:rPr>
            <w:noProof/>
            <w:webHidden/>
          </w:rPr>
          <w:fldChar w:fldCharType="begin"/>
        </w:r>
        <w:r>
          <w:rPr>
            <w:noProof/>
            <w:webHidden/>
          </w:rPr>
          <w:instrText xml:space="preserve"> PAGEREF _Toc516069717 \h </w:instrText>
        </w:r>
        <w:r>
          <w:rPr>
            <w:noProof/>
            <w:webHidden/>
          </w:rPr>
        </w:r>
        <w:r>
          <w:rPr>
            <w:noProof/>
            <w:webHidden/>
          </w:rPr>
          <w:fldChar w:fldCharType="separate"/>
        </w:r>
        <w:r>
          <w:rPr>
            <w:noProof/>
            <w:webHidden/>
          </w:rPr>
          <w:t>20</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21" w:anchor="_Toc516069718" w:history="1">
        <w:r w:rsidRPr="00CB73B4">
          <w:rPr>
            <w:rStyle w:val="Hipervnculo"/>
            <w:noProof/>
          </w:rPr>
          <w:t>Figura 5. Proporción de pacientes cuya clínica neurológico condujo al diagnostico</w:t>
        </w:r>
        <w:r>
          <w:rPr>
            <w:noProof/>
            <w:webHidden/>
          </w:rPr>
          <w:tab/>
        </w:r>
        <w:r>
          <w:rPr>
            <w:noProof/>
            <w:webHidden/>
          </w:rPr>
          <w:fldChar w:fldCharType="begin"/>
        </w:r>
        <w:r>
          <w:rPr>
            <w:noProof/>
            <w:webHidden/>
          </w:rPr>
          <w:instrText xml:space="preserve"> PAGEREF _Toc516069718 \h </w:instrText>
        </w:r>
        <w:r>
          <w:rPr>
            <w:noProof/>
            <w:webHidden/>
          </w:rPr>
        </w:r>
        <w:r>
          <w:rPr>
            <w:noProof/>
            <w:webHidden/>
          </w:rPr>
          <w:fldChar w:fldCharType="separate"/>
        </w:r>
        <w:r>
          <w:rPr>
            <w:noProof/>
            <w:webHidden/>
          </w:rPr>
          <w:t>20</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22" w:anchor="_Toc516069719" w:history="1">
        <w:r w:rsidRPr="00CB73B4">
          <w:rPr>
            <w:rStyle w:val="Hipervnculo"/>
            <w:noProof/>
          </w:rPr>
          <w:t>Figura 7. Distribución del tamaño aneurismático</w:t>
        </w:r>
        <w:r>
          <w:rPr>
            <w:noProof/>
            <w:webHidden/>
          </w:rPr>
          <w:tab/>
        </w:r>
        <w:r>
          <w:rPr>
            <w:noProof/>
            <w:webHidden/>
          </w:rPr>
          <w:fldChar w:fldCharType="begin"/>
        </w:r>
        <w:r>
          <w:rPr>
            <w:noProof/>
            <w:webHidden/>
          </w:rPr>
          <w:instrText xml:space="preserve"> PAGEREF _Toc516069719 \h </w:instrText>
        </w:r>
        <w:r>
          <w:rPr>
            <w:noProof/>
            <w:webHidden/>
          </w:rPr>
        </w:r>
        <w:r>
          <w:rPr>
            <w:noProof/>
            <w:webHidden/>
          </w:rPr>
          <w:fldChar w:fldCharType="separate"/>
        </w:r>
        <w:r>
          <w:rPr>
            <w:noProof/>
            <w:webHidden/>
          </w:rPr>
          <w:t>21</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23" w:anchor="_Toc516069720" w:history="1">
        <w:r w:rsidRPr="00CB73B4">
          <w:rPr>
            <w:rStyle w:val="Hipervnculo"/>
            <w:noProof/>
          </w:rPr>
          <w:t>Figura 8. Porcentajes de oclusión de los aneurismas</w:t>
        </w:r>
        <w:r>
          <w:rPr>
            <w:noProof/>
            <w:webHidden/>
          </w:rPr>
          <w:tab/>
        </w:r>
        <w:r>
          <w:rPr>
            <w:noProof/>
            <w:webHidden/>
          </w:rPr>
          <w:fldChar w:fldCharType="begin"/>
        </w:r>
        <w:r>
          <w:rPr>
            <w:noProof/>
            <w:webHidden/>
          </w:rPr>
          <w:instrText xml:space="preserve"> PAGEREF _Toc516069720 \h </w:instrText>
        </w:r>
        <w:r>
          <w:rPr>
            <w:noProof/>
            <w:webHidden/>
          </w:rPr>
        </w:r>
        <w:r>
          <w:rPr>
            <w:noProof/>
            <w:webHidden/>
          </w:rPr>
          <w:fldChar w:fldCharType="separate"/>
        </w:r>
        <w:r>
          <w:rPr>
            <w:noProof/>
            <w:webHidden/>
          </w:rPr>
          <w:t>21</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24" w:anchor="_Toc516069721" w:history="1">
        <w:r w:rsidRPr="00CB73B4">
          <w:rPr>
            <w:rStyle w:val="Hipervnculo"/>
            <w:noProof/>
          </w:rPr>
          <w:t>Figura 9. Localizaciones de los aneurismas</w:t>
        </w:r>
        <w:r>
          <w:rPr>
            <w:noProof/>
            <w:webHidden/>
          </w:rPr>
          <w:tab/>
        </w:r>
        <w:r>
          <w:rPr>
            <w:noProof/>
            <w:webHidden/>
          </w:rPr>
          <w:fldChar w:fldCharType="begin"/>
        </w:r>
        <w:r>
          <w:rPr>
            <w:noProof/>
            <w:webHidden/>
          </w:rPr>
          <w:instrText xml:space="preserve"> PAGEREF _Toc516069721 \h </w:instrText>
        </w:r>
        <w:r>
          <w:rPr>
            <w:noProof/>
            <w:webHidden/>
          </w:rPr>
        </w:r>
        <w:r>
          <w:rPr>
            <w:noProof/>
            <w:webHidden/>
          </w:rPr>
          <w:fldChar w:fldCharType="separate"/>
        </w:r>
        <w:r>
          <w:rPr>
            <w:noProof/>
            <w:webHidden/>
          </w:rPr>
          <w:t>21</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25" w:anchor="_Toc516069722" w:history="1">
        <w:r w:rsidRPr="00CB73B4">
          <w:rPr>
            <w:rStyle w:val="Hipervnculo"/>
            <w:noProof/>
          </w:rPr>
          <w:t>Figura 10. Proporción de complicaciones</w:t>
        </w:r>
        <w:r>
          <w:rPr>
            <w:noProof/>
            <w:webHidden/>
          </w:rPr>
          <w:tab/>
        </w:r>
        <w:r>
          <w:rPr>
            <w:noProof/>
            <w:webHidden/>
          </w:rPr>
          <w:fldChar w:fldCharType="begin"/>
        </w:r>
        <w:r>
          <w:rPr>
            <w:noProof/>
            <w:webHidden/>
          </w:rPr>
          <w:instrText xml:space="preserve"> PAGEREF _Toc516069722 \h </w:instrText>
        </w:r>
        <w:r>
          <w:rPr>
            <w:noProof/>
            <w:webHidden/>
          </w:rPr>
        </w:r>
        <w:r>
          <w:rPr>
            <w:noProof/>
            <w:webHidden/>
          </w:rPr>
          <w:fldChar w:fldCharType="separate"/>
        </w:r>
        <w:r>
          <w:rPr>
            <w:noProof/>
            <w:webHidden/>
          </w:rPr>
          <w:t>22</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26" w:anchor="_Toc516069723" w:history="1">
        <w:r w:rsidRPr="00CB73B4">
          <w:rPr>
            <w:rStyle w:val="Hipervnculo"/>
            <w:noProof/>
          </w:rPr>
          <w:t>Tabla 2. Tabla cruzada entre hábito tabáquico y edad</w:t>
        </w:r>
        <w:r>
          <w:rPr>
            <w:noProof/>
            <w:webHidden/>
          </w:rPr>
          <w:tab/>
        </w:r>
        <w:r>
          <w:rPr>
            <w:noProof/>
            <w:webHidden/>
          </w:rPr>
          <w:fldChar w:fldCharType="begin"/>
        </w:r>
        <w:r>
          <w:rPr>
            <w:noProof/>
            <w:webHidden/>
          </w:rPr>
          <w:instrText xml:space="preserve"> PAGEREF _Toc516069723 \h </w:instrText>
        </w:r>
        <w:r>
          <w:rPr>
            <w:noProof/>
            <w:webHidden/>
          </w:rPr>
        </w:r>
        <w:r>
          <w:rPr>
            <w:noProof/>
            <w:webHidden/>
          </w:rPr>
          <w:fldChar w:fldCharType="separate"/>
        </w:r>
        <w:r>
          <w:rPr>
            <w:noProof/>
            <w:webHidden/>
          </w:rPr>
          <w:t>23</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27" w:anchor="_Toc516069724" w:history="1">
        <w:r w:rsidRPr="00CB73B4">
          <w:rPr>
            <w:rStyle w:val="Hipervnculo"/>
            <w:noProof/>
          </w:rPr>
          <w:t>Figura 11. Diagrama de barras: Relación entre edad y presencia de comorbilidades.</w:t>
        </w:r>
        <w:r>
          <w:rPr>
            <w:noProof/>
            <w:webHidden/>
          </w:rPr>
          <w:tab/>
        </w:r>
        <w:r>
          <w:rPr>
            <w:noProof/>
            <w:webHidden/>
          </w:rPr>
          <w:fldChar w:fldCharType="begin"/>
        </w:r>
        <w:r>
          <w:rPr>
            <w:noProof/>
            <w:webHidden/>
          </w:rPr>
          <w:instrText xml:space="preserve"> PAGEREF _Toc516069724 \h </w:instrText>
        </w:r>
        <w:r>
          <w:rPr>
            <w:noProof/>
            <w:webHidden/>
          </w:rPr>
        </w:r>
        <w:r>
          <w:rPr>
            <w:noProof/>
            <w:webHidden/>
          </w:rPr>
          <w:fldChar w:fldCharType="separate"/>
        </w:r>
        <w:r>
          <w:rPr>
            <w:noProof/>
            <w:webHidden/>
          </w:rPr>
          <w:t>23</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28" w:anchor="_Toc516069725" w:history="1">
        <w:r w:rsidRPr="00CB73B4">
          <w:rPr>
            <w:rStyle w:val="Hipervnculo"/>
            <w:noProof/>
          </w:rPr>
          <w:t>Figura 12. Diagrama de barras: relación entre sexo y clínica neurológica.</w:t>
        </w:r>
        <w:r>
          <w:rPr>
            <w:noProof/>
            <w:webHidden/>
          </w:rPr>
          <w:tab/>
        </w:r>
        <w:r>
          <w:rPr>
            <w:noProof/>
            <w:webHidden/>
          </w:rPr>
          <w:fldChar w:fldCharType="begin"/>
        </w:r>
        <w:r>
          <w:rPr>
            <w:noProof/>
            <w:webHidden/>
          </w:rPr>
          <w:instrText xml:space="preserve"> PAGEREF _Toc516069725 \h </w:instrText>
        </w:r>
        <w:r>
          <w:rPr>
            <w:noProof/>
            <w:webHidden/>
          </w:rPr>
        </w:r>
        <w:r>
          <w:rPr>
            <w:noProof/>
            <w:webHidden/>
          </w:rPr>
          <w:fldChar w:fldCharType="separate"/>
        </w:r>
        <w:r>
          <w:rPr>
            <w:noProof/>
            <w:webHidden/>
          </w:rPr>
          <w:t>24</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29" w:anchor="_Toc516069726" w:history="1">
        <w:r w:rsidRPr="00CB73B4">
          <w:rPr>
            <w:rStyle w:val="Hipervnculo"/>
            <w:noProof/>
          </w:rPr>
          <w:t>Figura 13. Diagrama de barras: relación entre consumo de alcohol y clínica neurológica.</w:t>
        </w:r>
        <w:r>
          <w:rPr>
            <w:noProof/>
            <w:webHidden/>
          </w:rPr>
          <w:tab/>
        </w:r>
        <w:r>
          <w:rPr>
            <w:noProof/>
            <w:webHidden/>
          </w:rPr>
          <w:fldChar w:fldCharType="begin"/>
        </w:r>
        <w:r>
          <w:rPr>
            <w:noProof/>
            <w:webHidden/>
          </w:rPr>
          <w:instrText xml:space="preserve"> PAGEREF _Toc516069726 \h </w:instrText>
        </w:r>
        <w:r>
          <w:rPr>
            <w:noProof/>
            <w:webHidden/>
          </w:rPr>
        </w:r>
        <w:r>
          <w:rPr>
            <w:noProof/>
            <w:webHidden/>
          </w:rPr>
          <w:fldChar w:fldCharType="separate"/>
        </w:r>
        <w:r>
          <w:rPr>
            <w:noProof/>
            <w:webHidden/>
          </w:rPr>
          <w:t>24</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30" w:anchor="_Toc516069727" w:history="1">
        <w:r w:rsidRPr="00CB73B4">
          <w:rPr>
            <w:rStyle w:val="Hipervnculo"/>
            <w:noProof/>
          </w:rPr>
          <w:t>Figura 14. Diagrama de barras: relación entre sexo y consumo de alcohol.</w:t>
        </w:r>
        <w:r>
          <w:rPr>
            <w:noProof/>
            <w:webHidden/>
          </w:rPr>
          <w:tab/>
        </w:r>
        <w:r>
          <w:rPr>
            <w:noProof/>
            <w:webHidden/>
          </w:rPr>
          <w:fldChar w:fldCharType="begin"/>
        </w:r>
        <w:r>
          <w:rPr>
            <w:noProof/>
            <w:webHidden/>
          </w:rPr>
          <w:instrText xml:space="preserve"> PAGEREF _Toc516069727 \h </w:instrText>
        </w:r>
        <w:r>
          <w:rPr>
            <w:noProof/>
            <w:webHidden/>
          </w:rPr>
        </w:r>
        <w:r>
          <w:rPr>
            <w:noProof/>
            <w:webHidden/>
          </w:rPr>
          <w:fldChar w:fldCharType="separate"/>
        </w:r>
        <w:r>
          <w:rPr>
            <w:noProof/>
            <w:webHidden/>
          </w:rPr>
          <w:t>24</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31" w:anchor="_Toc516069728" w:history="1">
        <w:r w:rsidRPr="00CB73B4">
          <w:rPr>
            <w:rStyle w:val="Hipervnculo"/>
            <w:noProof/>
          </w:rPr>
          <w:t>Figura 16. Distribución de HSA previa según el número de aneurismas</w:t>
        </w:r>
        <w:r>
          <w:rPr>
            <w:noProof/>
            <w:webHidden/>
          </w:rPr>
          <w:tab/>
        </w:r>
        <w:r>
          <w:rPr>
            <w:noProof/>
            <w:webHidden/>
          </w:rPr>
          <w:fldChar w:fldCharType="begin"/>
        </w:r>
        <w:r>
          <w:rPr>
            <w:noProof/>
            <w:webHidden/>
          </w:rPr>
          <w:instrText xml:space="preserve"> PAGEREF _Toc516069728 \h </w:instrText>
        </w:r>
        <w:r>
          <w:rPr>
            <w:noProof/>
            <w:webHidden/>
          </w:rPr>
        </w:r>
        <w:r>
          <w:rPr>
            <w:noProof/>
            <w:webHidden/>
          </w:rPr>
          <w:fldChar w:fldCharType="separate"/>
        </w:r>
        <w:r>
          <w:rPr>
            <w:noProof/>
            <w:webHidden/>
          </w:rPr>
          <w:t>25</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32" w:anchor="_Toc516069729" w:history="1">
        <w:r w:rsidRPr="00CB73B4">
          <w:rPr>
            <w:rStyle w:val="Hipervnculo"/>
            <w:noProof/>
          </w:rPr>
          <w:t>Figura 14. Distribución de las localizaciones de los aneurismas según su tamaño</w:t>
        </w:r>
        <w:r>
          <w:rPr>
            <w:noProof/>
            <w:webHidden/>
          </w:rPr>
          <w:tab/>
        </w:r>
        <w:r>
          <w:rPr>
            <w:noProof/>
            <w:webHidden/>
          </w:rPr>
          <w:fldChar w:fldCharType="begin"/>
        </w:r>
        <w:r>
          <w:rPr>
            <w:noProof/>
            <w:webHidden/>
          </w:rPr>
          <w:instrText xml:space="preserve"> PAGEREF _Toc516069729 \h </w:instrText>
        </w:r>
        <w:r>
          <w:rPr>
            <w:noProof/>
            <w:webHidden/>
          </w:rPr>
        </w:r>
        <w:r>
          <w:rPr>
            <w:noProof/>
            <w:webHidden/>
          </w:rPr>
          <w:fldChar w:fldCharType="separate"/>
        </w:r>
        <w:r>
          <w:rPr>
            <w:noProof/>
            <w:webHidden/>
          </w:rPr>
          <w:t>25</w:t>
        </w:r>
        <w:r>
          <w:rPr>
            <w:noProof/>
            <w:webHidden/>
          </w:rPr>
          <w:fldChar w:fldCharType="end"/>
        </w:r>
      </w:hyperlink>
    </w:p>
    <w:p w:rsidR="00DF2C25" w:rsidRDefault="00DF2C25">
      <w:pPr>
        <w:pStyle w:val="Tabladeilustraciones"/>
        <w:tabs>
          <w:tab w:val="right" w:leader="dot" w:pos="8494"/>
        </w:tabs>
        <w:rPr>
          <w:rFonts w:eastAsiaTheme="minorEastAsia"/>
          <w:b w:val="0"/>
          <w:bCs w:val="0"/>
          <w:noProof/>
          <w:sz w:val="22"/>
          <w:szCs w:val="22"/>
          <w:lang w:eastAsia="es-ES"/>
        </w:rPr>
      </w:pPr>
      <w:hyperlink r:id="rId33" w:anchor="_Toc516069730" w:history="1">
        <w:r w:rsidRPr="00CB73B4">
          <w:rPr>
            <w:rStyle w:val="Hipervnculo"/>
            <w:noProof/>
          </w:rPr>
          <w:t>Tabla 2.  Estimación de riesgo  para número de aneurismas y tamaño</w:t>
        </w:r>
        <w:r>
          <w:rPr>
            <w:noProof/>
            <w:webHidden/>
          </w:rPr>
          <w:tab/>
        </w:r>
        <w:r>
          <w:rPr>
            <w:noProof/>
            <w:webHidden/>
          </w:rPr>
          <w:fldChar w:fldCharType="begin"/>
        </w:r>
        <w:r>
          <w:rPr>
            <w:noProof/>
            <w:webHidden/>
          </w:rPr>
          <w:instrText xml:space="preserve"> PAGEREF _Toc516069730 \h </w:instrText>
        </w:r>
        <w:r>
          <w:rPr>
            <w:noProof/>
            <w:webHidden/>
          </w:rPr>
        </w:r>
        <w:r>
          <w:rPr>
            <w:noProof/>
            <w:webHidden/>
          </w:rPr>
          <w:fldChar w:fldCharType="separate"/>
        </w:r>
        <w:r>
          <w:rPr>
            <w:noProof/>
            <w:webHidden/>
          </w:rPr>
          <w:t>26</w:t>
        </w:r>
        <w:r>
          <w:rPr>
            <w:noProof/>
            <w:webHidden/>
          </w:rPr>
          <w:fldChar w:fldCharType="end"/>
        </w:r>
      </w:hyperlink>
    </w:p>
    <w:p w:rsidR="00900E8E" w:rsidRDefault="001E752C" w:rsidP="00DD169A">
      <w:pPr>
        <w:spacing w:line="240" w:lineRule="auto"/>
        <w:jc w:val="both"/>
      </w:pPr>
      <w:r>
        <w:lastRenderedPageBreak/>
        <w:fldChar w:fldCharType="end"/>
      </w:r>
    </w:p>
    <w:p w:rsidR="007C3483" w:rsidRDefault="007C3483" w:rsidP="00DD169A">
      <w:pPr>
        <w:jc w:val="both"/>
      </w:pPr>
    </w:p>
    <w:p w:rsidR="00900E8E" w:rsidRDefault="00900E8E" w:rsidP="00DD169A">
      <w:pPr>
        <w:jc w:val="both"/>
      </w:pPr>
    </w:p>
    <w:p w:rsidR="00900E8E" w:rsidRDefault="00900E8E" w:rsidP="00DD169A">
      <w:pPr>
        <w:jc w:val="both"/>
      </w:pPr>
      <w:r>
        <w:br w:type="page"/>
      </w:r>
    </w:p>
    <w:p w:rsidR="004D03C8" w:rsidRDefault="004D03C8" w:rsidP="00DD169A">
      <w:pPr>
        <w:pStyle w:val="Ttulo1"/>
        <w:spacing w:line="360" w:lineRule="auto"/>
        <w:jc w:val="both"/>
      </w:pPr>
      <w:bookmarkStart w:id="2" w:name="_Toc516070227"/>
      <w:r>
        <w:lastRenderedPageBreak/>
        <w:t>Introducción</w:t>
      </w:r>
      <w:bookmarkEnd w:id="2"/>
    </w:p>
    <w:p w:rsidR="00F308D9" w:rsidRDefault="00F308D9" w:rsidP="00DD169A">
      <w:pPr>
        <w:pStyle w:val="Ttulo2"/>
        <w:numPr>
          <w:ilvl w:val="1"/>
          <w:numId w:val="0"/>
        </w:numPr>
        <w:spacing w:before="0" w:line="360" w:lineRule="auto"/>
        <w:ind w:left="576" w:hanging="576"/>
        <w:jc w:val="both"/>
      </w:pPr>
      <w:bookmarkStart w:id="3" w:name="_Toc516070228"/>
      <w:r>
        <w:t>Definición de aneurisma incidental</w:t>
      </w:r>
      <w:bookmarkEnd w:id="3"/>
    </w:p>
    <w:p w:rsidR="00F308D9" w:rsidRDefault="00F308D9" w:rsidP="00DD169A">
      <w:pPr>
        <w:jc w:val="both"/>
      </w:pPr>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9F7D3B" w:rsidRPr="009F7D3B">
        <w:rPr>
          <w:rFonts w:ascii="Calibri Light" w:hAnsi="Calibri Light" w:cs="Calibri Light"/>
        </w:rPr>
        <w:t>(1)</w:t>
      </w:r>
      <w:r w:rsidR="00121126">
        <w:fldChar w:fldCharType="end"/>
      </w:r>
      <w:r w:rsidR="00121126">
        <w:t>.</w:t>
      </w:r>
    </w:p>
    <w:p w:rsidR="00F308D9" w:rsidRDefault="00941260" w:rsidP="00DD169A">
      <w:pPr>
        <w:jc w:val="both"/>
      </w:pPr>
      <w:r>
        <w:t>El aneurisma puede</w:t>
      </w:r>
      <w:r w:rsidR="00F308D9">
        <w:t xml:space="preserve"> dar clínica por dos mecani</w:t>
      </w:r>
      <w:r w:rsidR="006335B0">
        <w:t xml:space="preserve">smos principalmente. El primero se debe a </w:t>
      </w:r>
      <w:r w:rsidR="00F308D9">
        <w:t>la presión que pudiera ejercer en los tejidos que le rodean, es decir, por efecto masa. En el caso de los aneurism</w:t>
      </w:r>
      <w:r>
        <w:t>as intracraneales esto podría provoca</w:t>
      </w:r>
      <w:r w:rsidR="00F308D9">
        <w:t xml:space="preserve">r desde cefaleas hasta déficits focales. El segundo mecanismo sería por la propia rotura del aneurisma, lo que </w:t>
      </w:r>
      <w:r>
        <w:t xml:space="preserve">desencadenaría </w:t>
      </w:r>
      <w:r w:rsidRPr="006335B0">
        <w:t>un sangrado.</w:t>
      </w:r>
    </w:p>
    <w:p w:rsidR="00F308D9" w:rsidRDefault="00F308D9" w:rsidP="00DD169A">
      <w:pPr>
        <w:jc w:val="both"/>
      </w:pPr>
      <w:r>
        <w:t>Existen distintos tipos de aneurismas, según su forma pueden ser: saculares, unidos al vaso por un cuello o pedúnculo, o fusiformes, con ensanchamiento de toda la circunferencia</w:t>
      </w:r>
      <w:r w:rsidR="00941260">
        <w:t xml:space="preserve"> del vaso</w:t>
      </w:r>
      <w:r>
        <w:t xml:space="preserve">. También pueden clasificarse según su etiología: micóticos, </w:t>
      </w:r>
      <w:r w:rsidR="006335B0">
        <w:t xml:space="preserve">si </w:t>
      </w:r>
      <w:r>
        <w:t xml:space="preserve">la pared se debilita por una infección bacteriana; secundarios a un traumatismo; </w:t>
      </w:r>
      <w:r w:rsidR="00941260">
        <w:t>etiología arterioesclerótica o hipertensiva</w:t>
      </w:r>
      <w:r>
        <w:t>; de origen idiopático o genético</w:t>
      </w:r>
      <w:r w:rsidR="00941260">
        <w:t>,</w:t>
      </w:r>
      <w:r>
        <w:t xml:space="preserve"> o a</w:t>
      </w:r>
      <w:r w:rsidR="00941260">
        <w:t xml:space="preserve">sociados a ciertas enfermedades </w:t>
      </w:r>
      <w:r>
        <w:t>como la poliquis</w:t>
      </w:r>
      <w:r w:rsidR="00941260">
        <w:t>tosis renal</w:t>
      </w:r>
      <w:r>
        <w:t xml:space="preserve"> y sobre todo a enfermedades del tejido conectivo: enfermedad de Ehlers-Danlos, enfermedad</w:t>
      </w:r>
      <w:r w:rsidR="00941260">
        <w:t xml:space="preserve"> de Marfan, coartación de aorta o</w:t>
      </w:r>
      <w:r>
        <w:t xml:space="preserve"> síndrome de Oler-Weber-Redu</w:t>
      </w:r>
      <w:r w:rsidR="006335B0">
        <w:t xml:space="preserve"> </w:t>
      </w:r>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9F7D3B" w:rsidRPr="009F7D3B">
        <w:rPr>
          <w:rFonts w:ascii="Calibri Light" w:hAnsi="Calibri Light" w:cs="Calibri Light"/>
        </w:rPr>
        <w:t>(2)</w:t>
      </w:r>
      <w:r>
        <w:fldChar w:fldCharType="end"/>
      </w:r>
      <w:r>
        <w:t>.</w:t>
      </w:r>
    </w:p>
    <w:p w:rsidR="00F308D9" w:rsidRDefault="00F308D9" w:rsidP="00DD169A">
      <w:pPr>
        <w:pStyle w:val="Ttulo2"/>
        <w:numPr>
          <w:ilvl w:val="1"/>
          <w:numId w:val="0"/>
        </w:numPr>
        <w:spacing w:line="360" w:lineRule="auto"/>
        <w:ind w:left="576" w:hanging="576"/>
        <w:jc w:val="both"/>
      </w:pPr>
      <w:bookmarkStart w:id="4" w:name="_Toc516070229"/>
      <w:r>
        <w:lastRenderedPageBreak/>
        <w:t>Epidemiología</w:t>
      </w:r>
      <w:bookmarkEnd w:id="4"/>
    </w:p>
    <w:p w:rsidR="00F308D9" w:rsidRPr="00B33078" w:rsidRDefault="00F308D9" w:rsidP="00DD169A">
      <w:pPr>
        <w:jc w:val="both"/>
      </w:pPr>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009F7D3B">
        <w:instrText xml:space="preserve"> ADDIN ZOTERO_ITEM CSL_CITATION {"citationID":"uprLMXMr","properties":{"formattedCitation":"(3)","plainCitation":"(3)","dontUpdate":true,"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00852CA4">
        <w:t>.</w:t>
      </w:r>
      <w:r w:rsidR="00852CA4">
        <w:rPr>
          <w:rFonts w:ascii="Calibri" w:hAnsi="Calibri" w:cs="Calibri"/>
        </w:rPr>
        <w:t xml:space="preserve"> </w:t>
      </w:r>
      <w:r w:rsidRPr="00B33078">
        <w:t>Se estima que la prevalencia de aneurismas en la población adulta es de 3-5% (aunque varía d</w:t>
      </w:r>
      <w:r w:rsidR="006335B0">
        <w:t xml:space="preserve">ependiendo de si el estudio </w:t>
      </w:r>
      <w:r w:rsidR="00941260">
        <w:t>s</w:t>
      </w:r>
      <w:r w:rsidR="006335B0">
        <w:t>e realiza</w:t>
      </w:r>
      <w:r w:rsidR="00941260">
        <w:t xml:space="preserve"> </w:t>
      </w:r>
      <w:r w:rsidR="00C90D84">
        <w:t xml:space="preserve"> mediante autopsia</w:t>
      </w:r>
      <w:r w:rsidR="006335B0">
        <w:t xml:space="preserve"> o angiografía</w:t>
      </w:r>
      <w:r w:rsidR="00C90D84">
        <w:t>)</w:t>
      </w:r>
      <w:r w:rsidRPr="00B33078">
        <w:t>, con un riesgo de ruptura total del 1.8%/año</w:t>
      </w:r>
      <w:r w:rsidR="000E5457">
        <w:t xml:space="preserve"> </w:t>
      </w:r>
      <w:r w:rsidR="00852CA4">
        <w:fldChar w:fldCharType="begin"/>
      </w:r>
      <w:r w:rsidR="00852CA4">
        <w:instrText xml:space="preserve"> ADDIN ZOTERO_ITEM CSL_CITATION {"citationID":"52g7Svs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852CA4">
        <w:fldChar w:fldCharType="separate"/>
      </w:r>
      <w:r w:rsidR="009F7D3B" w:rsidRPr="009F7D3B">
        <w:rPr>
          <w:rFonts w:ascii="Calibri" w:hAnsi="Calibri" w:cs="Calibri"/>
        </w:rPr>
        <w:t>(3)</w:t>
      </w:r>
      <w:r w:rsidR="00852CA4">
        <w:fldChar w:fldCharType="end"/>
      </w:r>
      <w:r w:rsidRPr="00B33078">
        <w:t xml:space="preserve">. </w:t>
      </w:r>
    </w:p>
    <w:p w:rsidR="00F308D9" w:rsidRPr="00B33078" w:rsidRDefault="00F308D9" w:rsidP="00DD169A">
      <w:pPr>
        <w:spacing w:after="0"/>
        <w:jc w:val="both"/>
      </w:pPr>
      <w:r w:rsidRPr="00B33078">
        <w:t>Los más frecuentes son los aneurismas saculares, que representan el 50-70% de los mismos, localizados en áreas de bifurcación de grandes arterias. Los aneurismas saculares son múltiples hasta en un 30% de los casos</w:t>
      </w:r>
      <w:r w:rsidR="006335B0">
        <w:t xml:space="preserve"> </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9F7D3B" w:rsidRPr="009F7D3B">
        <w:rPr>
          <w:rFonts w:ascii="Calibri" w:hAnsi="Calibri" w:cs="Calibri"/>
        </w:rPr>
        <w:t>(3)</w:t>
      </w:r>
      <w:r w:rsidR="00B33078" w:rsidRPr="00B33078">
        <w:fldChar w:fldCharType="end"/>
      </w:r>
      <w:r w:rsidRPr="00B33078">
        <w:t>.</w:t>
      </w:r>
    </w:p>
    <w:p w:rsidR="00F308D9" w:rsidRDefault="00F308D9" w:rsidP="00DD169A">
      <w:pPr>
        <w:pStyle w:val="Ttulo2"/>
        <w:numPr>
          <w:ilvl w:val="1"/>
          <w:numId w:val="0"/>
        </w:numPr>
        <w:spacing w:before="0" w:line="360" w:lineRule="auto"/>
        <w:ind w:left="576" w:hanging="576"/>
        <w:jc w:val="both"/>
      </w:pPr>
      <w:bookmarkStart w:id="5" w:name="_Toc516070230"/>
      <w:r>
        <w:t>Historia natural del aneurisma</w:t>
      </w:r>
      <w:bookmarkEnd w:id="5"/>
    </w:p>
    <w:p w:rsidR="00F308D9" w:rsidRDefault="00F308D9" w:rsidP="00DD169A">
      <w:pPr>
        <w:spacing w:after="0"/>
        <w:jc w:val="both"/>
      </w:pPr>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rsidR="006335B0">
        <w:t>No pode</w:t>
      </w:r>
      <w:r>
        <w:t xml:space="preserve">mos predecir cuál es el riesgo ruptura </w:t>
      </w:r>
      <w:r w:rsidR="006335B0">
        <w:t>del aneurisma</w:t>
      </w:r>
      <w:r>
        <w:t>, si</w:t>
      </w:r>
      <w:r w:rsidR="006335B0">
        <w:t xml:space="preserve"> no que según el contexto que</w:t>
      </w:r>
      <w:r>
        <w:t xml:space="preserve"> acompañe se decidirá una vía de actuación. La evolución natural del aneurisma es su ruptura</w:t>
      </w:r>
      <w:r w:rsidR="00941260">
        <w:t xml:space="preserve"> </w:t>
      </w:r>
      <w:r w:rsidR="00B33078">
        <w:t>(con un riesgo de ruptura de 1-2%/año)</w:t>
      </w:r>
      <w:r>
        <w:t>, originándo</w:t>
      </w:r>
      <w:r w:rsidR="00121126">
        <w:t>se una hemorragia subaracnoidea</w:t>
      </w:r>
      <w:r w:rsidR="006335B0">
        <w:t xml:space="preserve"> </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9F7D3B" w:rsidRPr="009F7D3B">
        <w:rPr>
          <w:rFonts w:ascii="Calibri Light" w:hAnsi="Calibri Light" w:cs="Calibri Light"/>
        </w:rPr>
        <w:t>(3)</w:t>
      </w:r>
      <w:r w:rsidR="00121126">
        <w:fldChar w:fldCharType="end"/>
      </w:r>
      <w:r w:rsidR="00121126">
        <w:t>.</w:t>
      </w:r>
    </w:p>
    <w:p w:rsidR="00F308D9" w:rsidRDefault="00F308D9" w:rsidP="00262716">
      <w:pPr>
        <w:pStyle w:val="Ttulo3"/>
        <w:numPr>
          <w:ilvl w:val="2"/>
          <w:numId w:val="0"/>
        </w:numPr>
        <w:spacing w:before="0" w:line="360" w:lineRule="auto"/>
        <w:ind w:left="720" w:hanging="720"/>
        <w:jc w:val="both"/>
      </w:pPr>
      <w:bookmarkStart w:id="6" w:name="_Toc516070231"/>
      <w:r>
        <w:t>Hemorragia Subaracnoidea (HSA)</w:t>
      </w:r>
      <w:bookmarkEnd w:id="6"/>
      <w:r>
        <w:t xml:space="preserve"> </w:t>
      </w:r>
    </w:p>
    <w:p w:rsidR="00F308D9" w:rsidRDefault="00F308D9" w:rsidP="00262716">
      <w:pPr>
        <w:jc w:val="both"/>
      </w:pPr>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 xml:space="preserve">La mayoría de las HSA son de </w:t>
      </w:r>
      <w:r w:rsidR="006335B0">
        <w:t>origen traumático</w:t>
      </w:r>
      <w:r>
        <w:t xml:space="preserve"> y dentro de las causas espontáneas no traumáticas, la ruptura de aneurismas es la más frecuente</w:t>
      </w:r>
      <w:r w:rsidR="006335B0">
        <w:t xml:space="preserve"> </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9F7D3B" w:rsidRPr="009F7D3B">
        <w:rPr>
          <w:rFonts w:ascii="Calibri Light" w:hAnsi="Calibri Light" w:cs="Calibri Light"/>
        </w:rPr>
        <w:t>(1)</w:t>
      </w:r>
      <w:r w:rsidR="00121126">
        <w:fldChar w:fldCharType="end"/>
      </w:r>
      <w:r w:rsidR="00121126">
        <w:t>.</w:t>
      </w:r>
    </w:p>
    <w:p w:rsidR="006B1D17" w:rsidRDefault="00F308D9" w:rsidP="00262716">
      <w:pPr>
        <w:jc w:val="both"/>
      </w:pPr>
      <w:r>
        <w:lastRenderedPageBreak/>
        <w:t>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w:t>
      </w:r>
      <w:r w:rsidR="00941260">
        <w:t>paña frecuentemente de náuseas,</w:t>
      </w:r>
      <w:r>
        <w:t xml:space="preserve">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w:t>
      </w:r>
      <w:r w:rsidR="00941260">
        <w:t xml:space="preserve"> serían</w:t>
      </w:r>
      <w:r>
        <w:t xml:space="preserve"> los de Kernig y Brudzinski. Existen unas escalas de clasificación clínica de la HSA, como la escala de Hunt y Hess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9F7D3B" w:rsidRPr="009F7D3B">
        <w:rPr>
          <w:rFonts w:ascii="Calibri Light" w:hAnsi="Calibri Light" w:cs="Calibri Light"/>
        </w:rPr>
        <w:t>(2)</w:t>
      </w:r>
      <w:r>
        <w:fldChar w:fldCharType="end"/>
      </w:r>
      <w:r w:rsidR="001869F0" w:rsidRPr="001869F0">
        <w:t xml:space="preserve"> </w:t>
      </w:r>
      <w:r>
        <w:t>.</w:t>
      </w:r>
    </w:p>
    <w:p w:rsidR="009A0CDA" w:rsidRDefault="007F1100" w:rsidP="009A0CDA">
      <w:pPr>
        <w:pStyle w:val="Epgrafe"/>
        <w:keepNext/>
        <w:jc w:val="center"/>
      </w:pPr>
      <w:bookmarkStart w:id="7" w:name="_Toc516069710"/>
      <w:r>
        <w:rPr>
          <w:noProof/>
          <w:lang w:eastAsia="es-ES"/>
        </w:rPr>
        <mc:AlternateContent>
          <mc:Choice Requires="wps">
            <w:drawing>
              <wp:anchor distT="0" distB="0" distL="114300" distR="114300" simplePos="0" relativeHeight="251693056" behindDoc="0" locked="0" layoutInCell="1" allowOverlap="1">
                <wp:simplePos x="0" y="0"/>
                <wp:positionH relativeFrom="column">
                  <wp:posOffset>655320</wp:posOffset>
                </wp:positionH>
                <wp:positionV relativeFrom="paragraph">
                  <wp:posOffset>2211705</wp:posOffset>
                </wp:positionV>
                <wp:extent cx="3924300" cy="314325"/>
                <wp:effectExtent l="3810" t="0" r="0" b="0"/>
                <wp:wrapNone/>
                <wp:docPr id="3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Default="00F57F53" w:rsidP="000949A0">
                            <w:pPr>
                              <w:pStyle w:val="Epgrafe"/>
                              <w:jc w:val="center"/>
                            </w:pPr>
                            <w:bookmarkStart w:id="8" w:name="_Toc516069711"/>
                            <w:r>
                              <w:t>Tabla 1. Clasificación de Hunt y Hess</w:t>
                            </w:r>
                            <w:bookmarkEnd w:id="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51.6pt;margin-top:174.15pt;width:309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qLtgIAALs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" filled="f" stroked="f">
                <v:textbox>
                  <w:txbxContent>
                    <w:p w:rsidR="00F57F53" w:rsidRDefault="00F57F53" w:rsidP="000949A0">
                      <w:pPr>
                        <w:pStyle w:val="Epgrafe"/>
                        <w:jc w:val="center"/>
                      </w:pPr>
                      <w:bookmarkStart w:id="9" w:name="_Toc516069711"/>
                      <w:r>
                        <w:t>Tabla 1. Clasificación de Hunt y Hess</w:t>
                      </w:r>
                      <w:bookmarkEnd w:id="9"/>
                    </w:p>
                  </w:txbxContent>
                </v:textbox>
              </v:shape>
            </w:pict>
          </mc:Fallback>
        </mc:AlternateContent>
      </w:r>
      <w:r w:rsidR="009A0CDA">
        <w:rPr>
          <w:noProof/>
          <w:lang w:eastAsia="es-ES"/>
        </w:rPr>
        <w:drawing>
          <wp:inline distT="0" distB="0" distL="0" distR="0" wp14:anchorId="05147576" wp14:editId="7CEAF4F3">
            <wp:extent cx="4333875" cy="2333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33875" cy="2333625"/>
                    </a:xfrm>
                    <a:prstGeom prst="rect">
                      <a:avLst/>
                    </a:prstGeom>
                  </pic:spPr>
                </pic:pic>
              </a:graphicData>
            </a:graphic>
          </wp:inline>
        </w:drawing>
      </w:r>
      <w:bookmarkEnd w:id="7"/>
    </w:p>
    <w:p w:rsidR="00B1651B" w:rsidRDefault="00B1651B" w:rsidP="00C068DF">
      <w:pPr>
        <w:jc w:val="both"/>
      </w:pPr>
    </w:p>
    <w:p w:rsidR="00DD169A" w:rsidRDefault="009A0CDA" w:rsidP="00C068DF">
      <w:pPr>
        <w:jc w:val="both"/>
      </w:pPr>
      <w:r>
        <w:t>E</w:t>
      </w:r>
      <w:r w:rsidR="00F308D9">
        <w:t>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rsidR="00F308D9">
        <w:t>Sólo el 10 % fallece en la primera hemorragia, produciéndose la mayoría de los exitus por resangrado o por vasoespasmo. Hasta un 20% de los pacientes pueden quedar con algú</w:t>
      </w:r>
      <w:r w:rsidR="00456E63">
        <w:t>n tipo de secuela, sobre todo</w:t>
      </w:r>
      <w:r w:rsidR="00F308D9">
        <w:t xml:space="preserve"> pacientes ancianos</w:t>
      </w:r>
      <w:r w:rsidR="00DB6F50">
        <w:t xml:space="preserve"> </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9F7D3B" w:rsidRPr="009F7D3B">
        <w:rPr>
          <w:rFonts w:ascii="Calibri Light" w:hAnsi="Calibri Light" w:cs="Calibri Light"/>
        </w:rPr>
        <w:t>(3)</w:t>
      </w:r>
      <w:r w:rsidR="00121126">
        <w:fldChar w:fldCharType="end"/>
      </w:r>
      <w:r w:rsidR="00121126">
        <w:t>.</w:t>
      </w:r>
    </w:p>
    <w:p w:rsidR="00F308D9" w:rsidRDefault="00F308D9" w:rsidP="00262716">
      <w:pPr>
        <w:jc w:val="both"/>
      </w:pPr>
      <w:r>
        <w:t>Las principales complicaciones de las HSA son:</w:t>
      </w:r>
    </w:p>
    <w:p w:rsidR="00F308D9" w:rsidRDefault="00F308D9" w:rsidP="00DD169A">
      <w:pPr>
        <w:pStyle w:val="Prrafodelista"/>
        <w:numPr>
          <w:ilvl w:val="0"/>
          <w:numId w:val="1"/>
        </w:numPr>
        <w:jc w:val="both"/>
      </w:pPr>
      <w:r w:rsidRPr="00262716">
        <w:rPr>
          <w:b/>
        </w:rPr>
        <w:lastRenderedPageBreak/>
        <w:t>Resangrado</w:t>
      </w:r>
      <w:r>
        <w:t>: hasta en el 30% de los pacientes, con una tasa de mortalidad del 42%. El riesgo de nueva he</w:t>
      </w:r>
      <w:r w:rsidR="009D565B">
        <w:t>morragia es máximo</w:t>
      </w:r>
      <w:r>
        <w:t xml:space="preserve">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DD169A">
      <w:pPr>
        <w:pStyle w:val="Prrafodelista"/>
        <w:numPr>
          <w:ilvl w:val="0"/>
          <w:numId w:val="1"/>
        </w:numPr>
        <w:jc w:val="both"/>
      </w:pPr>
      <w:r w:rsidRPr="00262716">
        <w:rPr>
          <w:b/>
        </w:rPr>
        <w:t>Vasoespasmo</w:t>
      </w:r>
      <w:r>
        <w:t>: ocurre hasta en el 65% de los pacientes, detectándose mediante Eco</w:t>
      </w:r>
      <w:r w:rsidR="009D565B">
        <w:t>grafía</w:t>
      </w:r>
      <w:r>
        <w:t xml:space="preserve"> Doppler transcraneal principalmente. Son sintomáticos en menos del 30% de los casos, dando síntomas por la isquemia cerebral producida. Estos síntomas van desde alteraciones del nivel de conciencia o cefalea hasta déficits neurológicos según </w:t>
      </w:r>
      <w:r w:rsidR="009D565B">
        <w:t>la localización de</w:t>
      </w:r>
      <w:r>
        <w:t xml:space="preserve">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w:t>
      </w:r>
      <w:r w:rsidR="009D565B">
        <w:t xml:space="preserve"> la liberación de</w:t>
      </w:r>
      <w:r>
        <w:t xml:space="preserve"> sustancias vasodilatadoras.</w:t>
      </w:r>
    </w:p>
    <w:p w:rsidR="00F308D9" w:rsidRDefault="00F308D9" w:rsidP="00DD169A">
      <w:pPr>
        <w:pStyle w:val="Prrafodelista"/>
        <w:numPr>
          <w:ilvl w:val="0"/>
          <w:numId w:val="1"/>
        </w:numPr>
        <w:jc w:val="both"/>
      </w:pPr>
      <w:r w:rsidRPr="00262716">
        <w:rPr>
          <w:b/>
        </w:rPr>
        <w:t>Hidrocefalia</w:t>
      </w:r>
      <w:r>
        <w:t>: hasta en un 20% de los casos. Es una hidrocefalia no obstructiva normotensa. Tiene su origen en la alteración de la circulación del líquido cefalorraquídeo por la presencia de sangre.</w:t>
      </w:r>
    </w:p>
    <w:p w:rsidR="00F308D9" w:rsidRDefault="00F308D9" w:rsidP="00DD169A">
      <w:pPr>
        <w:pStyle w:val="Prrafodelista"/>
        <w:numPr>
          <w:ilvl w:val="0"/>
          <w:numId w:val="1"/>
        </w:numPr>
        <w:jc w:val="both"/>
      </w:pPr>
      <w:r w:rsidRPr="00262716">
        <w:rPr>
          <w:b/>
        </w:rPr>
        <w:t>Crisis comiciales</w:t>
      </w:r>
      <w:r w:rsidR="009D565B">
        <w:t>.</w:t>
      </w:r>
    </w:p>
    <w:p w:rsidR="00F308D9" w:rsidRDefault="00F308D9" w:rsidP="00DD169A">
      <w:pPr>
        <w:pStyle w:val="Prrafodelista"/>
        <w:numPr>
          <w:ilvl w:val="0"/>
          <w:numId w:val="1"/>
        </w:numPr>
        <w:spacing w:after="0"/>
        <w:jc w:val="both"/>
      </w:pPr>
      <w:r w:rsidRPr="00262716">
        <w:rPr>
          <w:b/>
        </w:rPr>
        <w:t>Hiponatremia</w:t>
      </w:r>
      <w:r>
        <w:t>: Presente  en el 30% de los pacientes. Favorece el edema cerebral y el vasoespasmo. Es consecuencia de alteraciones de la regulación del volumen intravascular.</w:t>
      </w:r>
    </w:p>
    <w:p w:rsidR="00F308D9" w:rsidRDefault="00F308D9" w:rsidP="00262716">
      <w:pPr>
        <w:pStyle w:val="Ttulo3"/>
        <w:numPr>
          <w:ilvl w:val="2"/>
          <w:numId w:val="0"/>
        </w:numPr>
        <w:spacing w:before="0" w:line="360" w:lineRule="auto"/>
        <w:ind w:left="720" w:hanging="720"/>
        <w:jc w:val="both"/>
      </w:pPr>
      <w:bookmarkStart w:id="10" w:name="_Toc516070232"/>
      <w:r>
        <w:lastRenderedPageBreak/>
        <w:t>Factores pronósticos y factores de riesgo de ruptura aneurismática</w:t>
      </w:r>
      <w:bookmarkEnd w:id="10"/>
    </w:p>
    <w:p w:rsidR="00F308D9" w:rsidRDefault="00F308D9" w:rsidP="00376711">
      <w:pPr>
        <w:pStyle w:val="Ttulo4"/>
      </w:pPr>
      <w:r>
        <w:t>Fact</w:t>
      </w:r>
      <w:r w:rsidR="002F717A">
        <w:t>ores dependientes del aneurisma</w:t>
      </w:r>
    </w:p>
    <w:p w:rsidR="00F308D9" w:rsidRDefault="00F308D9" w:rsidP="00262716">
      <w:pPr>
        <w:pStyle w:val="Prrafodelista"/>
        <w:numPr>
          <w:ilvl w:val="0"/>
          <w:numId w:val="2"/>
        </w:numPr>
        <w:jc w:val="both"/>
      </w:pPr>
      <w:r w:rsidRPr="00376711">
        <w:rPr>
          <w:b/>
        </w:rPr>
        <w:t>Tamaño</w:t>
      </w:r>
      <w:r>
        <w:t xml:space="preserve">: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9F7D3B" w:rsidRPr="009F7D3B">
        <w:rPr>
          <w:rFonts w:ascii="Calibri Light" w:hAnsi="Calibri Light" w:cs="Calibri Light"/>
        </w:rPr>
        <w:t>(3,4)</w:t>
      </w:r>
      <w:r>
        <w:fldChar w:fldCharType="end"/>
      </w:r>
      <w:r>
        <w:t>.</w:t>
      </w:r>
    </w:p>
    <w:p w:rsidR="00F308D9" w:rsidRDefault="00F308D9" w:rsidP="00DB6F50">
      <w:pPr>
        <w:pStyle w:val="Prrafodelista"/>
        <w:numPr>
          <w:ilvl w:val="0"/>
          <w:numId w:val="2"/>
        </w:numPr>
        <w:jc w:val="both"/>
      </w:pPr>
      <w:r w:rsidRPr="00376711">
        <w:rPr>
          <w:b/>
        </w:rPr>
        <w:t>Localización</w:t>
      </w:r>
      <w:r>
        <w:t xml:space="preserve">: </w:t>
      </w:r>
      <w:r w:rsidR="009D565B">
        <w:t xml:space="preserve">los </w:t>
      </w:r>
      <w:r>
        <w:t>distintos vasos sanguíneos tienen diferentes condiciones hemodinámicas, influyendo en la evolución natural</w:t>
      </w:r>
      <w:r w:rsidR="009D565B">
        <w:t xml:space="preserve"> del aneurisma</w:t>
      </w:r>
      <w:r>
        <w:t>. Los aneurismas localizados en la circulación anterior tienen mayor riesgo de ruptura, a excepción de la localización vertebrobasilar, que constituye un factor independiente de ruptura. La localización posterior</w:t>
      </w:r>
      <w:r w:rsidR="009D565B">
        <w:t xml:space="preserve"> aunque tiene menor riesgo de </w:t>
      </w:r>
      <w:r w:rsidR="00EF2744">
        <w:t>HSA aneurismática</w:t>
      </w:r>
      <w:r w:rsidR="009D565B">
        <w:t>,</w:t>
      </w:r>
      <w:r>
        <w:t xml:space="preserve"> tiene peor pronóstico, causando cuadros más graves</w:t>
      </w:r>
      <w:r w:rsidR="009D565B">
        <w:t>.</w:t>
      </w:r>
      <w:r>
        <w:t xml:space="preserve"> </w:t>
      </w:r>
      <w:r w:rsidR="009D565B">
        <w:t>P</w:t>
      </w:r>
      <w:r>
        <w:t xml:space="preserve">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9F7D3B" w:rsidRPr="009F7D3B">
        <w:rPr>
          <w:rFonts w:ascii="Calibri Light" w:hAnsi="Calibri Light" w:cs="Calibri Light"/>
        </w:rPr>
        <w:t>(3,5)</w:t>
      </w:r>
      <w:r>
        <w:fldChar w:fldCharType="end"/>
      </w:r>
      <w:r>
        <w:t>.</w:t>
      </w:r>
    </w:p>
    <w:p w:rsidR="00F308D9" w:rsidRDefault="00F308D9" w:rsidP="00DB6F50">
      <w:pPr>
        <w:pStyle w:val="Prrafodelista"/>
        <w:numPr>
          <w:ilvl w:val="0"/>
          <w:numId w:val="2"/>
        </w:numPr>
        <w:jc w:val="both"/>
      </w:pPr>
      <w:r w:rsidRPr="00376711">
        <w:rPr>
          <w:b/>
        </w:rPr>
        <w:t>Morfología</w:t>
      </w:r>
      <w:r>
        <w:t xml:space="preserve">: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9F7D3B" w:rsidRPr="009F7D3B">
        <w:rPr>
          <w:rFonts w:ascii="Calibri Light" w:hAnsi="Calibri Light" w:cs="Calibri Light"/>
        </w:rPr>
        <w:t>(3,6)</w:t>
      </w:r>
      <w:r>
        <w:fldChar w:fldCharType="end"/>
      </w:r>
      <w:r>
        <w:t>.</w:t>
      </w:r>
    </w:p>
    <w:p w:rsidR="00F308D9" w:rsidRDefault="00F308D9" w:rsidP="00636BF4">
      <w:pPr>
        <w:pStyle w:val="Prrafodelista"/>
        <w:numPr>
          <w:ilvl w:val="0"/>
          <w:numId w:val="2"/>
        </w:numPr>
        <w:jc w:val="both"/>
      </w:pPr>
      <w:r w:rsidRPr="00376711">
        <w:rPr>
          <w:b/>
        </w:rPr>
        <w:t>Crecimiento</w:t>
      </w:r>
      <w:r>
        <w:t>: indica ruptura inminente incluso en aneurismas pequeños. El tamaño inicial del aneurisma juega un papel muy importante como predictor de crecimiento</w:t>
      </w:r>
      <w:r w:rsidR="009D565B">
        <w:t xml:space="preserve">, puesto que </w:t>
      </w:r>
      <w:r>
        <w:t xml:space="preserve">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9F7D3B" w:rsidRPr="009F7D3B">
        <w:rPr>
          <w:rFonts w:ascii="Calibri Light" w:hAnsi="Calibri Light" w:cs="Calibri Light"/>
        </w:rPr>
        <w:t>(3)</w:t>
      </w:r>
      <w:r>
        <w:fldChar w:fldCharType="end"/>
      </w:r>
      <w:r>
        <w:t>.</w:t>
      </w:r>
    </w:p>
    <w:p w:rsidR="00F308D9" w:rsidRDefault="00F308D9" w:rsidP="00636BF4">
      <w:pPr>
        <w:pStyle w:val="Prrafodelista"/>
        <w:numPr>
          <w:ilvl w:val="0"/>
          <w:numId w:val="2"/>
        </w:numPr>
        <w:jc w:val="both"/>
      </w:pPr>
      <w:r w:rsidRPr="00376711">
        <w:rPr>
          <w:b/>
        </w:rPr>
        <w:t>Número de aneurismas</w:t>
      </w:r>
      <w:r>
        <w:t>: los pacientes más añosos tienen mayor número de aneurismas, debido al mayor periodo de evolución de la enfermedad</w:t>
      </w:r>
      <w:r w:rsidR="005C33BF">
        <w:t xml:space="preserve">. </w:t>
      </w:r>
      <w:r>
        <w:t>Un número elevado de aneurismas podría sugerir una enfermedad sistémica subyacente</w:t>
      </w:r>
      <w:r w:rsidR="009D565B">
        <w:t xml:space="preserve"> </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9F7D3B" w:rsidRPr="009F7D3B">
        <w:rPr>
          <w:rFonts w:ascii="Calibri Light" w:hAnsi="Calibri Light" w:cs="Calibri Light"/>
        </w:rPr>
        <w:t>(7)</w:t>
      </w:r>
      <w:r w:rsidR="005C33BF">
        <w:fldChar w:fldCharType="end"/>
      </w:r>
      <w:r w:rsidR="005C33BF">
        <w:t>.</w:t>
      </w:r>
    </w:p>
    <w:p w:rsidR="00F308D9" w:rsidRDefault="00376711" w:rsidP="00376711">
      <w:pPr>
        <w:pStyle w:val="Ttulo4"/>
      </w:pPr>
      <w:r>
        <w:t>Ca</w:t>
      </w:r>
      <w:r w:rsidR="00F308D9">
        <w:t>racter</w:t>
      </w:r>
      <w:r>
        <w:t>ísticas del paciente</w:t>
      </w:r>
    </w:p>
    <w:p w:rsidR="00F308D9" w:rsidRDefault="00F308D9" w:rsidP="00376711">
      <w:pPr>
        <w:pStyle w:val="Prrafodelista"/>
        <w:numPr>
          <w:ilvl w:val="0"/>
          <w:numId w:val="2"/>
        </w:numPr>
        <w:jc w:val="both"/>
      </w:pPr>
      <w:r w:rsidRPr="00376711">
        <w:rPr>
          <w:b/>
        </w:rPr>
        <w:t>Edad</w:t>
      </w:r>
      <w:r>
        <w:t xml:space="preserve">: es un factor a tener en cuenta de cara al tratamiento, a mayor edad mayor morbimortalidad. Una edad mayor no implica mayor riesgo de ruptura, pero en una persona joven el tiempo de evolución del aneurisma será mayor, lo que conlleva mayor posibilidad de ruptura o </w:t>
      </w:r>
      <w:r w:rsidR="00860908">
        <w:t xml:space="preserve">de </w:t>
      </w:r>
      <w:r>
        <w:t>génesis de nuevos aneurismas</w:t>
      </w:r>
      <w:r w:rsidR="00860908">
        <w:t xml:space="preserve"> </w:t>
      </w:r>
      <w:r>
        <w:fldChar w:fldCharType="begin"/>
      </w:r>
      <w:r w:rsidR="00786BDC">
        <w:instrText xml:space="preserve"> ADDIN ZOTERO_ITEM CSL_CITATION {"citationID":"2uby1SBX","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9F7D3B" w:rsidRPr="009F7D3B">
        <w:rPr>
          <w:rFonts w:ascii="Calibri Light" w:hAnsi="Calibri Light" w:cs="Calibri Light"/>
        </w:rPr>
        <w:t>(4,8)</w:t>
      </w:r>
      <w:r>
        <w:fldChar w:fldCharType="end"/>
      </w:r>
      <w:r>
        <w:t xml:space="preserve">. </w:t>
      </w:r>
    </w:p>
    <w:p w:rsidR="00F308D9" w:rsidRDefault="00F308D9" w:rsidP="00376711">
      <w:pPr>
        <w:pStyle w:val="Prrafodelista"/>
        <w:numPr>
          <w:ilvl w:val="0"/>
          <w:numId w:val="2"/>
        </w:numPr>
        <w:jc w:val="both"/>
      </w:pPr>
      <w:r w:rsidRPr="00376711">
        <w:rPr>
          <w:b/>
        </w:rPr>
        <w:lastRenderedPageBreak/>
        <w:t>Sexo</w:t>
      </w:r>
      <w:r>
        <w:t>: ser mujer significa tener un riesgo mayor de ruptura, de 1.5 a 3 veces más que los hombres</w:t>
      </w:r>
      <w:r w:rsidR="009D565B">
        <w:t xml:space="preserve"> </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9F7D3B" w:rsidRPr="009F7D3B">
        <w:rPr>
          <w:rFonts w:ascii="Calibri Light" w:hAnsi="Calibri Light" w:cs="Calibri Light"/>
        </w:rPr>
        <w:t>(3)</w:t>
      </w:r>
      <w:r>
        <w:fldChar w:fldCharType="end"/>
      </w:r>
      <w:r>
        <w:t>.</w:t>
      </w:r>
    </w:p>
    <w:p w:rsidR="00F308D9" w:rsidRDefault="00F308D9" w:rsidP="00376711">
      <w:pPr>
        <w:pStyle w:val="Prrafodelista"/>
        <w:numPr>
          <w:ilvl w:val="0"/>
          <w:numId w:val="2"/>
        </w:numPr>
        <w:jc w:val="both"/>
      </w:pPr>
      <w:r w:rsidRPr="00376711">
        <w:rPr>
          <w:b/>
        </w:rPr>
        <w:t>Historia previa de HSA</w:t>
      </w:r>
      <w:r>
        <w:t xml:space="preserve">: han de valorarse de manera distinta los pacientes </w:t>
      </w:r>
      <w:r w:rsidR="00860908">
        <w:t xml:space="preserve">que carecen de </w:t>
      </w:r>
      <w:r w:rsidR="00376711">
        <w:t xml:space="preserve">historia de HSA y los que </w:t>
      </w:r>
      <w:r>
        <w:t xml:space="preserve">la tienen, puesto que se ha demostrado que el comportamiento de los aneurismas es </w:t>
      </w:r>
      <w:r w:rsidR="00376711">
        <w:t>diferente. Para un mismo tamaño</w:t>
      </w:r>
      <w:r>
        <w:t xml:space="preserve"> el riesgo de ruptura en pacientes con historia de HSA y pacientes sin ella</w:t>
      </w:r>
      <w:r w:rsidR="00670F15">
        <w:t xml:space="preserve"> para un diámetro aneurismático inferior a 10mm</w:t>
      </w:r>
      <w:r>
        <w:t xml:space="preserve">, el riesgo de ruptura es de 0.5%/año y 0.05%/año respectivamente. En los pacientes que </w:t>
      </w:r>
      <w:r w:rsidR="00860908">
        <w:t>no tienen</w:t>
      </w:r>
      <w:r>
        <w:t xml:space="preserve"> historia de HSA </w:t>
      </w:r>
      <w:r w:rsidR="00860908">
        <w:t>previa</w:t>
      </w:r>
      <w:r>
        <w:t xml:space="preserve"> el tamaño y la localización son factores predictores de ruptura, independie</w:t>
      </w:r>
      <w:r w:rsidR="00860908">
        <w:t xml:space="preserv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9F7D3B" w:rsidRPr="009F7D3B">
        <w:rPr>
          <w:rFonts w:ascii="Calibri Light" w:hAnsi="Calibri Light" w:cs="Calibri Light"/>
        </w:rPr>
        <w:t>(5)</w:t>
      </w:r>
      <w:r>
        <w:fldChar w:fldCharType="end"/>
      </w:r>
      <w:r>
        <w:t xml:space="preserve">. </w:t>
      </w:r>
    </w:p>
    <w:p w:rsidR="00F308D9" w:rsidRDefault="00F308D9" w:rsidP="00376711">
      <w:pPr>
        <w:pStyle w:val="Prrafodelista"/>
        <w:numPr>
          <w:ilvl w:val="0"/>
          <w:numId w:val="2"/>
        </w:numPr>
        <w:jc w:val="both"/>
      </w:pPr>
      <w:r w:rsidRPr="00376711">
        <w:rPr>
          <w:b/>
        </w:rPr>
        <w:t>Antecedentes familiares</w:t>
      </w:r>
      <w:r>
        <w:t>: comportamiento más agresivo de los aneurismas si un familiar de primer grado ha padecido una HSA aneurismática</w:t>
      </w:r>
      <w:r w:rsidR="00860908">
        <w:t xml:space="preserve"> </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9F7D3B" w:rsidRPr="009F7D3B">
        <w:rPr>
          <w:rFonts w:ascii="Calibri Light" w:hAnsi="Calibri Light" w:cs="Calibri Light"/>
        </w:rPr>
        <w:t>(7)</w:t>
      </w:r>
      <w:r>
        <w:fldChar w:fldCharType="end"/>
      </w:r>
      <w:r>
        <w:t>.</w:t>
      </w:r>
    </w:p>
    <w:p w:rsidR="00F308D9" w:rsidRDefault="00F308D9" w:rsidP="00376711">
      <w:pPr>
        <w:pStyle w:val="Prrafodelista"/>
        <w:numPr>
          <w:ilvl w:val="0"/>
          <w:numId w:val="2"/>
        </w:numPr>
        <w:jc w:val="both"/>
      </w:pPr>
      <w:r w:rsidRPr="00376711">
        <w:rPr>
          <w:b/>
        </w:rPr>
        <w:t>Comorbilidad</w:t>
      </w:r>
      <w:r>
        <w:t xml:space="preserve">: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9F7D3B" w:rsidRPr="009F7D3B">
        <w:rPr>
          <w:rFonts w:ascii="Calibri Light" w:hAnsi="Calibri Light" w:cs="Calibri Light"/>
        </w:rPr>
        <w:t>(7)</w:t>
      </w:r>
      <w:r>
        <w:fldChar w:fldCharType="end"/>
      </w:r>
      <w:r>
        <w:t>.</w:t>
      </w:r>
    </w:p>
    <w:p w:rsidR="00B03FBF" w:rsidRPr="00EC37D1" w:rsidRDefault="00F308D9" w:rsidP="00B03FBF">
      <w:pPr>
        <w:pStyle w:val="Prrafodelista"/>
        <w:numPr>
          <w:ilvl w:val="0"/>
          <w:numId w:val="2"/>
        </w:numPr>
        <w:spacing w:after="0"/>
        <w:jc w:val="both"/>
        <w:rPr>
          <w:rFonts w:ascii="Calibri Light" w:hAnsi="Calibri Light"/>
        </w:rPr>
      </w:pPr>
      <w:r w:rsidRPr="00376711">
        <w:rPr>
          <w:b/>
        </w:rPr>
        <w:t>Hábitos tóxicos</w:t>
      </w:r>
      <w:r>
        <w:t>: el consumo de tabaco</w:t>
      </w:r>
      <w:r w:rsidR="00255E6E">
        <w:t xml:space="preserve"> y alcohol</w:t>
      </w:r>
      <w:r>
        <w:t xml:space="preserve"> implica peor pronóstico de la enfermedad</w:t>
      </w:r>
      <w:r w:rsidR="00860908">
        <w:t xml:space="preserve"> </w:t>
      </w:r>
      <w:r w:rsidR="00376711">
        <w:t>por lo que es recomendabl</w:t>
      </w:r>
      <w:r w:rsidR="002F717A">
        <w:t>e el abandono de dichos hábitos</w:t>
      </w:r>
      <w:r w:rsidR="00376711">
        <w:t xml:space="preserve"> </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9F7D3B" w:rsidRPr="009F7D3B">
        <w:rPr>
          <w:rFonts w:ascii="Calibri Light" w:hAnsi="Calibri Light" w:cs="Calibri Light"/>
        </w:rPr>
        <w:t>(9)</w:t>
      </w:r>
      <w:r>
        <w:fldChar w:fldCharType="end"/>
      </w:r>
      <w:r>
        <w:t>.</w:t>
      </w:r>
    </w:p>
    <w:p w:rsidR="009A0CDA" w:rsidRDefault="00B03FBF" w:rsidP="009A0CDA">
      <w:pPr>
        <w:keepNext/>
        <w:spacing w:after="0"/>
        <w:jc w:val="center"/>
      </w:pPr>
      <w:r>
        <w:rPr>
          <w:rFonts w:ascii="Calibri Light" w:hAnsi="Calibri Light"/>
          <w:noProof/>
          <w:lang w:eastAsia="es-ES"/>
        </w:rPr>
        <w:drawing>
          <wp:inline distT="0" distB="0" distL="0" distR="0" wp14:anchorId="5CC3FA3F" wp14:editId="65643959">
            <wp:extent cx="3833300" cy="2636659"/>
            <wp:effectExtent l="0" t="0" r="0" b="0"/>
            <wp:docPr id="3" name="Imagen 3" descr="D:\Carpetas personales\Escritorio\57ab87e879c0b5c1668fe44dde4cc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arpetas personales\Escritorio\57ab87e879c0b5c1668fe44dde4cc257.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34189" cy="2637270"/>
                    </a:xfrm>
                    <a:prstGeom prst="rect">
                      <a:avLst/>
                    </a:prstGeom>
                    <a:noFill/>
                    <a:ln>
                      <a:noFill/>
                    </a:ln>
                  </pic:spPr>
                </pic:pic>
              </a:graphicData>
            </a:graphic>
          </wp:inline>
        </w:drawing>
      </w:r>
    </w:p>
    <w:p w:rsidR="00B03FBF" w:rsidRPr="00B03FBF" w:rsidRDefault="00BB5A82" w:rsidP="009A0CDA">
      <w:pPr>
        <w:pStyle w:val="Epgrafe"/>
        <w:jc w:val="center"/>
        <w:rPr>
          <w:rFonts w:ascii="Calibri Light" w:hAnsi="Calibri Light"/>
        </w:rPr>
      </w:pPr>
      <w:bookmarkStart w:id="11" w:name="_Toc516069712"/>
      <w:r>
        <w:t>Figura</w:t>
      </w:r>
      <w:r w:rsidR="009A0CDA">
        <w:t xml:space="preserve"> </w:t>
      </w:r>
      <w:fldSimple w:instr=" SEQ Ilustración \* ARABIC ">
        <w:r w:rsidR="009A0CDA">
          <w:rPr>
            <w:noProof/>
          </w:rPr>
          <w:t>1</w:t>
        </w:r>
      </w:fldSimple>
      <w:r w:rsidR="009A0CDA">
        <w:t>. Polígono de Willis</w:t>
      </w:r>
      <w:bookmarkEnd w:id="11"/>
    </w:p>
    <w:p w:rsidR="00F308D9" w:rsidRDefault="00F308D9" w:rsidP="00DD169A">
      <w:pPr>
        <w:pStyle w:val="Ttulo2"/>
        <w:numPr>
          <w:ilvl w:val="1"/>
          <w:numId w:val="0"/>
        </w:numPr>
        <w:spacing w:before="0" w:line="360" w:lineRule="auto"/>
        <w:ind w:left="576" w:hanging="576"/>
        <w:jc w:val="both"/>
      </w:pPr>
      <w:bookmarkStart w:id="12" w:name="_Toc516070233"/>
      <w:r>
        <w:lastRenderedPageBreak/>
        <w:t>Tratamiento de los aneurismas incidentales</w:t>
      </w:r>
      <w:bookmarkEnd w:id="12"/>
    </w:p>
    <w:p w:rsidR="00DD169A" w:rsidRDefault="00F308D9" w:rsidP="00DD169A">
      <w:pPr>
        <w:spacing w:after="0"/>
        <w:jc w:val="both"/>
      </w:pPr>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DD169A">
      <w:pPr>
        <w:pStyle w:val="Ttulo3"/>
        <w:spacing w:before="0" w:line="360" w:lineRule="auto"/>
      </w:pPr>
      <w:bookmarkStart w:id="13" w:name="_Toc516070234"/>
      <w:r>
        <w:t>Tratamiento quirúrgico</w:t>
      </w:r>
      <w:bookmarkEnd w:id="13"/>
    </w:p>
    <w:p w:rsidR="00731971" w:rsidRPr="00731971" w:rsidRDefault="00731971" w:rsidP="00376711">
      <w:pPr>
        <w:pStyle w:val="Prrafodelista"/>
        <w:numPr>
          <w:ilvl w:val="0"/>
          <w:numId w:val="16"/>
        </w:numPr>
        <w:jc w:val="both"/>
      </w:pPr>
      <w:r w:rsidRPr="00095993">
        <w:t>Técnica</w:t>
      </w:r>
      <w:r w:rsidRPr="00376711">
        <w:t>:</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DD169A">
      <w:pPr>
        <w:jc w:val="both"/>
      </w:pPr>
      <w:r>
        <w:t>Es una técnica muy eficiente, viéndose en la literatura que alcanza la oclusión completa del aneurisma hasta en el 91% de los casos.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En numerosa</w:t>
      </w:r>
      <w:r w:rsidR="00216D3A">
        <w:t>s ocasiones, un elevado riesgo d</w:t>
      </w:r>
      <w:r w:rsidR="00171FF3">
        <w:t xml:space="preserve">e </w:t>
      </w:r>
      <w:r w:rsidR="008030F4">
        <w:t>hemorragia aneurismática</w:t>
      </w:r>
      <w:r w:rsidR="00171FF3">
        <w:t xml:space="preserve"> está asociado a una </w:t>
      </w:r>
      <w:r w:rsidR="008030F4">
        <w:t>m</w:t>
      </w:r>
      <w:r w:rsidR="00171FF3">
        <w:t>ayor morbimortalidad quirúrgica</w:t>
      </w:r>
      <w:r w:rsidR="00860908">
        <w:t xml:space="preserve"> </w:t>
      </w:r>
      <w:r>
        <w:fldChar w:fldCharType="begin"/>
      </w:r>
      <w:r w:rsidR="00216D3A">
        <w:instrText xml:space="preserve"> ADDIN ZOTERO_ITEM CSL_CITATION {"citationID":"nQwzPL0U","properties":{"formattedCitation":"(3,10)","plainCitation":"(3,10)","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9F7D3B" w:rsidRPr="009F7D3B">
        <w:rPr>
          <w:rFonts w:ascii="Calibri Light" w:hAnsi="Calibri Light" w:cs="Calibri Light"/>
        </w:rPr>
        <w:t>(3,10)</w:t>
      </w:r>
      <w:r>
        <w:fldChar w:fldCharType="end"/>
      </w:r>
      <w:r w:rsidR="00171FF3">
        <w:t>.</w:t>
      </w:r>
    </w:p>
    <w:p w:rsidR="00F308D9" w:rsidRDefault="00F308D9" w:rsidP="00095993">
      <w:pPr>
        <w:jc w:val="both"/>
      </w:pPr>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w:t>
      </w:r>
      <w:r>
        <w:lastRenderedPageBreak/>
        <w:t>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216D3A">
        <w:t xml:space="preserve"> </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9F7D3B" w:rsidRPr="009F7D3B">
        <w:rPr>
          <w:rFonts w:ascii="Calibri Light" w:hAnsi="Calibri Light" w:cs="Calibri Light"/>
        </w:rPr>
        <w:t>(4)</w:t>
      </w:r>
      <w:r w:rsidR="005C33BF">
        <w:fldChar w:fldCharType="end"/>
      </w:r>
      <w:r>
        <w:t>.</w:t>
      </w:r>
    </w:p>
    <w:p w:rsidR="00731971" w:rsidRPr="00731971" w:rsidRDefault="00F308D9" w:rsidP="00095993">
      <w:pPr>
        <w:spacing w:after="0"/>
        <w:jc w:val="both"/>
      </w:pPr>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4E3624">
        <w:t xml:space="preserve"> </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9F7D3B" w:rsidRPr="009F7D3B">
        <w:rPr>
          <w:rFonts w:ascii="Calibri" w:hAnsi="Calibri" w:cs="Calibri"/>
        </w:rPr>
        <w:t>(11)</w:t>
      </w:r>
      <w:r w:rsidR="00731971">
        <w:fldChar w:fldCharType="end"/>
      </w:r>
      <w:r w:rsidR="00731971">
        <w:t>.</w:t>
      </w:r>
    </w:p>
    <w:p w:rsidR="00F308D9" w:rsidRDefault="00F308D9" w:rsidP="00095993">
      <w:pPr>
        <w:pStyle w:val="Ttulo3"/>
        <w:numPr>
          <w:ilvl w:val="2"/>
          <w:numId w:val="0"/>
        </w:numPr>
        <w:spacing w:before="0" w:line="276" w:lineRule="auto"/>
        <w:ind w:left="720" w:hanging="720"/>
        <w:jc w:val="both"/>
      </w:pPr>
      <w:bookmarkStart w:id="14" w:name="_Toc516070235"/>
      <w:r>
        <w:t>Tratamiento endovascular</w:t>
      </w:r>
      <w:bookmarkEnd w:id="14"/>
    </w:p>
    <w:p w:rsidR="00EC7595" w:rsidRDefault="00731971" w:rsidP="00095993">
      <w:pPr>
        <w:pStyle w:val="Prrafodelista"/>
        <w:numPr>
          <w:ilvl w:val="0"/>
          <w:numId w:val="16"/>
        </w:numPr>
        <w:spacing w:before="240"/>
        <w:jc w:val="both"/>
      </w:pPr>
      <w:r w:rsidRPr="00095993">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095993">
      <w:pPr>
        <w:jc w:val="both"/>
      </w:pPr>
      <w:r>
        <w:lastRenderedPageBreak/>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xml:space="preserve">, siendo una alternativa segura para los pacientes en </w:t>
      </w:r>
      <w:r w:rsidR="004E3624">
        <w:t xml:space="preserve">los cuales no es posible llevar a cabo </w:t>
      </w:r>
      <w:r>
        <w:t>la</w:t>
      </w:r>
      <w:r w:rsidR="004E3624">
        <w:t xml:space="preserve"> cirugía </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9F7D3B" w:rsidRPr="009F7D3B">
        <w:rPr>
          <w:rFonts w:ascii="Calibri Light" w:hAnsi="Calibri Light" w:cs="Calibri Light"/>
        </w:rPr>
        <w:t>(9)</w:t>
      </w:r>
      <w:r>
        <w:fldChar w:fldCharType="end"/>
      </w:r>
      <w:r>
        <w:t>.</w:t>
      </w:r>
    </w:p>
    <w:p w:rsidR="00F308D9" w:rsidRDefault="00F308D9" w:rsidP="00095993">
      <w:pPr>
        <w:jc w:val="both"/>
      </w:pPr>
      <w:r>
        <w:t>En el caso de los aneurismas rotos, el estudio ISAT</w:t>
      </w:r>
      <w:r>
        <w:rPr>
          <w:rStyle w:val="Refdenotaalpie"/>
        </w:rPr>
        <w:footnoteReference w:id="3"/>
      </w:r>
      <w:r>
        <w:t xml:space="preserve"> demostró que los mejores resultados se obtienen mediante tratamiento con coils, </w:t>
      </w:r>
      <w:r w:rsidR="004E3624">
        <w:t>sin embargo</w:t>
      </w:r>
      <w:r>
        <w:t xml:space="preserve">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rsidR="004E3624">
        <w:t xml:space="preserve"> </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9F7D3B" w:rsidRPr="009F7D3B">
        <w:rPr>
          <w:rFonts w:ascii="Calibri Light" w:hAnsi="Calibri Light" w:cs="Calibri Light"/>
        </w:rPr>
        <w:t>(9,12)</w:t>
      </w:r>
      <w:r>
        <w:fldChar w:fldCharType="end"/>
      </w:r>
      <w:r>
        <w:t xml:space="preserve">. </w:t>
      </w:r>
    </w:p>
    <w:p w:rsidR="008443CD" w:rsidRDefault="00D26449" w:rsidP="00095993">
      <w:pPr>
        <w:jc w:val="both"/>
      </w:pPr>
      <w:r>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w:t>
      </w:r>
      <w:r w:rsidR="00B3165D">
        <w:lastRenderedPageBreak/>
        <w:t>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3492">
        <w:t xml:space="preserve"> </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9F7D3B" w:rsidRPr="009F7D3B">
        <w:rPr>
          <w:rFonts w:ascii="Calibri" w:hAnsi="Calibri" w:cs="Calibri"/>
        </w:rPr>
        <w:t>(13,14)</w:t>
      </w:r>
      <w:r w:rsidR="00C20DA7">
        <w:fldChar w:fldCharType="end"/>
      </w:r>
      <w:r w:rsidR="00C20DA7">
        <w:t>.</w:t>
      </w:r>
    </w:p>
    <w:p w:rsidR="007C53E5" w:rsidRDefault="007C53E5" w:rsidP="00D0631D">
      <w:pPr>
        <w:pStyle w:val="Ttulo1"/>
        <w:spacing w:before="0" w:after="240" w:line="276" w:lineRule="auto"/>
        <w:jc w:val="both"/>
      </w:pPr>
      <w:bookmarkStart w:id="15" w:name="_Toc516070236"/>
      <w:r>
        <w:t>Justificación del Proyecto</w:t>
      </w:r>
      <w:bookmarkEnd w:id="15"/>
    </w:p>
    <w:p w:rsidR="009B4055" w:rsidRPr="0054730A" w:rsidRDefault="009B4055" w:rsidP="00DD169A">
      <w:pPr>
        <w:jc w:val="both"/>
      </w:pPr>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D0631D">
      <w:pPr>
        <w:pStyle w:val="Ttulo1"/>
        <w:spacing w:before="0" w:line="360" w:lineRule="auto"/>
        <w:jc w:val="both"/>
      </w:pPr>
      <w:bookmarkStart w:id="16" w:name="_Toc516070237"/>
      <w:r>
        <w:t>Objetivos</w:t>
      </w:r>
      <w:bookmarkEnd w:id="16"/>
    </w:p>
    <w:p w:rsidR="009F3E84" w:rsidRDefault="00B33078" w:rsidP="00DD169A">
      <w:pPr>
        <w:pStyle w:val="Prrafodelista"/>
        <w:numPr>
          <w:ilvl w:val="0"/>
          <w:numId w:val="3"/>
        </w:numPr>
        <w:jc w:val="both"/>
      </w:pPr>
      <w:r>
        <w:t>Analizar las características epidemiológicas, clínicas y radiológicas de los aneurismas incidentales sometidos a tratamiento endovascular</w:t>
      </w:r>
      <w:r w:rsidR="001A776F">
        <w:t>.</w:t>
      </w:r>
    </w:p>
    <w:p w:rsidR="009F3E84" w:rsidRDefault="00B33078" w:rsidP="00DD169A">
      <w:pPr>
        <w:pStyle w:val="Prrafodelista"/>
        <w:numPr>
          <w:ilvl w:val="0"/>
          <w:numId w:val="3"/>
        </w:numPr>
        <w:jc w:val="both"/>
      </w:pPr>
      <w:r>
        <w:t>Analizar las complicaciones de</w:t>
      </w:r>
      <w:r w:rsidR="001A776F">
        <w:t xml:space="preserve">l tratamiento endovascular de </w:t>
      </w:r>
      <w:r>
        <w:t>30 casos de aneurismas incidentales</w:t>
      </w:r>
      <w:r w:rsidR="001A776F">
        <w:t>.</w:t>
      </w:r>
    </w:p>
    <w:p w:rsidR="00B33078" w:rsidRPr="00844702" w:rsidRDefault="001A776F" w:rsidP="00DD169A">
      <w:pPr>
        <w:pStyle w:val="Prrafodelista"/>
        <w:numPr>
          <w:ilvl w:val="0"/>
          <w:numId w:val="3"/>
        </w:numPr>
        <w:shd w:val="clear" w:color="auto" w:fill="FFFFFF"/>
        <w:spacing w:after="0" w:line="240" w:lineRule="auto"/>
        <w:jc w:val="both"/>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D0631D">
      <w:pPr>
        <w:pStyle w:val="Ttulo1"/>
        <w:spacing w:line="360" w:lineRule="auto"/>
        <w:jc w:val="both"/>
      </w:pPr>
      <w:bookmarkStart w:id="17" w:name="_Toc516070238"/>
      <w:r>
        <w:lastRenderedPageBreak/>
        <w:t>Material y métodos</w:t>
      </w:r>
      <w:bookmarkEnd w:id="17"/>
    </w:p>
    <w:p w:rsidR="003E1DC9" w:rsidRPr="00284A8E" w:rsidRDefault="003E1DC9" w:rsidP="00DD169A">
      <w:pPr>
        <w:jc w:val="both"/>
      </w:pPr>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D0631D">
      <w:pPr>
        <w:spacing w:after="0"/>
        <w:jc w:val="both"/>
      </w:pPr>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w:t>
      </w:r>
      <w:r w:rsidRPr="002F717A">
        <w:t>ovascular</w:t>
      </w:r>
      <w:r w:rsidR="00F632EC" w:rsidRPr="002F717A">
        <w:t>, diagnosticados</w:t>
      </w:r>
      <w:r w:rsidRPr="002F717A">
        <w:t xml:space="preserve"> entre el 1 de Enero de 2016 y 31 de Diciembre de 2017</w:t>
      </w:r>
      <w:r w:rsidR="00F632EC" w:rsidRPr="002F717A">
        <w:t>.</w:t>
      </w:r>
    </w:p>
    <w:p w:rsidR="00F632EC" w:rsidRDefault="00F632EC" w:rsidP="00D0631D">
      <w:pPr>
        <w:pStyle w:val="Ttulo2"/>
        <w:spacing w:before="0" w:line="360" w:lineRule="auto"/>
        <w:jc w:val="both"/>
      </w:pPr>
      <w:bookmarkStart w:id="18" w:name="_Toc516070239"/>
      <w:r>
        <w:t>Criterios de inclusión</w:t>
      </w:r>
      <w:bookmarkEnd w:id="18"/>
    </w:p>
    <w:p w:rsidR="00F632EC" w:rsidRDefault="00F632EC" w:rsidP="00DD169A">
      <w:pPr>
        <w:pStyle w:val="Prrafodelista"/>
        <w:numPr>
          <w:ilvl w:val="0"/>
          <w:numId w:val="2"/>
        </w:numPr>
        <w:jc w:val="both"/>
      </w:pPr>
      <w:r>
        <w:t>Pacientes mayores de 18 años.</w:t>
      </w:r>
    </w:p>
    <w:p w:rsidR="00F632EC" w:rsidRDefault="00F632EC" w:rsidP="00DD169A">
      <w:pPr>
        <w:pStyle w:val="Prrafodelista"/>
        <w:numPr>
          <w:ilvl w:val="0"/>
          <w:numId w:val="2"/>
        </w:numPr>
        <w:jc w:val="both"/>
      </w:pPr>
      <w:r>
        <w:t>Pacientes con aneurismas incidentales intracraneales no rotos.</w:t>
      </w:r>
    </w:p>
    <w:p w:rsidR="00F632EC" w:rsidRDefault="00F632EC" w:rsidP="00D0631D">
      <w:pPr>
        <w:pStyle w:val="Prrafodelista"/>
        <w:numPr>
          <w:ilvl w:val="0"/>
          <w:numId w:val="2"/>
        </w:numPr>
        <w:spacing w:after="0"/>
        <w:jc w:val="both"/>
      </w:pPr>
      <w:r>
        <w:t>Pacientes tratados mediante TEV.</w:t>
      </w:r>
    </w:p>
    <w:p w:rsidR="00255E6E" w:rsidRDefault="00F632EC" w:rsidP="00D0631D">
      <w:pPr>
        <w:pStyle w:val="Ttulo2"/>
        <w:spacing w:before="0" w:line="360" w:lineRule="auto"/>
        <w:jc w:val="both"/>
      </w:pPr>
      <w:bookmarkStart w:id="19" w:name="_Toc516070240"/>
      <w:r>
        <w:t>Datos recogidos</w:t>
      </w:r>
      <w:bookmarkEnd w:id="19"/>
    </w:p>
    <w:p w:rsidR="00255E6E" w:rsidRDefault="00255E6E" w:rsidP="00DD169A">
      <w:pPr>
        <w:pStyle w:val="Prrafodelista"/>
        <w:numPr>
          <w:ilvl w:val="0"/>
          <w:numId w:val="2"/>
        </w:numPr>
        <w:jc w:val="both"/>
      </w:pPr>
      <w:r>
        <w:t>Edad al diagnóstico.</w:t>
      </w:r>
    </w:p>
    <w:p w:rsidR="00255E6E" w:rsidRDefault="00255E6E" w:rsidP="00DD169A">
      <w:pPr>
        <w:pStyle w:val="Prrafodelista"/>
        <w:numPr>
          <w:ilvl w:val="0"/>
          <w:numId w:val="2"/>
        </w:numPr>
        <w:jc w:val="both"/>
      </w:pPr>
      <w:r>
        <w:t>Sexo.</w:t>
      </w:r>
    </w:p>
    <w:p w:rsidR="00255E6E" w:rsidRDefault="00255E6E" w:rsidP="00DD169A">
      <w:pPr>
        <w:pStyle w:val="Prrafodelista"/>
        <w:numPr>
          <w:ilvl w:val="0"/>
          <w:numId w:val="2"/>
        </w:numPr>
        <w:jc w:val="both"/>
      </w:pPr>
      <w:r>
        <w:t>Tamaño del aneurisma.</w:t>
      </w:r>
    </w:p>
    <w:p w:rsidR="00255E6E" w:rsidRDefault="00255E6E" w:rsidP="00DD169A">
      <w:pPr>
        <w:pStyle w:val="Prrafodelista"/>
        <w:numPr>
          <w:ilvl w:val="0"/>
          <w:numId w:val="2"/>
        </w:numPr>
        <w:jc w:val="both"/>
      </w:pPr>
      <w:r>
        <w:t>Morfología del aneurisma.</w:t>
      </w:r>
    </w:p>
    <w:p w:rsidR="00255E6E" w:rsidRDefault="00255E6E" w:rsidP="00DD169A">
      <w:pPr>
        <w:pStyle w:val="Prrafodelista"/>
        <w:numPr>
          <w:ilvl w:val="0"/>
          <w:numId w:val="2"/>
        </w:numPr>
        <w:jc w:val="both"/>
      </w:pPr>
      <w:r>
        <w:t>Localización del aneurisma.</w:t>
      </w:r>
    </w:p>
    <w:p w:rsidR="00255E6E" w:rsidRDefault="00255E6E" w:rsidP="00DD169A">
      <w:pPr>
        <w:pStyle w:val="Prrafodelista"/>
        <w:numPr>
          <w:ilvl w:val="0"/>
          <w:numId w:val="2"/>
        </w:numPr>
        <w:jc w:val="both"/>
      </w:pPr>
      <w:r>
        <w:t>Historia de HSA.</w:t>
      </w:r>
    </w:p>
    <w:p w:rsidR="00B82C68" w:rsidRDefault="00255E6E" w:rsidP="00DD169A">
      <w:pPr>
        <w:pStyle w:val="Prrafodelista"/>
        <w:numPr>
          <w:ilvl w:val="0"/>
          <w:numId w:val="2"/>
        </w:numPr>
        <w:jc w:val="both"/>
      </w:pPr>
      <w:r>
        <w:t>Comorbilidades</w:t>
      </w:r>
      <w:r w:rsidR="00B82C68">
        <w:t>.</w:t>
      </w:r>
    </w:p>
    <w:p w:rsidR="00255E6E" w:rsidRDefault="00255E6E" w:rsidP="00DD169A">
      <w:pPr>
        <w:pStyle w:val="Prrafodelista"/>
        <w:numPr>
          <w:ilvl w:val="0"/>
          <w:numId w:val="2"/>
        </w:numPr>
        <w:jc w:val="both"/>
      </w:pPr>
      <w:r>
        <w:t>Consumo de tabaco</w:t>
      </w:r>
      <w:r w:rsidR="00844702">
        <w:t>.</w:t>
      </w:r>
    </w:p>
    <w:p w:rsidR="00255E6E" w:rsidRDefault="00255E6E" w:rsidP="00DD169A">
      <w:pPr>
        <w:pStyle w:val="Prrafodelista"/>
        <w:numPr>
          <w:ilvl w:val="0"/>
          <w:numId w:val="2"/>
        </w:numPr>
        <w:jc w:val="both"/>
      </w:pPr>
      <w:r>
        <w:t>Consumo de alcohol</w:t>
      </w:r>
      <w:r w:rsidR="00844702">
        <w:t>.</w:t>
      </w:r>
    </w:p>
    <w:p w:rsidR="00255E6E" w:rsidRDefault="000C7C78" w:rsidP="00DD169A">
      <w:pPr>
        <w:pStyle w:val="Prrafodelista"/>
        <w:numPr>
          <w:ilvl w:val="0"/>
          <w:numId w:val="2"/>
        </w:numPr>
        <w:jc w:val="both"/>
      </w:pPr>
      <w:r>
        <w:t>Motivo o causa que condujo</w:t>
      </w:r>
      <w:r w:rsidR="00255E6E">
        <w:t xml:space="preserve"> </w:t>
      </w:r>
      <w:r>
        <w:t>a</w:t>
      </w:r>
      <w:r w:rsidR="00255E6E">
        <w:t>l diagnóstico</w:t>
      </w:r>
      <w:r w:rsidR="00844702">
        <w:t>.</w:t>
      </w:r>
    </w:p>
    <w:p w:rsidR="00255E6E" w:rsidRDefault="001C0498" w:rsidP="00DD169A">
      <w:pPr>
        <w:pStyle w:val="Prrafodelista"/>
        <w:numPr>
          <w:ilvl w:val="0"/>
          <w:numId w:val="2"/>
        </w:numPr>
        <w:jc w:val="both"/>
      </w:pPr>
      <w:r>
        <w:t>Número de aneurismas.</w:t>
      </w:r>
    </w:p>
    <w:p w:rsidR="001C0498" w:rsidRDefault="009A3F9E" w:rsidP="00DD169A">
      <w:pPr>
        <w:pStyle w:val="Prrafodelista"/>
        <w:numPr>
          <w:ilvl w:val="0"/>
          <w:numId w:val="2"/>
        </w:numPr>
        <w:jc w:val="both"/>
      </w:pPr>
      <w:r>
        <w:lastRenderedPageBreak/>
        <w:t>Material utilizado en la t</w:t>
      </w:r>
      <w:r w:rsidR="00C46346">
        <w:t>écnica endovascular</w:t>
      </w:r>
      <w:r w:rsidR="00C0490A">
        <w:t>: coils vs remodeling con balón</w:t>
      </w:r>
      <w:r w:rsidR="00C0490A">
        <w:rPr>
          <w:rStyle w:val="Refdenotaalpie"/>
        </w:rPr>
        <w:footnoteReference w:id="5"/>
      </w:r>
      <w:r w:rsidR="00C0490A">
        <w:t>.</w:t>
      </w:r>
    </w:p>
    <w:p w:rsidR="001C0498" w:rsidRDefault="001C0498" w:rsidP="00DD169A">
      <w:pPr>
        <w:pStyle w:val="Prrafodelista"/>
        <w:numPr>
          <w:ilvl w:val="0"/>
          <w:numId w:val="2"/>
        </w:numPr>
        <w:jc w:val="both"/>
      </w:pPr>
      <w:r>
        <w:t>Porcentaje de oclusión conseguido.</w:t>
      </w:r>
    </w:p>
    <w:p w:rsidR="001C0498" w:rsidRDefault="001C0498" w:rsidP="00DD169A">
      <w:pPr>
        <w:pStyle w:val="Prrafodelista"/>
        <w:numPr>
          <w:ilvl w:val="0"/>
          <w:numId w:val="2"/>
        </w:numPr>
        <w:jc w:val="both"/>
      </w:pPr>
      <w:r>
        <w:t>Nº de intervenciones realizadas.</w:t>
      </w:r>
    </w:p>
    <w:p w:rsidR="009041DD" w:rsidRDefault="009041DD" w:rsidP="00DD169A">
      <w:pPr>
        <w:pStyle w:val="Prrafodelista"/>
        <w:numPr>
          <w:ilvl w:val="0"/>
          <w:numId w:val="2"/>
        </w:numPr>
        <w:jc w:val="both"/>
      </w:pPr>
      <w:r>
        <w:t>Fracaso del tratamiento.</w:t>
      </w:r>
    </w:p>
    <w:p w:rsidR="001C0498" w:rsidRPr="00B82C68" w:rsidRDefault="001C0498" w:rsidP="00DD169A">
      <w:pPr>
        <w:pStyle w:val="Prrafodelista"/>
        <w:numPr>
          <w:ilvl w:val="0"/>
          <w:numId w:val="2"/>
        </w:numPr>
        <w:jc w:val="both"/>
      </w:pPr>
      <w:r w:rsidRPr="00B82C68">
        <w:t>Medicación post-intervención: anticoagulación y/o antiagregación.</w:t>
      </w:r>
    </w:p>
    <w:p w:rsidR="001C0498" w:rsidRDefault="001C0498" w:rsidP="00D0631D">
      <w:pPr>
        <w:pStyle w:val="Prrafodelista"/>
        <w:numPr>
          <w:ilvl w:val="0"/>
          <w:numId w:val="2"/>
        </w:numPr>
        <w:spacing w:after="0"/>
        <w:jc w:val="both"/>
      </w:pPr>
      <w:r>
        <w:t>Complicaciones</w:t>
      </w:r>
      <w:r w:rsidR="00844702">
        <w:t>.</w:t>
      </w:r>
    </w:p>
    <w:p w:rsidR="009041DD" w:rsidRDefault="009041DD" w:rsidP="00D0631D">
      <w:pPr>
        <w:pStyle w:val="Ttulo2"/>
        <w:spacing w:before="0" w:line="360" w:lineRule="auto"/>
        <w:jc w:val="both"/>
      </w:pPr>
      <w:bookmarkStart w:id="20" w:name="_Toc516070241"/>
      <w:r>
        <w:t>Análisis estadístico</w:t>
      </w:r>
      <w:bookmarkEnd w:id="20"/>
    </w:p>
    <w:p w:rsidR="009041DD" w:rsidRDefault="009041DD" w:rsidP="00D0631D">
      <w:pPr>
        <w:spacing w:after="0"/>
        <w:jc w:val="both"/>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D0631D">
      <w:pPr>
        <w:pStyle w:val="Ttulo3"/>
        <w:spacing w:before="0"/>
        <w:jc w:val="both"/>
      </w:pPr>
      <w:bookmarkStart w:id="21" w:name="_Toc516070242"/>
      <w:r>
        <w:t>Descriptivo</w:t>
      </w:r>
      <w:bookmarkEnd w:id="21"/>
    </w:p>
    <w:p w:rsidR="00F657AA" w:rsidRDefault="00F657AA" w:rsidP="00DD169A">
      <w:pPr>
        <w:pStyle w:val="Prrafodelista"/>
        <w:numPr>
          <w:ilvl w:val="0"/>
          <w:numId w:val="6"/>
        </w:numPr>
        <w:jc w:val="both"/>
      </w:pPr>
      <w:r>
        <w:t>Variables cuantitativas: tamaño de la muestra, media</w:t>
      </w:r>
      <w:r w:rsidR="00832E4D">
        <w:t>, mediana</w:t>
      </w:r>
      <w:r>
        <w:t xml:space="preserve"> y valores mínimo y máximo.</w:t>
      </w:r>
    </w:p>
    <w:p w:rsidR="00F657AA" w:rsidRDefault="00F657AA" w:rsidP="00D0631D">
      <w:pPr>
        <w:pStyle w:val="Prrafodelista"/>
        <w:numPr>
          <w:ilvl w:val="0"/>
          <w:numId w:val="6"/>
        </w:numPr>
        <w:spacing w:after="0"/>
        <w:jc w:val="both"/>
      </w:pPr>
      <w:r>
        <w:t>V</w:t>
      </w:r>
      <w:r w:rsidRPr="00F657AA">
        <w:t>ariables cua</w:t>
      </w:r>
      <w:r w:rsidR="00C23492">
        <w:t>li</w:t>
      </w:r>
      <w:r w:rsidRPr="00F657AA">
        <w:t>tativas</w:t>
      </w:r>
      <w:r>
        <w:t>: distribución mediante tablas de frecuencias.</w:t>
      </w:r>
    </w:p>
    <w:p w:rsidR="00F657AA" w:rsidRDefault="00F657AA" w:rsidP="00D0631D">
      <w:pPr>
        <w:pStyle w:val="Ttulo3"/>
        <w:spacing w:before="0" w:line="276" w:lineRule="auto"/>
        <w:jc w:val="both"/>
        <w:rPr>
          <w:rFonts w:eastAsia="ArialMT"/>
        </w:rPr>
      </w:pPr>
      <w:bookmarkStart w:id="22" w:name="_Toc516070243"/>
      <w:r>
        <w:rPr>
          <w:rFonts w:eastAsia="ArialMT"/>
        </w:rPr>
        <w:t>Analítico</w:t>
      </w:r>
      <w:bookmarkEnd w:id="22"/>
    </w:p>
    <w:p w:rsidR="00F657AA" w:rsidRPr="00F657AA" w:rsidRDefault="00F657AA" w:rsidP="00D0631D">
      <w:pPr>
        <w:spacing w:before="240"/>
        <w:jc w:val="both"/>
      </w:pPr>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y como medida de asociación entre variables se utilizó la Odds Ratio.</w:t>
      </w:r>
    </w:p>
    <w:p w:rsidR="0054730A" w:rsidRDefault="0054730A" w:rsidP="00D0631D">
      <w:pPr>
        <w:pStyle w:val="Ttulo1"/>
        <w:spacing w:line="360" w:lineRule="auto"/>
        <w:jc w:val="both"/>
      </w:pPr>
      <w:bookmarkStart w:id="23" w:name="_Toc516070244"/>
      <w:r>
        <w:lastRenderedPageBreak/>
        <w:t>Resultados</w:t>
      </w:r>
      <w:bookmarkEnd w:id="23"/>
    </w:p>
    <w:p w:rsidR="00255E6E" w:rsidRDefault="00C609B5" w:rsidP="00D0631D">
      <w:pPr>
        <w:pStyle w:val="Ttulo2"/>
        <w:spacing w:before="0" w:after="0"/>
        <w:jc w:val="both"/>
      </w:pPr>
      <w:bookmarkStart w:id="24" w:name="_Toc516070245"/>
      <w:r>
        <w:t>Descripción</w:t>
      </w:r>
      <w:r w:rsidR="002B219D">
        <w:t xml:space="preserve"> de la muestra</w:t>
      </w:r>
      <w:bookmarkEnd w:id="24"/>
    </w:p>
    <w:p w:rsidR="00B026A8" w:rsidRDefault="007B51B8" w:rsidP="00DD169A">
      <w:pPr>
        <w:jc w:val="both"/>
      </w:pPr>
      <w:r>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t xml:space="preserve"> t</w:t>
      </w:r>
      <w:r w:rsidR="006422B8">
        <w:t xml:space="preserve">omó como punto de corte </w:t>
      </w:r>
      <w:r>
        <w:t xml:space="preserve">60 años, de </w:t>
      </w:r>
      <w:r w:rsidR="005C388F">
        <w:t>modo que respecto a la variable edad</w:t>
      </w:r>
      <w:r>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546632" w:rsidRDefault="007F1100" w:rsidP="00546632">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2779395</wp:posOffset>
                </wp:positionH>
                <wp:positionV relativeFrom="paragraph">
                  <wp:posOffset>1630680</wp:posOffset>
                </wp:positionV>
                <wp:extent cx="2409825" cy="1442085"/>
                <wp:effectExtent l="0" t="0" r="0" b="5715"/>
                <wp:wrapSquare wrapText="bothSides"/>
                <wp:docPr id="3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1442085"/>
                        </a:xfrm>
                        <a:prstGeom prst="rect">
                          <a:avLst/>
                        </a:prstGeom>
                        <a:noFill/>
                        <a:ln>
                          <a:noFill/>
                        </a:ln>
                        <a:effectLst/>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38100" cap="rnd" cmpd="dbl">
                              <a:solidFill>
                                <a:schemeClr val="accent3">
                                  <a:lumMod val="100000"/>
                                  <a:lumOff val="0"/>
                                </a:schemeClr>
                              </a:solidFill>
                              <a:prstDash val="sysDot"/>
                              <a:miter lim="800000"/>
                              <a:headEnd/>
                              <a:tailEnd/>
                            </a14:hiddenLine>
                          </a:ext>
                          <a:ext uri="{AF507438-7753-43E0-B8FC-AC1667EBCBE1}">
                            <a14:hiddenEffects xmlns:a14="http://schemas.microsoft.com/office/drawing/2010/main">
                              <a:effectLst/>
                            </a14:hiddenEffects>
                          </a:ext>
                        </a:extLst>
                      </wps:spPr>
                      <wps:txbx>
                        <w:txbxContent>
                          <w:p w:rsidR="00F57F53" w:rsidRPr="005C388F" w:rsidRDefault="00F57F53" w:rsidP="00546632">
                            <w:pPr>
                              <w:pStyle w:val="Epgrafe"/>
                              <w:rPr>
                                <w:szCs w:val="22"/>
                              </w:rPr>
                            </w:pPr>
                            <w:bookmarkStart w:id="25" w:name="_Toc516069713"/>
                            <w:r>
                              <w:rPr>
                                <w:szCs w:val="22"/>
                              </w:rPr>
                              <w:t>Figura 2</w:t>
                            </w:r>
                            <w:r w:rsidRPr="005C388F">
                              <w:rPr>
                                <w:szCs w:val="22"/>
                              </w:rPr>
                              <w:t>. Proporción de hombres y mujeres en la muestra.</w:t>
                            </w:r>
                            <w:bookmarkEnd w:id="25"/>
                          </w:p>
                          <w:p w:rsidR="00F57F53" w:rsidRPr="005C388F" w:rsidRDefault="00F57F53" w:rsidP="00546632">
                            <w:pPr>
                              <w:pStyle w:val="Epgrafe"/>
                              <w:spacing w:before="240"/>
                              <w:rPr>
                                <w:szCs w:val="22"/>
                              </w:rPr>
                            </w:pPr>
                            <w:bookmarkStart w:id="26" w:name="_Toc516069714"/>
                            <w:r w:rsidRPr="005C388F">
                              <w:rPr>
                                <w:szCs w:val="22"/>
                              </w:rPr>
                              <w:t xml:space="preserve">Figura </w:t>
                            </w:r>
                            <w:r>
                              <w:rPr>
                                <w:szCs w:val="22"/>
                              </w:rPr>
                              <w:t>3</w:t>
                            </w:r>
                            <w:r w:rsidRPr="005C388F">
                              <w:rPr>
                                <w:szCs w:val="22"/>
                              </w:rPr>
                              <w:t>. Proporción de pacientes mayores y menores de 60 años.</w:t>
                            </w:r>
                            <w:bookmarkEnd w:id="26"/>
                          </w:p>
                          <w:p w:rsidR="00F57F53" w:rsidRPr="005C388F" w:rsidRDefault="00F57F53" w:rsidP="00546632">
                            <w:pPr>
                              <w:pStyle w:val="Epgrafe"/>
                              <w:spacing w:before="240"/>
                              <w:rPr>
                                <w:szCs w:val="22"/>
                              </w:rPr>
                            </w:pPr>
                            <w:bookmarkStart w:id="27" w:name="_Toc516069715"/>
                            <w:r>
                              <w:rPr>
                                <w:szCs w:val="22"/>
                              </w:rPr>
                              <w:t>Figura 4</w:t>
                            </w:r>
                            <w:r w:rsidRPr="005C388F">
                              <w:rPr>
                                <w:szCs w:val="22"/>
                              </w:rPr>
                              <w:t>. Proporción de pacientes que presentan algún tipo de comorbilidad.</w:t>
                            </w:r>
                            <w:bookmarkEnd w:id="27"/>
                          </w:p>
                          <w:p w:rsidR="00F57F53" w:rsidRPr="005C388F" w:rsidRDefault="00F57F53" w:rsidP="00546632">
                            <w:pPr>
                              <w:spacing w:after="0" w:line="240" w:lineRule="auto"/>
                              <w:rPr>
                                <w:i/>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7" style="position:absolute;margin-left:218.85pt;margin-top:128.4pt;width:189.75pt;height:1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" filled="f" fillcolor="#726056 [3205]" stroked="f" strokecolor="#ac956e [3206]" strokeweight="3pt">
                <v:stroke dashstyle="1 1" linestyle="thinThin" endcap="round"/>
                <v:textbox>
                  <w:txbxContent>
                    <w:p w:rsidR="00F57F53" w:rsidRPr="005C388F" w:rsidRDefault="00F57F53" w:rsidP="00546632">
                      <w:pPr>
                        <w:pStyle w:val="Epgrafe"/>
                        <w:rPr>
                          <w:szCs w:val="22"/>
                        </w:rPr>
                      </w:pPr>
                      <w:bookmarkStart w:id="28" w:name="_Toc516069713"/>
                      <w:r>
                        <w:rPr>
                          <w:szCs w:val="22"/>
                        </w:rPr>
                        <w:t>Figura 2</w:t>
                      </w:r>
                      <w:r w:rsidRPr="005C388F">
                        <w:rPr>
                          <w:szCs w:val="22"/>
                        </w:rPr>
                        <w:t>. Proporción de hombres y mujeres en la muestra.</w:t>
                      </w:r>
                      <w:bookmarkEnd w:id="28"/>
                    </w:p>
                    <w:p w:rsidR="00F57F53" w:rsidRPr="005C388F" w:rsidRDefault="00F57F53" w:rsidP="00546632">
                      <w:pPr>
                        <w:pStyle w:val="Epgrafe"/>
                        <w:spacing w:before="240"/>
                        <w:rPr>
                          <w:szCs w:val="22"/>
                        </w:rPr>
                      </w:pPr>
                      <w:bookmarkStart w:id="29" w:name="_Toc516069714"/>
                      <w:r w:rsidRPr="005C388F">
                        <w:rPr>
                          <w:szCs w:val="22"/>
                        </w:rPr>
                        <w:t xml:space="preserve">Figura </w:t>
                      </w:r>
                      <w:r>
                        <w:rPr>
                          <w:szCs w:val="22"/>
                        </w:rPr>
                        <w:t>3</w:t>
                      </w:r>
                      <w:r w:rsidRPr="005C388F">
                        <w:rPr>
                          <w:szCs w:val="22"/>
                        </w:rPr>
                        <w:t>. Proporción de pacientes mayores y menores de 60 años.</w:t>
                      </w:r>
                      <w:bookmarkEnd w:id="29"/>
                    </w:p>
                    <w:p w:rsidR="00F57F53" w:rsidRPr="005C388F" w:rsidRDefault="00F57F53" w:rsidP="00546632">
                      <w:pPr>
                        <w:pStyle w:val="Epgrafe"/>
                        <w:spacing w:before="240"/>
                        <w:rPr>
                          <w:szCs w:val="22"/>
                        </w:rPr>
                      </w:pPr>
                      <w:bookmarkStart w:id="30" w:name="_Toc516069715"/>
                      <w:r>
                        <w:rPr>
                          <w:szCs w:val="22"/>
                        </w:rPr>
                        <w:t>Figura 4</w:t>
                      </w:r>
                      <w:r w:rsidRPr="005C388F">
                        <w:rPr>
                          <w:szCs w:val="22"/>
                        </w:rPr>
                        <w:t>. Proporción de pacientes que presentan algún tipo de comorbilidad.</w:t>
                      </w:r>
                      <w:bookmarkEnd w:id="30"/>
                    </w:p>
                    <w:p w:rsidR="00F57F53" w:rsidRPr="005C388F" w:rsidRDefault="00F57F53" w:rsidP="00546632">
                      <w:pPr>
                        <w:spacing w:after="0" w:line="240" w:lineRule="auto"/>
                        <w:rPr>
                          <w:i/>
                          <w:color w:val="FFFFFF" w:themeColor="background1"/>
                        </w:rPr>
                      </w:pPr>
                    </w:p>
                  </w:txbxContent>
                </v:textbox>
                <w10:wrap type="square"/>
              </v:rect>
            </w:pict>
          </mc:Fallback>
        </mc:AlternateContent>
      </w:r>
      <w:r w:rsidR="00546632">
        <w:rPr>
          <w:noProof/>
          <w:lang w:eastAsia="es-ES"/>
        </w:rPr>
        <w:drawing>
          <wp:anchor distT="0" distB="0" distL="114300" distR="114300" simplePos="0" relativeHeight="251617792" behindDoc="0" locked="0" layoutInCell="1" allowOverlap="1" wp14:anchorId="1087BE61" wp14:editId="429F4C3B">
            <wp:simplePos x="0" y="0"/>
            <wp:positionH relativeFrom="column">
              <wp:posOffset>2617470</wp:posOffset>
            </wp:positionH>
            <wp:positionV relativeFrom="paragraph">
              <wp:posOffset>1905</wp:posOffset>
            </wp:positionV>
            <wp:extent cx="2628900" cy="1524000"/>
            <wp:effectExtent l="0" t="0" r="0" b="0"/>
            <wp:wrapSquare wrapText="bothSides"/>
            <wp:docPr id="7" name="Gráfico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546632">
        <w:rPr>
          <w:noProof/>
          <w:lang w:eastAsia="es-ES"/>
        </w:rPr>
        <w:drawing>
          <wp:anchor distT="0" distB="0" distL="114300" distR="114300" simplePos="0" relativeHeight="251618816" behindDoc="0" locked="0" layoutInCell="1" allowOverlap="1">
            <wp:simplePos x="0" y="0"/>
            <wp:positionH relativeFrom="column">
              <wp:posOffset>-1905</wp:posOffset>
            </wp:positionH>
            <wp:positionV relativeFrom="paragraph">
              <wp:posOffset>1905</wp:posOffset>
            </wp:positionV>
            <wp:extent cx="2619375" cy="1533525"/>
            <wp:effectExtent l="0" t="0" r="0" b="0"/>
            <wp:wrapSquare wrapText="bothSides"/>
            <wp:docPr id="4" name="Gráfico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r w:rsidR="00546632">
        <w:rPr>
          <w:noProof/>
          <w:lang w:eastAsia="es-ES"/>
        </w:rPr>
        <w:drawing>
          <wp:inline distT="0" distB="0" distL="0" distR="0" wp14:anchorId="14D75F6B" wp14:editId="25745AB3">
            <wp:extent cx="2622550" cy="1533525"/>
            <wp:effectExtent l="0" t="0" r="25400" b="9525"/>
            <wp:docPr id="2" name="Gráfico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524EDC" w:rsidRDefault="006422B8" w:rsidP="00DD169A">
      <w:pPr>
        <w:jc w:val="both"/>
      </w:pPr>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C23492">
        <w:t>al menos un</w:t>
      </w:r>
      <w:r w:rsidR="005C388F">
        <w:t xml:space="preserve"> episodio </w:t>
      </w:r>
      <w:r w:rsidR="00C23492">
        <w:t xml:space="preserve">anterior </w:t>
      </w:r>
      <w:r w:rsidR="005C388F">
        <w:t>de</w:t>
      </w:r>
      <w:r w:rsidR="001E04F5">
        <w:t xml:space="preserve"> HSA</w:t>
      </w:r>
      <w:r w:rsidR="00D56B90">
        <w:t xml:space="preserve"> (10%) y </w:t>
      </w:r>
      <w:r w:rsidR="005C388F">
        <w:t>un 70% tenía</w:t>
      </w:r>
      <w:r w:rsidR="00D56B90">
        <w:t xml:space="preserve"> algún tipo de comorbilidad.</w:t>
      </w:r>
      <w:r w:rsidR="00524EDC" w:rsidRPr="00524EDC">
        <w:t xml:space="preserve"> </w:t>
      </w:r>
      <w:r w:rsidR="00997B2E">
        <w:t>En el 663.3</w:t>
      </w:r>
      <w:r w:rsidR="00524EDC">
        <w:t>% de los casos se halló un único aneurisma, mientras qu</w:t>
      </w:r>
      <w:r w:rsidR="00997B2E">
        <w:t>e en el 36</w:t>
      </w:r>
      <w:r w:rsidR="00524EDC">
        <w:t>.</w:t>
      </w:r>
      <w:r w:rsidR="00997B2E">
        <w:t>7</w:t>
      </w:r>
      <w:r w:rsidR="00524EDC">
        <w:t xml:space="preserve">% restante coexistían </w:t>
      </w:r>
      <w:r w:rsidR="00D474F8">
        <w:t>más de uno en un mismo paciente. El máximo número de aneurismas</w:t>
      </w:r>
      <w:r w:rsidR="00997B2E">
        <w:t xml:space="preserve"> encontrados</w:t>
      </w:r>
      <w:r w:rsidR="00D474F8">
        <w:t xml:space="preserve"> en un mismo paciente  fue de 5.</w:t>
      </w:r>
    </w:p>
    <w:p w:rsidR="00F066FA" w:rsidRPr="001423BF" w:rsidRDefault="005C388F" w:rsidP="00DD169A">
      <w:pPr>
        <w:spacing w:after="0"/>
        <w:jc w:val="both"/>
        <w:rPr>
          <w:b/>
          <w:i/>
          <w:color w:val="FFFFFF" w:themeColor="background1"/>
        </w:rPr>
      </w:pPr>
      <w:r>
        <w:t>El 17.9% de los pacientes</w:t>
      </w:r>
      <w:r w:rsidR="00410063">
        <w:t xml:space="preserve"> consumió alcohol de manera regular y</w:t>
      </w:r>
      <w:r>
        <w:t xml:space="preserve"> para</w:t>
      </w:r>
      <w:r w:rsidR="00410063">
        <w:t xml:space="preserve"> el 70% </w:t>
      </w:r>
      <w:r>
        <w:t>se recogía en la historia hábito tabáquico</w:t>
      </w:r>
      <w:r w:rsidR="00410063">
        <w:t>.</w:t>
      </w:r>
      <w:r w:rsidR="00576522" w:rsidRPr="00576522">
        <w:t xml:space="preserve"> </w:t>
      </w:r>
      <w:r>
        <w:t xml:space="preserve">El70% presentaba </w:t>
      </w:r>
      <w:r w:rsidR="00576522">
        <w:t>algún tipo de clínica neurol</w:t>
      </w:r>
      <w:r w:rsidR="00D266FC">
        <w:t xml:space="preserve">ógica, la cual les </w:t>
      </w:r>
      <w:r w:rsidR="00D266FC">
        <w:lastRenderedPageBreak/>
        <w:t>condujo a realizar las pruebas</w:t>
      </w:r>
      <w:r w:rsidR="001A776F">
        <w:t xml:space="preserve"> de imagen</w:t>
      </w:r>
      <w:r w:rsidR="00D266FC">
        <w:t xml:space="preserve"> que descubri</w:t>
      </w:r>
      <w:r w:rsidR="00977FEA">
        <w:t>eron la presencia del aneurisma</w:t>
      </w:r>
      <w:r>
        <w:t>. Las</w:t>
      </w:r>
      <w:r w:rsidR="00066356">
        <w:t xml:space="preserve"> </w:t>
      </w:r>
      <w:r w:rsidR="00B5074C">
        <w:t>circunstancias</w:t>
      </w:r>
      <w:r w:rsidR="00066356">
        <w:t xml:space="preserve"> que motivaro</w:t>
      </w:r>
      <w:r w:rsidR="00B5074C">
        <w:t>n el diagnóstico</w:t>
      </w:r>
      <w:r>
        <w:t xml:space="preserve"> del aneurisma fueron:</w:t>
      </w:r>
    </w:p>
    <w:p w:rsidR="00F066FA" w:rsidRDefault="00F066FA" w:rsidP="00C90382">
      <w:pPr>
        <w:pStyle w:val="Prrafodelista"/>
        <w:numPr>
          <w:ilvl w:val="0"/>
          <w:numId w:val="1"/>
        </w:numPr>
        <w:jc w:val="both"/>
      </w:pPr>
      <w:r>
        <w:t>Vértigo</w:t>
      </w:r>
      <w:r w:rsidR="00977FEA">
        <w:t xml:space="preserve"> en 2 pacientes. Uno de ellos con antecedentes de colesteatoma. </w:t>
      </w:r>
    </w:p>
    <w:p w:rsidR="00F066FA" w:rsidRDefault="00066356" w:rsidP="00DD169A">
      <w:pPr>
        <w:pStyle w:val="Prrafodelista"/>
        <w:numPr>
          <w:ilvl w:val="0"/>
          <w:numId w:val="1"/>
        </w:numPr>
        <w:jc w:val="both"/>
      </w:pPr>
      <w:r>
        <w:t>Deterioro cognitivo</w:t>
      </w:r>
      <w:r w:rsidR="00977FEA">
        <w:t xml:space="preserve"> en relación a Alzheimer</w:t>
      </w:r>
      <w:r>
        <w:t xml:space="preserve"> en un paciente</w:t>
      </w:r>
      <w:r w:rsidR="00977FEA">
        <w:t>.</w:t>
      </w:r>
    </w:p>
    <w:p w:rsidR="00F066FA" w:rsidRDefault="00F066FA" w:rsidP="00DD169A">
      <w:pPr>
        <w:pStyle w:val="Prrafodelista"/>
        <w:numPr>
          <w:ilvl w:val="0"/>
          <w:numId w:val="1"/>
        </w:numPr>
        <w:jc w:val="both"/>
      </w:pPr>
      <w:r>
        <w:t>Antecedentes familiares</w:t>
      </w:r>
      <w:r w:rsidR="00157CEE">
        <w:t xml:space="preserve"> en 2 </w:t>
      </w:r>
      <w:r w:rsidR="00A230C9">
        <w:t xml:space="preserve"> de los 30 </w:t>
      </w:r>
      <w:r w:rsidR="00157CEE">
        <w:t xml:space="preserve">casos. </w:t>
      </w:r>
    </w:p>
    <w:p w:rsidR="00F066FA" w:rsidRDefault="00F066FA" w:rsidP="00DD169A">
      <w:pPr>
        <w:pStyle w:val="Prrafodelista"/>
        <w:numPr>
          <w:ilvl w:val="0"/>
          <w:numId w:val="1"/>
        </w:numPr>
        <w:jc w:val="both"/>
      </w:pPr>
      <w:r>
        <w:t>Amnesia</w:t>
      </w:r>
      <w:r w:rsidR="00157CEE">
        <w:t xml:space="preserve"> 3 pacientes. </w:t>
      </w:r>
    </w:p>
    <w:p w:rsidR="00F023D6" w:rsidRDefault="00F023D6" w:rsidP="00DD169A">
      <w:pPr>
        <w:pStyle w:val="Prrafodelista"/>
        <w:numPr>
          <w:ilvl w:val="0"/>
          <w:numId w:val="1"/>
        </w:numPr>
        <w:jc w:val="both"/>
      </w:pPr>
      <w:r>
        <w:t xml:space="preserve">Enfermedad ateroesclerótica en carótida interna en </w:t>
      </w:r>
      <w:r w:rsidR="00A230C9">
        <w:t xml:space="preserve">un </w:t>
      </w:r>
      <w:r>
        <w:t>paciente con cardiopatía isquémica conocida.</w:t>
      </w:r>
    </w:p>
    <w:p w:rsidR="00F066FA" w:rsidRDefault="00F066FA" w:rsidP="00DD169A">
      <w:pPr>
        <w:pStyle w:val="Prrafodelista"/>
        <w:numPr>
          <w:ilvl w:val="0"/>
          <w:numId w:val="1"/>
        </w:numPr>
        <w:jc w:val="both"/>
      </w:pPr>
      <w:r>
        <w:t>Migraña</w:t>
      </w:r>
      <w:r w:rsidR="00F023D6">
        <w:t xml:space="preserve"> en 4 casos. </w:t>
      </w:r>
    </w:p>
    <w:p w:rsidR="00F066FA" w:rsidRDefault="00F066FA" w:rsidP="00DD169A">
      <w:pPr>
        <w:pStyle w:val="Prrafodelista"/>
        <w:numPr>
          <w:ilvl w:val="0"/>
          <w:numId w:val="1"/>
        </w:numPr>
        <w:jc w:val="both"/>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retroocular </w:t>
      </w:r>
      <w:r w:rsidR="00066356">
        <w:t>acompañada</w:t>
      </w:r>
      <w:r w:rsidR="00F023D6">
        <w:t xml:space="preserve"> de </w:t>
      </w:r>
      <w:r w:rsidR="007B2268">
        <w:t>ptosis palpebral y alteraciones visuales (una paciente refería pérdida de agudeza visual y la otra diplopía).</w:t>
      </w:r>
    </w:p>
    <w:p w:rsidR="00F066FA" w:rsidRDefault="00F066FA" w:rsidP="00DD169A">
      <w:pPr>
        <w:pStyle w:val="Prrafodelista"/>
        <w:numPr>
          <w:ilvl w:val="0"/>
          <w:numId w:val="1"/>
        </w:numPr>
        <w:jc w:val="both"/>
      </w:pPr>
      <w:r>
        <w:t>ICTUS</w:t>
      </w:r>
      <w:r w:rsidR="007B2268">
        <w:t xml:space="preserve"> en un total de 4 pacientes. En uno de ellos fue hemorrágico (HSA)</w:t>
      </w:r>
      <w:r w:rsidR="00C23492">
        <w:t xml:space="preserve"> </w:t>
      </w:r>
      <w:r w:rsidR="00A230C9">
        <w:t>-sin relación con el aneurisma encontrado-</w:t>
      </w:r>
      <w:r w:rsidR="007B2268">
        <w:t xml:space="preserve"> y en el resto de tipo isquémico.</w:t>
      </w:r>
    </w:p>
    <w:p w:rsidR="00A230C9" w:rsidRDefault="00864DD1" w:rsidP="00DD169A">
      <w:pPr>
        <w:pStyle w:val="Prrafodelista"/>
        <w:numPr>
          <w:ilvl w:val="0"/>
          <w:numId w:val="1"/>
        </w:numPr>
        <w:spacing w:after="0"/>
        <w:jc w:val="both"/>
      </w:pPr>
      <w:r>
        <w:rPr>
          <w:noProof/>
          <w:lang w:eastAsia="es-ES"/>
        </w:rPr>
        <w:drawing>
          <wp:anchor distT="0" distB="0" distL="114300" distR="114300" simplePos="0" relativeHeight="251620864" behindDoc="0" locked="0" layoutInCell="1" allowOverlap="1" wp14:anchorId="7E2CB6F5" wp14:editId="1473D8A8">
            <wp:simplePos x="0" y="0"/>
            <wp:positionH relativeFrom="column">
              <wp:posOffset>2699385</wp:posOffset>
            </wp:positionH>
            <wp:positionV relativeFrom="paragraph">
              <wp:posOffset>548005</wp:posOffset>
            </wp:positionV>
            <wp:extent cx="2695575" cy="1581150"/>
            <wp:effectExtent l="0" t="0" r="0" b="0"/>
            <wp:wrapSquare wrapText="bothSides"/>
            <wp:docPr id="9" name="Gráfico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977FEA">
        <w:t>Síncope</w:t>
      </w:r>
      <w:r w:rsidR="007B2268">
        <w:t xml:space="preserve"> en 2 pacientes. </w:t>
      </w:r>
    </w:p>
    <w:p w:rsidR="00864DD1" w:rsidRDefault="007F1100" w:rsidP="00864DD1">
      <w:pPr>
        <w:tabs>
          <w:tab w:val="left" w:pos="5625"/>
        </w:tabs>
        <w:spacing w:after="0"/>
        <w:jc w:val="both"/>
        <w:rPr>
          <w:noProof/>
          <w:lang w:eastAsia="es-ES"/>
        </w:rPr>
      </w:pP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2870835</wp:posOffset>
                </wp:positionH>
                <wp:positionV relativeFrom="paragraph">
                  <wp:posOffset>1902460</wp:posOffset>
                </wp:positionV>
                <wp:extent cx="2676525" cy="466725"/>
                <wp:effectExtent l="0" t="0" r="3810" b="0"/>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Default="00F57F53" w:rsidP="00AE0ECE">
                            <w:pPr>
                              <w:pStyle w:val="Epgrafe"/>
                            </w:pPr>
                            <w:bookmarkStart w:id="31" w:name="_Toc516069716"/>
                            <w:r>
                              <w:t>Figura 6. Proporción de consumo de</w:t>
                            </w:r>
                            <w:bookmarkEnd w:id="31"/>
                            <w:r>
                              <w:t xml:space="preserve"> </w:t>
                            </w:r>
                          </w:p>
                          <w:p w:rsidR="00F57F53" w:rsidRPr="00AE0ECE" w:rsidRDefault="00F57F53" w:rsidP="00AE0ECE">
                            <w:pPr>
                              <w:pStyle w:val="Epgrafe"/>
                            </w:pPr>
                            <w:bookmarkStart w:id="32" w:name="_Toc516069717"/>
                            <w:r>
                              <w:t>alcohol en la muestra</w:t>
                            </w:r>
                            <w:bookmarkEnd w:id="3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226.05pt;margin-top:149.8pt;width:210.7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" filled="f" stroked="f">
                <v:textbox>
                  <w:txbxContent>
                    <w:p w:rsidR="00F57F53" w:rsidRDefault="00F57F53" w:rsidP="00AE0ECE">
                      <w:pPr>
                        <w:pStyle w:val="Epgrafe"/>
                      </w:pPr>
                      <w:bookmarkStart w:id="33" w:name="_Toc516069716"/>
                      <w:r>
                        <w:t>Figura 6. Proporción de consumo de</w:t>
                      </w:r>
                      <w:bookmarkEnd w:id="33"/>
                      <w:r>
                        <w:t xml:space="preserve"> </w:t>
                      </w:r>
                    </w:p>
                    <w:p w:rsidR="00F57F53" w:rsidRPr="00AE0ECE" w:rsidRDefault="00F57F53" w:rsidP="00AE0ECE">
                      <w:pPr>
                        <w:pStyle w:val="Epgrafe"/>
                      </w:pPr>
                      <w:bookmarkStart w:id="34" w:name="_Toc516069717"/>
                      <w:r>
                        <w:t>alcohol en la muestra</w:t>
                      </w:r>
                      <w:bookmarkEnd w:id="34"/>
                    </w:p>
                  </w:txbxContent>
                </v:textbox>
              </v:shape>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3810</wp:posOffset>
                </wp:positionH>
                <wp:positionV relativeFrom="paragraph">
                  <wp:posOffset>1892935</wp:posOffset>
                </wp:positionV>
                <wp:extent cx="2676525" cy="466725"/>
                <wp:effectExtent l="0" t="0" r="3810" b="0"/>
                <wp:wrapNone/>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Default="00F57F53" w:rsidP="00864DD1">
                            <w:pPr>
                              <w:pStyle w:val="Epgrafe"/>
                              <w:spacing w:line="276" w:lineRule="auto"/>
                            </w:pPr>
                            <w:bookmarkStart w:id="35" w:name="_Toc516069718"/>
                            <w:r>
                              <w:t>Figura 5. Proporción de pacientes cuya clínica neurológico condujo al diagnostico</w:t>
                            </w:r>
                            <w:bookmarkEnd w:id="3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3pt;margin-top:149.05pt;width:210.7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ultwIAAMI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" filled="f" stroked="f">
                <v:textbox>
                  <w:txbxContent>
                    <w:p w:rsidR="00F57F53" w:rsidRDefault="00F57F53" w:rsidP="00864DD1">
                      <w:pPr>
                        <w:pStyle w:val="Epgrafe"/>
                        <w:spacing w:line="276" w:lineRule="auto"/>
                      </w:pPr>
                      <w:bookmarkStart w:id="36" w:name="_Toc516069718"/>
                      <w:r>
                        <w:t>Figura 5. Proporción de pacientes cuya clínica neurológico condujo al diagnostico</w:t>
                      </w:r>
                      <w:bookmarkEnd w:id="36"/>
                    </w:p>
                  </w:txbxContent>
                </v:textbox>
              </v:shape>
            </w:pict>
          </mc:Fallback>
        </mc:AlternateContent>
      </w:r>
      <w:r w:rsidR="00864DD1">
        <w:rPr>
          <w:noProof/>
          <w:lang w:eastAsia="es-ES"/>
        </w:rPr>
        <w:drawing>
          <wp:anchor distT="0" distB="0" distL="114300" distR="114300" simplePos="0" relativeHeight="251619840" behindDoc="0" locked="0" layoutInCell="1" allowOverlap="1" wp14:anchorId="23205D8A" wp14:editId="2BB12B5C">
            <wp:simplePos x="0" y="0"/>
            <wp:positionH relativeFrom="column">
              <wp:posOffset>3810</wp:posOffset>
            </wp:positionH>
            <wp:positionV relativeFrom="paragraph">
              <wp:posOffset>207010</wp:posOffset>
            </wp:positionV>
            <wp:extent cx="2696210" cy="1576705"/>
            <wp:effectExtent l="0" t="0" r="8890" b="4445"/>
            <wp:wrapSquare wrapText="bothSides"/>
            <wp:docPr id="8" name="Gráfico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sidR="00864DD1" w:rsidRPr="00864DD1">
        <w:rPr>
          <w:noProof/>
          <w:lang w:eastAsia="es-ES"/>
        </w:rPr>
        <w:t xml:space="preserve"> </w:t>
      </w:r>
      <w:r w:rsidR="00864DD1">
        <w:rPr>
          <w:noProof/>
          <w:lang w:eastAsia="es-ES"/>
        </w:rPr>
        <w:tab/>
      </w:r>
    </w:p>
    <w:p w:rsidR="00AE0ECE" w:rsidRDefault="00AE0ECE" w:rsidP="00DD169A">
      <w:pPr>
        <w:spacing w:after="0" w:line="240" w:lineRule="auto"/>
        <w:jc w:val="both"/>
        <w:rPr>
          <w:color w:val="E20087"/>
        </w:rPr>
      </w:pPr>
    </w:p>
    <w:p w:rsidR="00864DD1" w:rsidRPr="00017696" w:rsidRDefault="00864DD1" w:rsidP="00DD169A">
      <w:pPr>
        <w:spacing w:after="0" w:line="240" w:lineRule="auto"/>
        <w:jc w:val="both"/>
        <w:rPr>
          <w:color w:val="E20087"/>
        </w:rPr>
      </w:pPr>
    </w:p>
    <w:p w:rsidR="00AE0ECE" w:rsidRDefault="00AE0ECE" w:rsidP="00DD169A">
      <w:pPr>
        <w:jc w:val="both"/>
      </w:pPr>
      <w:r>
        <w:t>Respecto</w:t>
      </w:r>
      <w:r w:rsidR="00410063">
        <w:t xml:space="preserve">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La mitad eran mayores de 5mm y la otra mitad eran iguales o menores.</w:t>
      </w:r>
    </w:p>
    <w:p w:rsidR="00AE0ECE" w:rsidRDefault="007F1100" w:rsidP="00DD169A">
      <w:pPr>
        <w:jc w:val="both"/>
      </w:pPr>
      <w:r>
        <w:rPr>
          <w:noProof/>
          <w:lang w:eastAsia="es-ES"/>
        </w:rPr>
        <w:lastRenderedPageBreak/>
        <mc:AlternateContent>
          <mc:Choice Requires="wps">
            <w:drawing>
              <wp:anchor distT="0" distB="0" distL="114300" distR="114300" simplePos="0" relativeHeight="251670528" behindDoc="0" locked="0" layoutInCell="1" allowOverlap="1">
                <wp:simplePos x="0" y="0"/>
                <wp:positionH relativeFrom="column">
                  <wp:posOffset>3960495</wp:posOffset>
                </wp:positionH>
                <wp:positionV relativeFrom="paragraph">
                  <wp:posOffset>2198370</wp:posOffset>
                </wp:positionV>
                <wp:extent cx="1809750" cy="2095500"/>
                <wp:effectExtent l="3810" t="0" r="0" b="0"/>
                <wp:wrapSquare wrapText="bothSides"/>
                <wp:docPr id="3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F57F53" w:rsidRDefault="00F57F53" w:rsidP="003B0E19">
                            <w:pPr>
                              <w:pStyle w:val="Epgrafe"/>
                              <w:spacing w:line="360" w:lineRule="auto"/>
                            </w:pPr>
                            <w:bookmarkStart w:id="37" w:name="_Toc516069719"/>
                            <w:r>
                              <w:t>Figura 7. Distribución del tamaño aneurismático</w:t>
                            </w:r>
                            <w:bookmarkEnd w:id="37"/>
                          </w:p>
                          <w:p w:rsidR="00F57F53" w:rsidRDefault="00F57F53" w:rsidP="003B0E19">
                            <w:pPr>
                              <w:pStyle w:val="Epgrafe"/>
                              <w:spacing w:line="360" w:lineRule="auto"/>
                            </w:pPr>
                          </w:p>
                          <w:p w:rsidR="00F57F53" w:rsidRDefault="00F57F53" w:rsidP="003B0E19">
                            <w:pPr>
                              <w:pStyle w:val="Epgrafe"/>
                              <w:spacing w:line="360" w:lineRule="auto"/>
                            </w:pPr>
                            <w:bookmarkStart w:id="38" w:name="_Toc516069720"/>
                            <w:r>
                              <w:t>Figura 8. Porcentajes de oclusión de los aneurismas</w:t>
                            </w:r>
                            <w:bookmarkEnd w:id="38"/>
                          </w:p>
                          <w:p w:rsidR="00F57F53" w:rsidRDefault="00F57F53" w:rsidP="003B0E19">
                            <w:pPr>
                              <w:pStyle w:val="Epgrafe"/>
                              <w:spacing w:line="360" w:lineRule="auto"/>
                            </w:pPr>
                          </w:p>
                          <w:p w:rsidR="00F57F53" w:rsidRDefault="00F57F53" w:rsidP="003B0E19">
                            <w:pPr>
                              <w:pStyle w:val="Epgrafe"/>
                              <w:spacing w:line="360" w:lineRule="auto"/>
                            </w:pPr>
                            <w:bookmarkStart w:id="39" w:name="_Toc516069721"/>
                            <w:r>
                              <w:t>Figura 9. Localizaciones de los aneurismas</w:t>
                            </w:r>
                            <w:bookmarkEnd w:id="39"/>
                          </w:p>
                          <w:p w:rsidR="00F57F53" w:rsidRPr="003B0E19" w:rsidRDefault="00F57F53" w:rsidP="003B0E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left:0;text-align:left;margin-left:311.85pt;margin-top:173.1pt;width:142.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" filled="f" stroked="f">
                <v:textbox>
                  <w:txbxContent>
                    <w:p w:rsidR="00F57F53" w:rsidRDefault="00F57F53" w:rsidP="003B0E19">
                      <w:pPr>
                        <w:pStyle w:val="Epgrafe"/>
                        <w:spacing w:line="360" w:lineRule="auto"/>
                      </w:pPr>
                      <w:bookmarkStart w:id="40" w:name="_Toc516069719"/>
                      <w:r>
                        <w:t>Figura 7. Distribución del tamaño aneurismático</w:t>
                      </w:r>
                      <w:bookmarkEnd w:id="40"/>
                    </w:p>
                    <w:p w:rsidR="00F57F53" w:rsidRDefault="00F57F53" w:rsidP="003B0E19">
                      <w:pPr>
                        <w:pStyle w:val="Epgrafe"/>
                        <w:spacing w:line="360" w:lineRule="auto"/>
                      </w:pPr>
                    </w:p>
                    <w:p w:rsidR="00F57F53" w:rsidRDefault="00F57F53" w:rsidP="003B0E19">
                      <w:pPr>
                        <w:pStyle w:val="Epgrafe"/>
                        <w:spacing w:line="360" w:lineRule="auto"/>
                      </w:pPr>
                      <w:bookmarkStart w:id="41" w:name="_Toc516069720"/>
                      <w:r>
                        <w:t>Figura 8. Porcentajes de oclusión de los aneurismas</w:t>
                      </w:r>
                      <w:bookmarkEnd w:id="41"/>
                    </w:p>
                    <w:p w:rsidR="00F57F53" w:rsidRDefault="00F57F53" w:rsidP="003B0E19">
                      <w:pPr>
                        <w:pStyle w:val="Epgrafe"/>
                        <w:spacing w:line="360" w:lineRule="auto"/>
                      </w:pPr>
                    </w:p>
                    <w:p w:rsidR="00F57F53" w:rsidRDefault="00F57F53" w:rsidP="003B0E19">
                      <w:pPr>
                        <w:pStyle w:val="Epgrafe"/>
                        <w:spacing w:line="360" w:lineRule="auto"/>
                      </w:pPr>
                      <w:bookmarkStart w:id="42" w:name="_Toc516069721"/>
                      <w:r>
                        <w:t>Figura 9. Localizaciones de los aneurismas</w:t>
                      </w:r>
                      <w:bookmarkEnd w:id="42"/>
                    </w:p>
                    <w:p w:rsidR="00F57F53" w:rsidRPr="003B0E19" w:rsidRDefault="00F57F53" w:rsidP="003B0E19"/>
                  </w:txbxContent>
                </v:textbox>
                <w10:wrap type="square"/>
              </v:rect>
            </w:pict>
          </mc:Fallback>
        </mc:AlternateContent>
      </w:r>
      <w:r w:rsidR="00EF1AEC">
        <w:rPr>
          <w:noProof/>
          <w:lang w:eastAsia="es-ES"/>
        </w:rPr>
        <w:drawing>
          <wp:anchor distT="0" distB="0" distL="114300" distR="114300" simplePos="0" relativeHeight="251621888" behindDoc="0" locked="0" layoutInCell="1" allowOverlap="1" wp14:anchorId="07671B36" wp14:editId="198BACFA">
            <wp:simplePos x="0" y="0"/>
            <wp:positionH relativeFrom="column">
              <wp:posOffset>3284220</wp:posOffset>
            </wp:positionH>
            <wp:positionV relativeFrom="paragraph">
              <wp:posOffset>36195</wp:posOffset>
            </wp:positionV>
            <wp:extent cx="2489200" cy="2009775"/>
            <wp:effectExtent l="0" t="0" r="6350" b="0"/>
            <wp:wrapSquare wrapText="bothSides"/>
            <wp:docPr id="23" name="Gráfico 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F1AEC">
        <w:rPr>
          <w:noProof/>
          <w:lang w:eastAsia="es-ES"/>
        </w:rPr>
        <w:drawing>
          <wp:anchor distT="0" distB="0" distL="114300" distR="114300" simplePos="0" relativeHeight="251623936" behindDoc="0" locked="0" layoutInCell="1" allowOverlap="1" wp14:anchorId="1E77BBCE" wp14:editId="726C7E29">
            <wp:simplePos x="0" y="0"/>
            <wp:positionH relativeFrom="column">
              <wp:posOffset>-163830</wp:posOffset>
            </wp:positionH>
            <wp:positionV relativeFrom="paragraph">
              <wp:posOffset>2045970</wp:posOffset>
            </wp:positionV>
            <wp:extent cx="4096385" cy="2393950"/>
            <wp:effectExtent l="0" t="0" r="0" b="6350"/>
            <wp:wrapSquare wrapText="bothSides"/>
            <wp:docPr id="22" name="Gráfico 2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AE0ECE">
        <w:rPr>
          <w:noProof/>
          <w:lang w:eastAsia="es-ES"/>
        </w:rPr>
        <w:drawing>
          <wp:anchor distT="0" distB="0" distL="114300" distR="114300" simplePos="0" relativeHeight="251622912" behindDoc="0" locked="0" layoutInCell="1" allowOverlap="1" wp14:anchorId="421AA21F" wp14:editId="12CA5E59">
            <wp:simplePos x="0" y="0"/>
            <wp:positionH relativeFrom="column">
              <wp:posOffset>-160020</wp:posOffset>
            </wp:positionH>
            <wp:positionV relativeFrom="paragraph">
              <wp:posOffset>33020</wp:posOffset>
            </wp:positionV>
            <wp:extent cx="3451860" cy="2008505"/>
            <wp:effectExtent l="0" t="0" r="0" b="0"/>
            <wp:wrapSquare wrapText="bothSides"/>
            <wp:docPr id="16" name="Gráfico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r w:rsidR="007E5172">
        <w:t xml:space="preserve"> </w:t>
      </w:r>
    </w:p>
    <w:p w:rsidR="006B6F18" w:rsidRDefault="00F80935" w:rsidP="00DD169A">
      <w:pPr>
        <w:jc w:val="both"/>
      </w:pPr>
      <w:r>
        <w:t>E</w:t>
      </w:r>
      <w:r w:rsidR="00A230C9">
        <w:t>n e</w:t>
      </w:r>
      <w:r>
        <w:t>l 86.</w:t>
      </w:r>
      <w:r w:rsidR="00214852">
        <w:t>6</w:t>
      </w:r>
      <w:r w:rsidR="007E5172">
        <w:t xml:space="preserve">% </w:t>
      </w:r>
      <w:r w:rsidR="00A230C9">
        <w:t xml:space="preserve">de los casos el aneurisma </w:t>
      </w:r>
      <w:r w:rsidR="007E5172">
        <w:t>estaba situado en la circulación anterior,</w:t>
      </w:r>
      <w:r w:rsidR="00D474F8">
        <w:t xml:space="preserve"> dependiendo de la ACI el 43.3%</w:t>
      </w:r>
      <w:r w:rsidR="00B35544">
        <w:t>.</w:t>
      </w:r>
      <w:r w:rsidR="000325ED">
        <w:t xml:space="preserve"> En los 24  casos en los cuales se recogió la morfología del aneurisma 21 eran saculares (87.5%) y 3 eran irregulares con lobulaciones (12.5%).</w:t>
      </w:r>
    </w:p>
    <w:p w:rsidR="000325ED" w:rsidRDefault="00576522" w:rsidP="00D0631D">
      <w:pPr>
        <w:spacing w:after="0"/>
        <w:jc w:val="both"/>
      </w:pPr>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stent empleando la técnica de remodeling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D0631D">
      <w:pPr>
        <w:pStyle w:val="Ttulo2"/>
        <w:spacing w:before="0"/>
        <w:jc w:val="both"/>
      </w:pPr>
      <w:bookmarkStart w:id="43" w:name="_Toc516070246"/>
      <w:r>
        <w:t>Descripción</w:t>
      </w:r>
      <w:r w:rsidR="00F336CE">
        <w:t xml:space="preserve"> de las complicaciones</w:t>
      </w:r>
      <w:bookmarkEnd w:id="43"/>
    </w:p>
    <w:p w:rsidR="00B70062" w:rsidRDefault="00B70062" w:rsidP="00DD169A">
      <w:pPr>
        <w:jc w:val="both"/>
      </w:pPr>
      <w:r>
        <w:t>Hubo complicaciones en un 40% de los casos, todas</w:t>
      </w:r>
      <w:r w:rsidR="008428FC">
        <w:t xml:space="preserve"> ellas autolimitadas</w:t>
      </w:r>
      <w:r w:rsidR="00C0490A">
        <w:t xml:space="preserve"> y</w:t>
      </w:r>
      <w:r w:rsidR="00FA0CEB">
        <w:t xml:space="preserve"> sin  secuelas</w:t>
      </w:r>
      <w:r w:rsidR="008428FC">
        <w:t xml:space="preserve">. Las complicaciones que se encontraron </w:t>
      </w:r>
      <w:r w:rsidR="00C0490A">
        <w:t>fueron las siguientes</w:t>
      </w:r>
      <w:r>
        <w:t>:</w:t>
      </w:r>
    </w:p>
    <w:p w:rsidR="00B70062" w:rsidRDefault="00B70062" w:rsidP="00C90382">
      <w:pPr>
        <w:pStyle w:val="Prrafodelista"/>
        <w:numPr>
          <w:ilvl w:val="0"/>
          <w:numId w:val="1"/>
        </w:numPr>
        <w:jc w:val="both"/>
      </w:pPr>
      <w:r>
        <w:lastRenderedPageBreak/>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B70062" w:rsidRDefault="00B70062" w:rsidP="00DD169A">
      <w:pPr>
        <w:pStyle w:val="Prrafodelista"/>
        <w:numPr>
          <w:ilvl w:val="0"/>
          <w:numId w:val="1"/>
        </w:numPr>
        <w:jc w:val="both"/>
      </w:pPr>
      <w:r>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DD169A">
      <w:pPr>
        <w:pStyle w:val="Prrafodelista"/>
        <w:numPr>
          <w:ilvl w:val="0"/>
          <w:numId w:val="1"/>
        </w:numPr>
        <w:jc w:val="both"/>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DD169A">
      <w:pPr>
        <w:pStyle w:val="Prrafodelista"/>
        <w:numPr>
          <w:ilvl w:val="0"/>
          <w:numId w:val="1"/>
        </w:numPr>
        <w:jc w:val="both"/>
      </w:pPr>
      <w:r>
        <w:t>Parestesias faciales que cedieron con tratamiento.</w:t>
      </w:r>
    </w:p>
    <w:p w:rsidR="00F63640" w:rsidRDefault="00B70062" w:rsidP="00DD169A">
      <w:pPr>
        <w:pStyle w:val="Prrafodelista"/>
        <w:numPr>
          <w:ilvl w:val="0"/>
          <w:numId w:val="1"/>
        </w:numPr>
        <w:jc w:val="both"/>
      </w:pPr>
      <w:r>
        <w:t xml:space="preserve">Hematoma en la zona de </w:t>
      </w:r>
      <w:r w:rsidR="00F63640">
        <w:t>punción en 3 pacientes.</w:t>
      </w:r>
    </w:p>
    <w:p w:rsidR="00B70062" w:rsidRDefault="00B70062" w:rsidP="00DD169A">
      <w:pPr>
        <w:pStyle w:val="Prrafodelista"/>
        <w:numPr>
          <w:ilvl w:val="0"/>
          <w:numId w:val="1"/>
        </w:numPr>
        <w:jc w:val="both"/>
      </w:pPr>
      <w:r>
        <w:t>Cefalea</w:t>
      </w:r>
      <w:r w:rsidR="00F63640">
        <w:t xml:space="preserve"> retroocular en 2 casos</w:t>
      </w:r>
      <w:r w:rsidR="004A4BEC">
        <w:t>.</w:t>
      </w:r>
    </w:p>
    <w:p w:rsidR="00B70062" w:rsidRDefault="003B0E19" w:rsidP="00DD169A">
      <w:pPr>
        <w:pStyle w:val="Prrafodelista"/>
        <w:numPr>
          <w:ilvl w:val="0"/>
          <w:numId w:val="1"/>
        </w:numPr>
        <w:jc w:val="both"/>
      </w:pPr>
      <w:r>
        <w:rPr>
          <w:noProof/>
          <w:lang w:eastAsia="es-ES"/>
        </w:rPr>
        <w:drawing>
          <wp:anchor distT="0" distB="0" distL="114300" distR="114300" simplePos="0" relativeHeight="251628032" behindDoc="0" locked="0" layoutInCell="1" allowOverlap="1" wp14:anchorId="02B6267B" wp14:editId="20EEEE70">
            <wp:simplePos x="0" y="0"/>
            <wp:positionH relativeFrom="column">
              <wp:posOffset>1432560</wp:posOffset>
            </wp:positionH>
            <wp:positionV relativeFrom="paragraph">
              <wp:posOffset>1203325</wp:posOffset>
            </wp:positionV>
            <wp:extent cx="2760980" cy="1846580"/>
            <wp:effectExtent l="0" t="0" r="1270" b="1270"/>
            <wp:wrapTopAndBottom/>
            <wp:docPr id="24" name="Gráfico 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r w:rsidR="00B70062">
        <w:t>Descompensación glucémica</w:t>
      </w:r>
      <w:r w:rsidR="00F63640">
        <w:t xml:space="preserve"> durante el ingreso para la revisión angiográfica en paciente con DM conocida</w:t>
      </w:r>
      <w:r w:rsidR="004A4BEC">
        <w:t>.</w:t>
      </w:r>
    </w:p>
    <w:p w:rsidR="003B0E19" w:rsidRDefault="00B70062" w:rsidP="003B0E19">
      <w:pPr>
        <w:pStyle w:val="Prrafodelista"/>
        <w:numPr>
          <w:ilvl w:val="0"/>
          <w:numId w:val="1"/>
        </w:numPr>
        <w:spacing w:after="0"/>
        <w:jc w:val="both"/>
      </w:pPr>
      <w:r>
        <w:t>Reacción adversa a HPBM</w:t>
      </w:r>
      <w:r w:rsidR="00C609B5">
        <w:t xml:space="preserve"> durante el postoperatorio.</w:t>
      </w:r>
      <w:r w:rsidR="003B0E19" w:rsidRPr="003B0E19">
        <w:rPr>
          <w:noProof/>
          <w:lang w:eastAsia="es-ES"/>
        </w:rPr>
        <w:t xml:space="preserve"> </w:t>
      </w:r>
    </w:p>
    <w:p w:rsidR="003B0E19" w:rsidRDefault="007F1100" w:rsidP="003B0E19">
      <w:pPr>
        <w:spacing w:after="0"/>
        <w:ind w:left="360"/>
      </w:pPr>
      <w:r>
        <w:rPr>
          <w:noProof/>
          <w:lang w:eastAsia="es-ES"/>
        </w:rPr>
        <mc:AlternateContent>
          <mc:Choice Requires="wps">
            <w:drawing>
              <wp:anchor distT="0" distB="0" distL="114300" distR="114300" simplePos="0" relativeHeight="251671552" behindDoc="0" locked="0" layoutInCell="1" allowOverlap="1">
                <wp:simplePos x="0" y="0"/>
                <wp:positionH relativeFrom="column">
                  <wp:posOffset>1443355</wp:posOffset>
                </wp:positionH>
                <wp:positionV relativeFrom="paragraph">
                  <wp:posOffset>2161540</wp:posOffset>
                </wp:positionV>
                <wp:extent cx="2743200" cy="409575"/>
                <wp:effectExtent l="0" t="0" r="2540" b="0"/>
                <wp:wrapTopAndBottom/>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Default="00F57F53" w:rsidP="003B0E19">
                            <w:pPr>
                              <w:pStyle w:val="Epgrafe"/>
                              <w:jc w:val="center"/>
                            </w:pPr>
                            <w:bookmarkStart w:id="44" w:name="_Toc516069722"/>
                            <w:r>
                              <w:t>Figura 10. Proporción de complicaciones</w:t>
                            </w:r>
                            <w:bookmarkEnd w:id="4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13.65pt;margin-top:170.2pt;width:3in;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GzI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" filled="f" stroked="f">
                <v:textbox>
                  <w:txbxContent>
                    <w:p w:rsidR="00F57F53" w:rsidRDefault="00F57F53" w:rsidP="003B0E19">
                      <w:pPr>
                        <w:pStyle w:val="Epgrafe"/>
                        <w:jc w:val="center"/>
                      </w:pPr>
                      <w:bookmarkStart w:id="45" w:name="_Toc516069722"/>
                      <w:r>
                        <w:t>Figura 10. Proporción de complicaciones</w:t>
                      </w:r>
                      <w:bookmarkEnd w:id="45"/>
                    </w:p>
                  </w:txbxContent>
                </v:textbox>
                <w10:wrap type="topAndBottom"/>
              </v:shape>
            </w:pict>
          </mc:Fallback>
        </mc:AlternateContent>
      </w:r>
    </w:p>
    <w:p w:rsidR="003B0E19" w:rsidRDefault="003B0E19" w:rsidP="003B0E19">
      <w:pPr>
        <w:spacing w:after="0"/>
        <w:jc w:val="center"/>
      </w:pPr>
    </w:p>
    <w:p w:rsidR="00C609B5" w:rsidRDefault="006B5E99" w:rsidP="00D0631D">
      <w:pPr>
        <w:pStyle w:val="Ttulo2"/>
        <w:spacing w:before="0" w:line="360" w:lineRule="auto"/>
        <w:jc w:val="both"/>
      </w:pPr>
      <w:bookmarkStart w:id="46" w:name="_Toc516070247"/>
      <w:r>
        <w:lastRenderedPageBreak/>
        <w:t>Relaciones entre variables</w:t>
      </w:r>
      <w:bookmarkEnd w:id="46"/>
    </w:p>
    <w:p w:rsidR="00D9657F" w:rsidRDefault="0067534C" w:rsidP="00DD169A">
      <w:pPr>
        <w:jc w:val="both"/>
      </w:pPr>
      <w:r>
        <w:t xml:space="preserve">Al analizar los datos recogidos se relacionaron entre sí, </w:t>
      </w:r>
      <w:r w:rsidR="00B95847">
        <w:t>encontramos</w:t>
      </w:r>
      <w:r w:rsidR="006B5E99">
        <w:t xml:space="preserve"> los siguientes resultados</w:t>
      </w:r>
      <w:r>
        <w:t>:</w:t>
      </w:r>
    </w:p>
    <w:p w:rsidR="00AF7F2C" w:rsidRDefault="00375BA0" w:rsidP="00DD169A">
      <w:pPr>
        <w:pStyle w:val="Prrafodelista"/>
        <w:numPr>
          <w:ilvl w:val="0"/>
          <w:numId w:val="8"/>
        </w:numPr>
        <w:jc w:val="both"/>
      </w:pPr>
      <w:r>
        <w:rPr>
          <w:noProof/>
          <w:lang w:eastAsia="es-ES"/>
        </w:rPr>
        <w:drawing>
          <wp:anchor distT="0" distB="0" distL="114300" distR="114300" simplePos="0" relativeHeight="251649536" behindDoc="1" locked="0" layoutInCell="1" allowOverlap="1" wp14:anchorId="17EE8ECB" wp14:editId="35E8B36D">
            <wp:simplePos x="0" y="0"/>
            <wp:positionH relativeFrom="column">
              <wp:posOffset>3598545</wp:posOffset>
            </wp:positionH>
            <wp:positionV relativeFrom="page">
              <wp:posOffset>3914775</wp:posOffset>
            </wp:positionV>
            <wp:extent cx="2133600" cy="1828800"/>
            <wp:effectExtent l="0" t="0" r="0" b="0"/>
            <wp:wrapTight wrapText="bothSides">
              <wp:wrapPolygon edited="0">
                <wp:start x="0" y="0"/>
                <wp:lineTo x="0" y="21600"/>
                <wp:lineTo x="21600" y="21600"/>
                <wp:lineTo x="21600" y="0"/>
                <wp:lineTo x="0" y="0"/>
              </wp:wrapPolygon>
            </wp:wrapTight>
            <wp:docPr id="25" name="Gráfico 2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r w:rsidR="001F282C">
        <w:t xml:space="preserve">Se </w:t>
      </w:r>
      <w:r w:rsidR="00730EF9">
        <w:t xml:space="preserve">observó </w:t>
      </w:r>
      <w:r w:rsidR="00AF7F2C">
        <w:t>una</w:t>
      </w:r>
      <w:r w:rsidR="001F282C">
        <w:t xml:space="preserve"> relación </w:t>
      </w:r>
      <w:r w:rsidR="00730EF9">
        <w:t>entre</w:t>
      </w:r>
      <w:r w:rsidR="001F282C">
        <w:t xml:space="preserve"> la edad y el hábito tabáquico, y también </w:t>
      </w:r>
      <w:r w:rsidR="00730EF9">
        <w:t>entre la edad y</w:t>
      </w:r>
      <w:r w:rsidR="001F282C">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FE1983">
        <w:t>. Además encontramos menos</w:t>
      </w:r>
      <w:r w:rsidR="00DF61ED">
        <w:t xml:space="preserve"> pacientes expuestos al tabaco entre los </w:t>
      </w:r>
      <w:r w:rsidR="00F61E75">
        <w:t>m</w:t>
      </w:r>
      <w:r w:rsidR="00FE1983">
        <w:t>ayore</w:t>
      </w:r>
      <w:r w:rsidR="00F61E75">
        <w:t>s</w:t>
      </w:r>
      <w:r w:rsidR="00DF61ED">
        <w:t xml:space="preserve"> de 60 con una OR</w:t>
      </w:r>
      <w:r w:rsidR="00F61E75">
        <w:t>=0.114 (IC 95% 0.18-0.716</w:t>
      </w:r>
      <w:r w:rsidR="00DF61ED">
        <w:t xml:space="preserve"> p=0.013</w:t>
      </w:r>
      <w:r w:rsidR="00F61E75">
        <w:t xml:space="preserve">), de forma que los pacientes menores de 60 tienen 8.77 más posibilidades de </w:t>
      </w:r>
      <w:r w:rsidR="006B5E99">
        <w:t>tener un hábito tabáquico</w:t>
      </w:r>
      <w:r w:rsidR="00FE1983">
        <w:t>.</w:t>
      </w:r>
      <w:r w:rsidR="006B5E99">
        <w:t xml:space="preserve"> </w:t>
      </w:r>
    </w:p>
    <w:p w:rsidR="00375BA0" w:rsidRDefault="00FE1983" w:rsidP="00375BA0">
      <w:pPr>
        <w:pStyle w:val="Prrafodelista"/>
        <w:ind w:left="360"/>
        <w:jc w:val="both"/>
      </w:pPr>
      <w:r>
        <w:rPr>
          <w:noProof/>
          <w:lang w:eastAsia="es-ES"/>
        </w:rPr>
        <w:drawing>
          <wp:anchor distT="0" distB="0" distL="114300" distR="114300" simplePos="0" relativeHeight="251642368" behindDoc="1" locked="0" layoutInCell="1" allowOverlap="1" wp14:anchorId="373D6E7A" wp14:editId="4AC4031B">
            <wp:simplePos x="0" y="0"/>
            <wp:positionH relativeFrom="column">
              <wp:posOffset>-87630</wp:posOffset>
            </wp:positionH>
            <wp:positionV relativeFrom="paragraph">
              <wp:posOffset>299085</wp:posOffset>
            </wp:positionV>
            <wp:extent cx="3619500" cy="1428750"/>
            <wp:effectExtent l="0" t="0" r="0" b="0"/>
            <wp:wrapTight wrapText="bothSides">
              <wp:wrapPolygon edited="0">
                <wp:start x="0" y="0"/>
                <wp:lineTo x="0" y="21312"/>
                <wp:lineTo x="21486" y="21312"/>
                <wp:lineTo x="21486"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3619500" cy="1428750"/>
                    </a:xfrm>
                    <a:prstGeom prst="rect">
                      <a:avLst/>
                    </a:prstGeom>
                  </pic:spPr>
                </pic:pic>
              </a:graphicData>
            </a:graphic>
            <wp14:sizeRelH relativeFrom="page">
              <wp14:pctWidth>0</wp14:pctWidth>
            </wp14:sizeRelH>
            <wp14:sizeRelV relativeFrom="page">
              <wp14:pctHeight>0</wp14:pctHeight>
            </wp14:sizeRelV>
          </wp:anchor>
        </w:drawing>
      </w:r>
    </w:p>
    <w:p w:rsidR="00AD7442" w:rsidRDefault="007F1100" w:rsidP="00DD169A">
      <w:pPr>
        <w:pStyle w:val="Prrafodelista"/>
        <w:numPr>
          <w:ilvl w:val="0"/>
          <w:numId w:val="7"/>
        </w:numPr>
        <w:jc w:val="both"/>
      </w:pPr>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-59055</wp:posOffset>
                </wp:positionH>
                <wp:positionV relativeFrom="paragraph">
                  <wp:posOffset>67945</wp:posOffset>
                </wp:positionV>
                <wp:extent cx="3552825" cy="723900"/>
                <wp:effectExtent l="3810" t="0" r="0" b="0"/>
                <wp:wrapTopAndBottom/>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Default="00F57F53" w:rsidP="00375BA0">
                            <w:pPr>
                              <w:pStyle w:val="Epgrafe"/>
                              <w:jc w:val="both"/>
                            </w:pPr>
                            <w:bookmarkStart w:id="47" w:name="_Toc516069723"/>
                            <w:r>
                              <w:t>Tabla 2. Tabla cruzada entre hábito tabáquico y edad</w:t>
                            </w:r>
                            <w:bookmarkEnd w:id="47"/>
                          </w:p>
                          <w:p w:rsidR="00F57F53" w:rsidRPr="00375BA0" w:rsidRDefault="00F57F53" w:rsidP="00375BA0">
                            <w:pPr>
                              <w:pStyle w:val="Epgrafe"/>
                              <w:jc w:val="both"/>
                            </w:pPr>
                            <w:bookmarkStart w:id="48" w:name="_Toc516069724"/>
                            <w:r>
                              <w:t>Figura 11.</w:t>
                            </w:r>
                            <w:r w:rsidRPr="00375BA0">
                              <w:t xml:space="preserve"> </w:t>
                            </w:r>
                            <w:r w:rsidRPr="00134F85">
                              <w:t>Diagrama de barras</w:t>
                            </w:r>
                            <w:r>
                              <w:t>: R</w:t>
                            </w:r>
                            <w:r w:rsidRPr="00134F85">
                              <w:t>elación entre edad y presencia de comorbilidades.</w:t>
                            </w:r>
                            <w:bookmarkEnd w:id="4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left:0;text-align:left;margin-left:-4.65pt;margin-top:5.35pt;width:279.7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" filled="f" stroked="f">
                <v:textbox>
                  <w:txbxContent>
                    <w:p w:rsidR="00F57F53" w:rsidRDefault="00F57F53" w:rsidP="00375BA0">
                      <w:pPr>
                        <w:pStyle w:val="Epgrafe"/>
                        <w:jc w:val="both"/>
                      </w:pPr>
                      <w:bookmarkStart w:id="49" w:name="_Toc516069723"/>
                      <w:r>
                        <w:t>Tabla 2. Tabla cruzada entre hábito tabáquico y edad</w:t>
                      </w:r>
                      <w:bookmarkEnd w:id="49"/>
                    </w:p>
                    <w:p w:rsidR="00F57F53" w:rsidRPr="00375BA0" w:rsidRDefault="00F57F53" w:rsidP="00375BA0">
                      <w:pPr>
                        <w:pStyle w:val="Epgrafe"/>
                        <w:jc w:val="both"/>
                      </w:pPr>
                      <w:bookmarkStart w:id="50" w:name="_Toc516069724"/>
                      <w:r>
                        <w:t>Figura 11.</w:t>
                      </w:r>
                      <w:r w:rsidRPr="00375BA0">
                        <w:t xml:space="preserve"> </w:t>
                      </w:r>
                      <w:r w:rsidRPr="00134F85">
                        <w:t>Diagrama de barras</w:t>
                      </w:r>
                      <w:r>
                        <w:t>: R</w:t>
                      </w:r>
                      <w:r w:rsidRPr="00134F85">
                        <w:t>elación entre edad y presencia de comorbilidades.</w:t>
                      </w:r>
                      <w:bookmarkEnd w:id="50"/>
                    </w:p>
                  </w:txbxContent>
                </v:textbox>
                <w10:wrap type="topAndBottom"/>
              </v:shape>
            </w:pict>
          </mc:Fallback>
        </mc:AlternateContent>
      </w:r>
      <w:r w:rsidR="005B305F">
        <w:t xml:space="preserve">Encontramos que los hombres tenían 1.89 veces más probabilidad de beber alcohol que las mujeres </w:t>
      </w:r>
      <w:r w:rsidR="00730EF9">
        <w:t>(</w:t>
      </w:r>
      <w:r w:rsidR="005B305F">
        <w:t>p=0.005</w:t>
      </w:r>
      <w:r w:rsidR="00730EF9">
        <w:t>)</w:t>
      </w:r>
      <w:r w:rsidR="005B305F">
        <w:t>. Además, las mujeres presenta</w:t>
      </w:r>
      <w:r w:rsidR="00730EF9">
        <w:t>ban</w:t>
      </w:r>
      <w:r w:rsidR="005B305F">
        <w:t xml:space="preserve"> clínica neurológica al diagnóstico con una </w:t>
      </w:r>
      <w:r w:rsidR="005B305F" w:rsidRPr="00CA159A">
        <w:t>OR=5.31</w:t>
      </w:r>
      <w:r w:rsidR="00CA159A">
        <w:t>,</w:t>
      </w:r>
      <w:r w:rsidR="00494357">
        <w:t xml:space="preserve"> es decir </w:t>
      </w:r>
      <w:r w:rsidR="0020606F">
        <w:t xml:space="preserve"> con </w:t>
      </w:r>
      <w:r w:rsidR="00494357">
        <w:t xml:space="preserve">5.31 veces más posibilidades </w:t>
      </w:r>
      <w:r w:rsidR="0020606F">
        <w:t>que los hombres</w:t>
      </w:r>
      <w:r w:rsidR="005B305F">
        <w:t>.</w:t>
      </w:r>
      <w:r w:rsidR="00F87F3E" w:rsidRPr="00F87F3E">
        <w:rPr>
          <w:noProof/>
          <w:lang w:eastAsia="es-ES"/>
        </w:rPr>
        <w:t xml:space="preserve"> </w:t>
      </w:r>
    </w:p>
    <w:p w:rsidR="00BA6083" w:rsidRPr="00DB454A" w:rsidRDefault="005B305F" w:rsidP="00DB454A">
      <w:pPr>
        <w:pStyle w:val="Prrafodelista"/>
        <w:numPr>
          <w:ilvl w:val="0"/>
          <w:numId w:val="7"/>
        </w:numPr>
        <w:jc w:val="both"/>
      </w:pPr>
      <w:r>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al diagnóstico del aneurisma. Asimismo se halló que el consumo de alcohol guardaba relación con el tipo de materiales utilizados en la TEV: a los pacientes que no consumían alcohol se les puso stent con una mayor frecuencia (</w:t>
      </w:r>
      <w:r w:rsidR="00730EF9">
        <w:t>p=0.046)</w:t>
      </w:r>
      <w:r>
        <w:t>.</w:t>
      </w:r>
      <w:r w:rsidR="0020606F" w:rsidRPr="0020606F">
        <w:rPr>
          <w:noProof/>
          <w:sz w:val="18"/>
          <w:szCs w:val="18"/>
          <w:lang w:eastAsia="es-ES"/>
        </w:rPr>
        <w:t xml:space="preserve"> </w:t>
      </w:r>
    </w:p>
    <w:p w:rsidR="00AB772A" w:rsidRDefault="00166D06" w:rsidP="004127BE">
      <w:pPr>
        <w:pStyle w:val="Prrafodelista"/>
        <w:numPr>
          <w:ilvl w:val="0"/>
          <w:numId w:val="7"/>
        </w:numPr>
        <w:jc w:val="both"/>
      </w:pPr>
      <w:r>
        <w:rPr>
          <w:noProof/>
          <w:lang w:eastAsia="es-ES"/>
        </w:rPr>
        <w:lastRenderedPageBreak/>
        <w:drawing>
          <wp:anchor distT="0" distB="0" distL="114300" distR="114300" simplePos="0" relativeHeight="251659776" behindDoc="0" locked="0" layoutInCell="1" allowOverlap="1" wp14:anchorId="7D02FE37" wp14:editId="76DF7B73">
            <wp:simplePos x="0" y="0"/>
            <wp:positionH relativeFrom="column">
              <wp:posOffset>226060</wp:posOffset>
            </wp:positionH>
            <wp:positionV relativeFrom="paragraph">
              <wp:posOffset>1621155</wp:posOffset>
            </wp:positionV>
            <wp:extent cx="2668270" cy="1551940"/>
            <wp:effectExtent l="0" t="0" r="0" b="0"/>
            <wp:wrapTopAndBottom/>
            <wp:docPr id="5" name="Gráfico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r w:rsidR="007F1100">
        <w:rPr>
          <w:noProof/>
          <w:lang w:eastAsia="es-ES"/>
        </w:rPr>
        <mc:AlternateContent>
          <mc:Choice Requires="wps">
            <w:drawing>
              <wp:anchor distT="0" distB="0" distL="114300" distR="114300" simplePos="0" relativeHeight="251682816" behindDoc="0" locked="0" layoutInCell="1" allowOverlap="1">
                <wp:simplePos x="0" y="0"/>
                <wp:positionH relativeFrom="column">
                  <wp:posOffset>2918460</wp:posOffset>
                </wp:positionH>
                <wp:positionV relativeFrom="paragraph">
                  <wp:posOffset>1731645</wp:posOffset>
                </wp:positionV>
                <wp:extent cx="2543175" cy="1609725"/>
                <wp:effectExtent l="0" t="0" r="3810" b="0"/>
                <wp:wrapTopAndBottom/>
                <wp:docPr id="2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Pr="00FE1983" w:rsidRDefault="00F57F53" w:rsidP="008A0559">
                            <w:pPr>
                              <w:pStyle w:val="Epgrafe"/>
                              <w:spacing w:line="276" w:lineRule="auto"/>
                              <w:jc w:val="both"/>
                              <w:rPr>
                                <w:szCs w:val="21"/>
                              </w:rPr>
                            </w:pPr>
                            <w:bookmarkStart w:id="51" w:name="_Toc516069725"/>
                            <w:r w:rsidRPr="00FE1983">
                              <w:rPr>
                                <w:szCs w:val="21"/>
                              </w:rPr>
                              <w:t>Figura 12. Diagrama de barras: relación entre sexo y clínica neurológica.</w:t>
                            </w:r>
                            <w:bookmarkEnd w:id="51"/>
                          </w:p>
                          <w:p w:rsidR="00F57F53" w:rsidRPr="00FE1983" w:rsidRDefault="00F57F53" w:rsidP="008A0559">
                            <w:pPr>
                              <w:pStyle w:val="Epgrafe"/>
                              <w:spacing w:line="276" w:lineRule="auto"/>
                              <w:jc w:val="both"/>
                              <w:rPr>
                                <w:szCs w:val="21"/>
                              </w:rPr>
                            </w:pPr>
                            <w:bookmarkStart w:id="52" w:name="_Toc510797567"/>
                            <w:bookmarkStart w:id="53" w:name="_Toc512441281"/>
                            <w:bookmarkStart w:id="54" w:name="_Toc516069726"/>
                            <w:r w:rsidRPr="00FE1983">
                              <w:rPr>
                                <w:szCs w:val="21"/>
                              </w:rPr>
                              <w:t>Figura 13. Diagrama de barras: relación entre consumo de alcohol y clínica neurológica.</w:t>
                            </w:r>
                            <w:bookmarkEnd w:id="52"/>
                            <w:bookmarkEnd w:id="53"/>
                            <w:bookmarkEnd w:id="54"/>
                          </w:p>
                          <w:p w:rsidR="00F57F53" w:rsidRPr="00FE1983" w:rsidRDefault="00F57F53" w:rsidP="008A0559">
                            <w:pPr>
                              <w:pStyle w:val="Epgrafe"/>
                              <w:spacing w:line="276" w:lineRule="auto"/>
                              <w:jc w:val="both"/>
                              <w:rPr>
                                <w:szCs w:val="21"/>
                              </w:rPr>
                            </w:pPr>
                            <w:bookmarkStart w:id="55" w:name="_Toc510797568"/>
                            <w:bookmarkStart w:id="56" w:name="_Toc512441282"/>
                            <w:bookmarkStart w:id="57" w:name="_Toc516069727"/>
                            <w:r w:rsidRPr="00FE1983">
                              <w:rPr>
                                <w:szCs w:val="21"/>
                              </w:rPr>
                              <w:t>Figura 14. Diagrama de barras: relación entre sexo y consumo de alcohol.</w:t>
                            </w:r>
                            <w:bookmarkEnd w:id="55"/>
                            <w:bookmarkEnd w:id="56"/>
                            <w:bookmarkEnd w:id="57"/>
                          </w:p>
                          <w:p w:rsidR="00F57F53" w:rsidRPr="009E2915" w:rsidRDefault="00F57F53" w:rsidP="009E29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229.8pt;margin-top:136.35pt;width:200.25pt;height:1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HCug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" filled="f" stroked="f">
                <v:textbox>
                  <w:txbxContent>
                    <w:p w:rsidR="00F57F53" w:rsidRPr="00FE1983" w:rsidRDefault="00F57F53" w:rsidP="008A0559">
                      <w:pPr>
                        <w:pStyle w:val="Epgrafe"/>
                        <w:spacing w:line="276" w:lineRule="auto"/>
                        <w:jc w:val="both"/>
                        <w:rPr>
                          <w:szCs w:val="21"/>
                        </w:rPr>
                      </w:pPr>
                      <w:bookmarkStart w:id="58" w:name="_Toc516069725"/>
                      <w:r w:rsidRPr="00FE1983">
                        <w:rPr>
                          <w:szCs w:val="21"/>
                        </w:rPr>
                        <w:t>Figura 12. Diagrama de barras: relación entre sexo y clínica neurológica.</w:t>
                      </w:r>
                      <w:bookmarkEnd w:id="58"/>
                    </w:p>
                    <w:p w:rsidR="00F57F53" w:rsidRPr="00FE1983" w:rsidRDefault="00F57F53" w:rsidP="008A0559">
                      <w:pPr>
                        <w:pStyle w:val="Epgrafe"/>
                        <w:spacing w:line="276" w:lineRule="auto"/>
                        <w:jc w:val="both"/>
                        <w:rPr>
                          <w:szCs w:val="21"/>
                        </w:rPr>
                      </w:pPr>
                      <w:bookmarkStart w:id="59" w:name="_Toc510797567"/>
                      <w:bookmarkStart w:id="60" w:name="_Toc512441281"/>
                      <w:bookmarkStart w:id="61" w:name="_Toc516069726"/>
                      <w:r w:rsidRPr="00FE1983">
                        <w:rPr>
                          <w:szCs w:val="21"/>
                        </w:rPr>
                        <w:t>Figura 13. Diagrama de barras: relación entre consumo de alcohol y clínica neurológica.</w:t>
                      </w:r>
                      <w:bookmarkEnd w:id="59"/>
                      <w:bookmarkEnd w:id="60"/>
                      <w:bookmarkEnd w:id="61"/>
                    </w:p>
                    <w:p w:rsidR="00F57F53" w:rsidRPr="00FE1983" w:rsidRDefault="00F57F53" w:rsidP="008A0559">
                      <w:pPr>
                        <w:pStyle w:val="Epgrafe"/>
                        <w:spacing w:line="276" w:lineRule="auto"/>
                        <w:jc w:val="both"/>
                        <w:rPr>
                          <w:szCs w:val="21"/>
                        </w:rPr>
                      </w:pPr>
                      <w:bookmarkStart w:id="62" w:name="_Toc510797568"/>
                      <w:bookmarkStart w:id="63" w:name="_Toc512441282"/>
                      <w:bookmarkStart w:id="64" w:name="_Toc516069727"/>
                      <w:r w:rsidRPr="00FE1983">
                        <w:rPr>
                          <w:szCs w:val="21"/>
                        </w:rPr>
                        <w:t>Figura 14. Diagrama de barras: relación entre sexo y consumo de alcohol.</w:t>
                      </w:r>
                      <w:bookmarkEnd w:id="62"/>
                      <w:bookmarkEnd w:id="63"/>
                      <w:bookmarkEnd w:id="64"/>
                    </w:p>
                    <w:p w:rsidR="00F57F53" w:rsidRPr="009E2915" w:rsidRDefault="00F57F53" w:rsidP="009E2915"/>
                  </w:txbxContent>
                </v:textbox>
                <w10:wrap type="topAndBottom"/>
              </v:shape>
            </w:pict>
          </mc:Fallback>
        </mc:AlternateContent>
      </w:r>
      <w:r w:rsidR="00DB454A" w:rsidRPr="002C55F2">
        <w:rPr>
          <w:noProof/>
          <w:sz w:val="18"/>
          <w:szCs w:val="18"/>
          <w:lang w:eastAsia="es-ES"/>
        </w:rPr>
        <w:drawing>
          <wp:anchor distT="0" distB="0" distL="114300" distR="114300" simplePos="0" relativeHeight="251655680" behindDoc="0" locked="0" layoutInCell="1" allowOverlap="1" wp14:anchorId="4F5FEA77" wp14:editId="2DB2C6A6">
            <wp:simplePos x="0" y="0"/>
            <wp:positionH relativeFrom="column">
              <wp:posOffset>2899410</wp:posOffset>
            </wp:positionH>
            <wp:positionV relativeFrom="paragraph">
              <wp:posOffset>55245</wp:posOffset>
            </wp:positionV>
            <wp:extent cx="2495550" cy="1562100"/>
            <wp:effectExtent l="0" t="0" r="0" b="0"/>
            <wp:wrapSquare wrapText="bothSides"/>
            <wp:docPr id="12" name="Gráfico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r w:rsidR="00DB454A">
        <w:rPr>
          <w:noProof/>
          <w:lang w:eastAsia="es-ES"/>
        </w:rPr>
        <w:drawing>
          <wp:anchor distT="0" distB="0" distL="114300" distR="114300" simplePos="0" relativeHeight="251652608" behindDoc="0" locked="0" layoutInCell="1" allowOverlap="1" wp14:anchorId="3E7BABF7" wp14:editId="2980FE85">
            <wp:simplePos x="0" y="0"/>
            <wp:positionH relativeFrom="column">
              <wp:posOffset>222885</wp:posOffset>
            </wp:positionH>
            <wp:positionV relativeFrom="paragraph">
              <wp:posOffset>55245</wp:posOffset>
            </wp:positionV>
            <wp:extent cx="2677795" cy="1562100"/>
            <wp:effectExtent l="0" t="0" r="8255" b="0"/>
            <wp:wrapSquare wrapText="bothSides"/>
            <wp:docPr id="15" name="Gráfico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r w:rsidR="00AB772A">
        <w:t xml:space="preserve">Se observó una asociación entre la exposición al tabaco y el número de aneurismas. </w:t>
      </w:r>
      <w:r w:rsidR="00A37422">
        <w:t xml:space="preserve">El 100% </w:t>
      </w:r>
      <w:r w:rsidR="00AB772A">
        <w:t>de lo</w:t>
      </w:r>
      <w:r w:rsidR="001828C8">
        <w:t>s pacientes no expuestos poseía</w:t>
      </w:r>
      <w:r w:rsidR="00AB772A">
        <w:t xml:space="preserve"> </w:t>
      </w:r>
      <w:r w:rsidR="00A37422">
        <w:t>un único</w:t>
      </w:r>
      <w:r w:rsidR="00AB772A">
        <w:t xml:space="preserve"> aneurisma y </w:t>
      </w:r>
      <w:r w:rsidR="001828C8">
        <w:t xml:space="preserve">el </w:t>
      </w:r>
      <w:r w:rsidR="002D78AD">
        <w:t>52.4</w:t>
      </w:r>
      <w:r w:rsidR="001828C8">
        <w:t>% de los sí expuestos tenía</w:t>
      </w:r>
      <w:r w:rsidR="00AB772A">
        <w:t xml:space="preserve"> </w:t>
      </w:r>
      <w:r w:rsidR="00A37422">
        <w:t>aneurismas múltiples</w:t>
      </w:r>
      <w:r w:rsidR="00AB772A">
        <w:t xml:space="preserve"> (Chi-Cuadrado p=0.</w:t>
      </w:r>
      <w:r w:rsidR="00730EF9">
        <w:t>0</w:t>
      </w:r>
      <w:r w:rsidR="002D78AD">
        <w:t>06</w:t>
      </w:r>
      <w:r w:rsidR="00AB772A">
        <w:t>). También se vio que los pacientes que fumaban tenían aneurismas dependientes de la ACI y de la ACoA con mayor frecuencia que en otras localizaciones (Chi-Cuadrado p=0.</w:t>
      </w:r>
      <w:r w:rsidR="00730EF9">
        <w:t>0</w:t>
      </w:r>
      <w:r w:rsidR="00AB772A">
        <w:t>29).</w:t>
      </w:r>
    </w:p>
    <w:p w:rsidR="00017696" w:rsidRDefault="00A60DFE" w:rsidP="00DD169A">
      <w:pPr>
        <w:pStyle w:val="Prrafodelista"/>
        <w:numPr>
          <w:ilvl w:val="0"/>
          <w:numId w:val="7"/>
        </w:numPr>
        <w:spacing w:after="0"/>
        <w:jc w:val="both"/>
      </w:pPr>
      <w:r>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w:t>
      </w:r>
      <w:r w:rsidR="00204688">
        <w:t>0.013</w:t>
      </w:r>
      <w:r w:rsidR="0080226F">
        <w:t>)</w:t>
      </w:r>
      <w:r w:rsidR="00F61E75">
        <w:t>.</w:t>
      </w:r>
      <w:r w:rsidR="00C57FEB">
        <w:t xml:space="preserve"> Los aneurismas encontrados en la arteria basilar fueron de morfología irregular mientras que los aneurismas saculares se presentaban en la ACI el 52.4% y un 23.8%</w:t>
      </w:r>
      <w:r w:rsidR="00204688">
        <w:t xml:space="preserve"> se hallaban</w:t>
      </w:r>
      <w:r w:rsidR="00C57FEB">
        <w:t xml:space="preserve"> en la ACoA </w:t>
      </w:r>
      <w:r w:rsidR="00204688">
        <w:t>(p=0.008)</w:t>
      </w:r>
      <w:r w:rsidR="00E52E98">
        <w:t>.</w:t>
      </w:r>
    </w:p>
    <w:p w:rsidR="001272F6" w:rsidRPr="001272F6" w:rsidRDefault="001272F6" w:rsidP="001272F6">
      <w:pPr>
        <w:jc w:val="both"/>
        <w:rPr>
          <w:color w:val="E20087"/>
        </w:rPr>
      </w:pPr>
    </w:p>
    <w:p w:rsidR="00BE22AF" w:rsidRPr="00BE22AF" w:rsidRDefault="002F717A" w:rsidP="00BE22AF">
      <w:pPr>
        <w:pStyle w:val="Prrafodelista"/>
        <w:numPr>
          <w:ilvl w:val="0"/>
          <w:numId w:val="7"/>
        </w:numPr>
        <w:jc w:val="both"/>
        <w:rPr>
          <w:color w:val="E20087"/>
        </w:rPr>
      </w:pPr>
      <w:r>
        <w:rPr>
          <w:noProof/>
          <w:lang w:eastAsia="es-ES"/>
        </w:rPr>
        <w:lastRenderedPageBreak/>
        <w:drawing>
          <wp:anchor distT="0" distB="0" distL="114300" distR="114300" simplePos="0" relativeHeight="251683840" behindDoc="0" locked="0" layoutInCell="1" allowOverlap="1" wp14:anchorId="5445B1C4" wp14:editId="10C1939B">
            <wp:simplePos x="0" y="0"/>
            <wp:positionH relativeFrom="margin">
              <wp:posOffset>-294005</wp:posOffset>
            </wp:positionH>
            <wp:positionV relativeFrom="margin">
              <wp:posOffset>-19050</wp:posOffset>
            </wp:positionV>
            <wp:extent cx="6353175" cy="2257425"/>
            <wp:effectExtent l="0" t="0" r="0" b="0"/>
            <wp:wrapSquare wrapText="bothSides"/>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r w:rsidR="00A612A4" w:rsidRPr="00CC62C5">
        <w:rPr>
          <w:noProof/>
          <w:sz w:val="36"/>
          <w:szCs w:val="36"/>
          <w:lang w:eastAsia="es-ES"/>
        </w:rPr>
        <w:drawing>
          <wp:anchor distT="0" distB="0" distL="114300" distR="114300" simplePos="0" relativeHeight="251688448" behindDoc="0" locked="0" layoutInCell="1" allowOverlap="1" wp14:anchorId="0F4E4AF4" wp14:editId="499E2D89">
            <wp:simplePos x="0" y="0"/>
            <wp:positionH relativeFrom="column">
              <wp:posOffset>769620</wp:posOffset>
            </wp:positionH>
            <wp:positionV relativeFrom="paragraph">
              <wp:posOffset>5608320</wp:posOffset>
            </wp:positionV>
            <wp:extent cx="3823970" cy="2228850"/>
            <wp:effectExtent l="0" t="0" r="5080" b="0"/>
            <wp:wrapTopAndBottom/>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page">
              <wp14:pctWidth>0</wp14:pctWidth>
            </wp14:sizeRelH>
            <wp14:sizeRelV relativeFrom="page">
              <wp14:pctHeight>0</wp14:pctHeight>
            </wp14:sizeRelV>
          </wp:anchor>
        </w:drawing>
      </w:r>
      <w:r w:rsidR="007F1100">
        <w:rPr>
          <w:noProof/>
          <w:lang w:eastAsia="es-ES"/>
        </w:rPr>
        <mc:AlternateContent>
          <mc:Choice Requires="wps">
            <w:drawing>
              <wp:anchor distT="0" distB="0" distL="114300" distR="114300" simplePos="0" relativeHeight="251686912" behindDoc="0" locked="0" layoutInCell="1" allowOverlap="1">
                <wp:simplePos x="0" y="0"/>
                <wp:positionH relativeFrom="column">
                  <wp:posOffset>320040</wp:posOffset>
                </wp:positionH>
                <wp:positionV relativeFrom="paragraph">
                  <wp:posOffset>7922895</wp:posOffset>
                </wp:positionV>
                <wp:extent cx="4792980" cy="390525"/>
                <wp:effectExtent l="1905" t="0" r="0" b="0"/>
                <wp:wrapSquare wrapText="bothSides"/>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Default="00F57F53" w:rsidP="009C2D20">
                            <w:pPr>
                              <w:pStyle w:val="Epgrafe"/>
                              <w:jc w:val="center"/>
                            </w:pPr>
                            <w:bookmarkStart w:id="65" w:name="_Toc516069728"/>
                            <w:r>
                              <w:t>Figura 16. Distribución de HSA previa según el número de aneurismas</w:t>
                            </w:r>
                            <w:bookmarkEnd w:id="65"/>
                          </w:p>
                          <w:p w:rsidR="00F57F53" w:rsidRPr="00D852E1" w:rsidRDefault="00F57F53" w:rsidP="009C2D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4" type="#_x0000_t202" style="position:absolute;left:0;text-align:left;margin-left:25.2pt;margin-top:623.85pt;width:377.4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8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" filled="f" stroked="f">
                <v:textbox>
                  <w:txbxContent>
                    <w:p w:rsidR="00F57F53" w:rsidRDefault="00F57F53" w:rsidP="009C2D20">
                      <w:pPr>
                        <w:pStyle w:val="Epgrafe"/>
                        <w:jc w:val="center"/>
                      </w:pPr>
                      <w:bookmarkStart w:id="66" w:name="_Toc516069728"/>
                      <w:r>
                        <w:t>Figura 16. Distribución de HSA previa según el número de aneurismas</w:t>
                      </w:r>
                      <w:bookmarkEnd w:id="66"/>
                    </w:p>
                    <w:p w:rsidR="00F57F53" w:rsidRPr="00D852E1" w:rsidRDefault="00F57F53" w:rsidP="009C2D20">
                      <w:pPr>
                        <w:jc w:val="center"/>
                      </w:pPr>
                    </w:p>
                  </w:txbxContent>
                </v:textbox>
                <w10:wrap type="square"/>
              </v:shape>
            </w:pict>
          </mc:Fallback>
        </mc:AlternateContent>
      </w:r>
      <w:r w:rsidR="007F1100">
        <w:rPr>
          <w:noProof/>
          <w:lang w:eastAsia="es-ES"/>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2312670</wp:posOffset>
                </wp:positionV>
                <wp:extent cx="4985385" cy="504825"/>
                <wp:effectExtent l="0" t="0" r="0" b="0"/>
                <wp:wrapTopAndBottom/>
                <wp:docPr id="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538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Pr="00734045" w:rsidRDefault="00F57F53" w:rsidP="004F1C4B">
                            <w:pPr>
                              <w:pStyle w:val="Epgrafe"/>
                            </w:pPr>
                            <w:bookmarkStart w:id="67" w:name="_Toc512441283"/>
                            <w:bookmarkStart w:id="68" w:name="_Toc516069729"/>
                            <w:r>
                              <w:t>Figura 14. Distribución de las localizaciones de los aneurismas según su tamaño</w:t>
                            </w:r>
                            <w:bookmarkEnd w:id="67"/>
                            <w:bookmarkEnd w:id="6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5" style="position:absolute;left:0;text-align:left;margin-left:-.45pt;margin-top:182.1pt;width:392.55pt;height:3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" filled="f" stroked="f">
                <v:textbox>
                  <w:txbxContent>
                    <w:p w:rsidR="00F57F53" w:rsidRPr="00734045" w:rsidRDefault="00F57F53" w:rsidP="004F1C4B">
                      <w:pPr>
                        <w:pStyle w:val="Epgrafe"/>
                      </w:pPr>
                      <w:bookmarkStart w:id="69" w:name="_Toc512441283"/>
                      <w:bookmarkStart w:id="70" w:name="_Toc516069729"/>
                      <w:r>
                        <w:t>Figura 14. Distribución de las localizaciones de los aneurismas según su tamaño</w:t>
                      </w:r>
                      <w:bookmarkEnd w:id="69"/>
                      <w:bookmarkEnd w:id="70"/>
                    </w:p>
                  </w:txbxContent>
                </v:textbox>
                <w10:wrap type="topAndBottom"/>
              </v:rect>
            </w:pict>
          </mc:Fallback>
        </mc:AlternateContent>
      </w:r>
      <w:r w:rsidR="002701A3">
        <w:t>Hallamos</w:t>
      </w:r>
      <w:r w:rsidR="00C723E4">
        <w:t xml:space="preserve"> que en número de aneurismas estaba en relación con el tamaño de los mismos, de modo que el 64.7% de los aneurismas </w:t>
      </w:r>
      <w:r w:rsidR="00A37422">
        <w:t xml:space="preserve">solitarios </w:t>
      </w:r>
      <w:r w:rsidR="00C723E4">
        <w:t>tenían un tamaño menor o igual a 5mm (Chi-Cuadrado de Pearson p=0.02).</w:t>
      </w:r>
      <w:r w:rsidR="00C723E4">
        <w:rPr>
          <w:noProof/>
          <w:lang w:eastAsia="es-ES"/>
        </w:rPr>
        <w:t xml:space="preserve"> Los pacientes con un aneurisma tenían aneurismas menores o iguales a 5mm con </w:t>
      </w:r>
      <w:r w:rsidR="00FE1983">
        <w:rPr>
          <w:noProof/>
          <w:lang w:eastAsia="es-ES"/>
        </w:rPr>
        <w:t>una OR=4.889,</w:t>
      </w:r>
      <w:r w:rsidR="00C723E4">
        <w:rPr>
          <w:noProof/>
          <w:lang w:eastAsia="es-ES"/>
        </w:rPr>
        <w:t xml:space="preserve"> presentaban aneurismas menores o iguales a 5mm con 4.9 más posibilidades que los pacientes con aneurismas múltiples. </w:t>
      </w:r>
      <w:r w:rsidR="00777080">
        <w:rPr>
          <w:noProof/>
          <w:lang w:eastAsia="es-ES"/>
        </w:rPr>
        <w:t>También encontramos que</w:t>
      </w:r>
      <w:r w:rsidR="00A37422">
        <w:rPr>
          <w:noProof/>
          <w:lang w:eastAsia="es-ES"/>
        </w:rPr>
        <w:t xml:space="preserve"> todos</w:t>
      </w:r>
      <w:r w:rsidR="00777080">
        <w:rPr>
          <w:noProof/>
          <w:lang w:eastAsia="es-ES"/>
        </w:rPr>
        <w:t xml:space="preserve"> los pacientes</w:t>
      </w:r>
      <w:r w:rsidR="00A37422">
        <w:rPr>
          <w:noProof/>
          <w:lang w:eastAsia="es-ES"/>
        </w:rPr>
        <w:t xml:space="preserve"> con historia previa de HSA tenían más de un aneurisma</w:t>
      </w:r>
      <w:r w:rsidR="00A06430">
        <w:rPr>
          <w:noProof/>
          <w:lang w:eastAsia="es-ES"/>
        </w:rPr>
        <w:t xml:space="preserve"> (p=0.016). El porcentaje de pacientes con antecedentes de HSA aumentaba a la vez que aumentaba el número de aneurismas (p=0.004).</w:t>
      </w:r>
      <w:r w:rsidR="007F1100">
        <w:rPr>
          <w:noProof/>
          <w:lang w:eastAsia="es-ES"/>
        </w:rPr>
        <mc:AlternateContent>
          <mc:Choice Requires="wps">
            <w:drawing>
              <wp:anchor distT="0" distB="0" distL="114300" distR="114300" simplePos="0" relativeHeight="251689984" behindDoc="0" locked="0" layoutInCell="1" allowOverlap="1">
                <wp:simplePos x="0" y="0"/>
                <wp:positionH relativeFrom="column">
                  <wp:posOffset>4175760</wp:posOffset>
                </wp:positionH>
                <wp:positionV relativeFrom="paragraph">
                  <wp:posOffset>-584200</wp:posOffset>
                </wp:positionV>
                <wp:extent cx="1257300" cy="1933575"/>
                <wp:effectExtent l="0" t="0" r="0" b="127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Default="00F57F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6" type="#_x0000_t202" style="position:absolute;left:0;text-align:left;margin-left:328.8pt;margin-top:-46pt;width:99pt;height:15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Ku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" filled="f" stroked="f">
                <v:textbox>
                  <w:txbxContent>
                    <w:p w:rsidR="00F57F53" w:rsidRDefault="00F57F53"/>
                  </w:txbxContent>
                </v:textbox>
                <w10:wrap type="square"/>
              </v:shape>
            </w:pict>
          </mc:Fallback>
        </mc:AlternateContent>
      </w:r>
    </w:p>
    <w:p w:rsidR="00C44778" w:rsidRDefault="007F1100" w:rsidP="00DD169A">
      <w:pPr>
        <w:pStyle w:val="Prrafodelista"/>
        <w:numPr>
          <w:ilvl w:val="0"/>
          <w:numId w:val="7"/>
        </w:numPr>
        <w:jc w:val="both"/>
      </w:pPr>
      <w:r>
        <w:rPr>
          <w:noProof/>
          <w:lang w:eastAsia="es-ES"/>
        </w:rPr>
        <w:lastRenderedPageBreak/>
        <mc:AlternateContent>
          <mc:Choice Requires="wps">
            <w:drawing>
              <wp:anchor distT="0" distB="0" distL="114300" distR="114300" simplePos="0" relativeHeight="251691008" behindDoc="1" locked="0" layoutInCell="1" allowOverlap="1">
                <wp:simplePos x="0" y="0"/>
                <wp:positionH relativeFrom="column">
                  <wp:posOffset>4103370</wp:posOffset>
                </wp:positionH>
                <wp:positionV relativeFrom="paragraph">
                  <wp:posOffset>121920</wp:posOffset>
                </wp:positionV>
                <wp:extent cx="1209675" cy="1876425"/>
                <wp:effectExtent l="0" t="0" r="0" b="0"/>
                <wp:wrapSquare wrapText="bothSides"/>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87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Pr="005A445E" w:rsidRDefault="00F57F53" w:rsidP="00BE22AF">
                            <w:pPr>
                              <w:pStyle w:val="Epgrafe"/>
                            </w:pPr>
                            <w:bookmarkStart w:id="71" w:name="_Toc512441284"/>
                            <w:bookmarkStart w:id="72" w:name="_Toc516069730"/>
                            <w:r>
                              <w:t>Tabla 2.  Estimación de riesgo  para número de aneurismas y tamaño</w:t>
                            </w:r>
                            <w:bookmarkEnd w:id="71"/>
                            <w:bookmarkEnd w:id="7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7" type="#_x0000_t202" style="position:absolute;left:0;text-align:left;margin-left:323.1pt;margin-top:9.6pt;width:95.25pt;height:147.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" filled="f" stroked="f">
                <v:textbox>
                  <w:txbxContent>
                    <w:p w:rsidR="00F57F53" w:rsidRPr="005A445E" w:rsidRDefault="00F57F53" w:rsidP="00BE22AF">
                      <w:pPr>
                        <w:pStyle w:val="Epgrafe"/>
                      </w:pPr>
                      <w:bookmarkStart w:id="73" w:name="_Toc512441284"/>
                      <w:bookmarkStart w:id="74" w:name="_Toc516069730"/>
                      <w:r>
                        <w:t>Tabla 2.  Estimación de riesgo  para número de aneurismas y tamaño</w:t>
                      </w:r>
                      <w:bookmarkEnd w:id="73"/>
                      <w:bookmarkEnd w:id="74"/>
                    </w:p>
                  </w:txbxContent>
                </v:textbox>
                <w10:wrap type="square"/>
              </v:shape>
            </w:pict>
          </mc:Fallback>
        </mc:AlternateContent>
      </w:r>
      <w:r>
        <w:rPr>
          <w:noProof/>
          <w:lang w:eastAsia="es-ES"/>
        </w:rPr>
        <mc:AlternateContent>
          <mc:Choice Requires="wps">
            <w:drawing>
              <wp:anchor distT="0" distB="0" distL="114300" distR="114300" simplePos="0" relativeHeight="251692032" behindDoc="0" locked="0" layoutInCell="1" allowOverlap="1">
                <wp:simplePos x="0" y="0"/>
                <wp:positionH relativeFrom="column">
                  <wp:posOffset>289560</wp:posOffset>
                </wp:positionH>
                <wp:positionV relativeFrom="paragraph">
                  <wp:posOffset>-1664970</wp:posOffset>
                </wp:positionV>
                <wp:extent cx="1247775" cy="257175"/>
                <wp:effectExtent l="0" t="0" r="381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F53" w:rsidRPr="00BE22AF" w:rsidRDefault="00F57F53">
                            <w:pPr>
                              <w:rPr>
                                <w:b/>
                                <w:i/>
                              </w:rPr>
                            </w:pPr>
                            <w:r>
                              <w:rPr>
                                <w:b/>
                                <w:i/>
                              </w:rPr>
                              <w:t>Tabla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8" type="#_x0000_t202" style="position:absolute;left:0;text-align:left;margin-left:22.8pt;margin-top:-131.1pt;width:98.2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J1twIAAMM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" filled="f" stroked="f">
                <v:textbox>
                  <w:txbxContent>
                    <w:p w:rsidR="00F57F53" w:rsidRPr="00BE22AF" w:rsidRDefault="00F57F53">
                      <w:pPr>
                        <w:rPr>
                          <w:b/>
                          <w:i/>
                        </w:rPr>
                      </w:pPr>
                      <w:r>
                        <w:rPr>
                          <w:b/>
                          <w:i/>
                        </w:rPr>
                        <w:t>Tabla 2.</w:t>
                      </w:r>
                    </w:p>
                  </w:txbxContent>
                </v:textbox>
              </v:shape>
            </w:pict>
          </mc:Fallback>
        </mc:AlternateContent>
      </w:r>
      <w:r w:rsidR="00BE22AF" w:rsidRPr="002C4EC4">
        <w:rPr>
          <w:noProof/>
          <w:lang w:eastAsia="es-ES"/>
        </w:rPr>
        <w:drawing>
          <wp:anchor distT="0" distB="0" distL="114300" distR="114300" simplePos="0" relativeHeight="251697664" behindDoc="0" locked="0" layoutInCell="1" allowOverlap="1" wp14:anchorId="2D70F436" wp14:editId="61558379">
            <wp:simplePos x="0" y="0"/>
            <wp:positionH relativeFrom="column">
              <wp:posOffset>232410</wp:posOffset>
            </wp:positionH>
            <wp:positionV relativeFrom="paragraph">
              <wp:posOffset>-154305</wp:posOffset>
            </wp:positionV>
            <wp:extent cx="3811905" cy="194119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3811905" cy="1941195"/>
                    </a:xfrm>
                    <a:prstGeom prst="rect">
                      <a:avLst/>
                    </a:prstGeom>
                  </pic:spPr>
                </pic:pic>
              </a:graphicData>
            </a:graphic>
            <wp14:sizeRelH relativeFrom="page">
              <wp14:pctWidth>0</wp14:pctWidth>
            </wp14:sizeRelH>
            <wp14:sizeRelV relativeFrom="page">
              <wp14:pctHeight>0</wp14:pctHeight>
            </wp14:sizeRelV>
          </wp:anchor>
        </w:drawing>
      </w:r>
      <w:r w:rsidR="006017E3">
        <w:t xml:space="preserve">Respecto a la antiagregación tras la intervención, </w:t>
      </w:r>
      <w:r w:rsidR="00600A9A">
        <w:t>ésta podía ser doble o simple. Se observó</w:t>
      </w:r>
      <w:r w:rsidR="00C44778">
        <w:t xml:space="preserve"> que el 81% de los pacientes que recibieron do</w:t>
      </w:r>
      <w:r w:rsidR="008A5FEA">
        <w:t>ble antiagregación eran mujeres</w:t>
      </w:r>
      <w:r w:rsidR="00C44778">
        <w:t xml:space="preserve"> mientras que los hombres tenían 5.31 más posibilidades de recibir antiagregación </w:t>
      </w:r>
      <w:r w:rsidR="00C44778" w:rsidRPr="00CA159A">
        <w:t>simple</w:t>
      </w:r>
      <w:r w:rsidR="00314C0F">
        <w:t xml:space="preserve"> </w:t>
      </w:r>
      <w:r w:rsidR="00C44778" w:rsidRPr="00CA159A">
        <w:t>OR=5.</w:t>
      </w:r>
      <w:r w:rsidR="00314C0F">
        <w:t>31</w:t>
      </w:r>
      <w:r w:rsidR="00C44778" w:rsidRPr="00CA159A">
        <w:t>. Asimismo</w:t>
      </w:r>
      <w:r w:rsidR="00C44778">
        <w:t xml:space="preserve"> </w:t>
      </w:r>
      <w:r w:rsidR="00A158BF">
        <w:t xml:space="preserve"> los pacientes cuyo TEV implica la colocación de un stent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w:t>
      </w:r>
      <w:r w:rsidR="008A5FEA">
        <w:t xml:space="preserve"> quienes s</w:t>
      </w:r>
      <w:r w:rsidR="00A60DFE">
        <w:t>o</w:t>
      </w:r>
      <w:r w:rsidR="008A5FEA">
        <w:t>lamente</w:t>
      </w:r>
      <w:r w:rsidR="00A60DFE">
        <w:t xml:space="preserve"> se requirió </w:t>
      </w:r>
      <w:r w:rsidR="00A158BF">
        <w:t>el uso de coils recibieron antiagregación simple (Chi-Cuadrado de Pearson p=0.000).</w:t>
      </w:r>
    </w:p>
    <w:p w:rsidR="00E507AF" w:rsidRDefault="002F70CD" w:rsidP="00DD169A">
      <w:pPr>
        <w:pStyle w:val="Prrafodelista"/>
        <w:numPr>
          <w:ilvl w:val="0"/>
          <w:numId w:val="7"/>
        </w:numPr>
        <w:jc w:val="both"/>
      </w:pPr>
      <w:r>
        <w:t>No encontramos relación entre el tamaño del aneurisma y la presencia o no de complicaciones (p=0.246), ni tampoco entre el tamaño y el grado de oclusión del aneurisma (p=0.627).</w:t>
      </w:r>
    </w:p>
    <w:p w:rsidR="002F70CD" w:rsidRDefault="002F70CD" w:rsidP="00DD169A">
      <w:pPr>
        <w:pStyle w:val="Prrafodelista"/>
        <w:numPr>
          <w:ilvl w:val="0"/>
          <w:numId w:val="7"/>
        </w:numPr>
        <w:jc w:val="both"/>
      </w:pPr>
      <w:r>
        <w:t>No se vio relación entre la edad y la presencia o no de complicaciones (Chi-Cuadrado de Pearson p=0.321), ni tampoco entre la edad y la oclusión del aneurisma (p=0.773).</w:t>
      </w:r>
    </w:p>
    <w:p w:rsidR="00E507AF" w:rsidRDefault="002F70CD" w:rsidP="00DD169A">
      <w:pPr>
        <w:pStyle w:val="Prrafodelista"/>
        <w:numPr>
          <w:ilvl w:val="0"/>
          <w:numId w:val="7"/>
        </w:numPr>
        <w:jc w:val="both"/>
      </w:pPr>
      <w:r>
        <w:t xml:space="preserve">No hallamos que las variables localización </w:t>
      </w:r>
      <w:r w:rsidR="001828C8">
        <w:t xml:space="preserve">y </w:t>
      </w:r>
      <w:r w:rsidR="007A212F">
        <w:t xml:space="preserve"> la presencia de complicaciones estuvieran asociadas (Chi-Cuadrado p=0.079).</w:t>
      </w:r>
    </w:p>
    <w:p w:rsidR="00472718" w:rsidRDefault="0054730A" w:rsidP="00DD169A">
      <w:pPr>
        <w:pStyle w:val="Ttulo1"/>
        <w:jc w:val="both"/>
      </w:pPr>
      <w:bookmarkStart w:id="75" w:name="_Toc516070248"/>
      <w:r>
        <w:lastRenderedPageBreak/>
        <w:t>Discusión</w:t>
      </w:r>
      <w:bookmarkEnd w:id="75"/>
    </w:p>
    <w:p w:rsidR="003208FC" w:rsidRDefault="003208FC" w:rsidP="0065069C">
      <w:pPr>
        <w:pStyle w:val="Ttulo2"/>
        <w:numPr>
          <w:ilvl w:val="0"/>
          <w:numId w:val="11"/>
        </w:numPr>
        <w:spacing w:before="0" w:line="360" w:lineRule="auto"/>
        <w:jc w:val="both"/>
        <w:rPr>
          <w:color w:val="404040" w:themeColor="text1" w:themeTint="BF"/>
        </w:rPr>
      </w:pPr>
      <w:bookmarkStart w:id="76" w:name="_Toc516070249"/>
      <w:r w:rsidRPr="00F5485A">
        <w:rPr>
          <w:color w:val="404040" w:themeColor="text1" w:themeTint="BF"/>
        </w:rPr>
        <w:t>Análisis de las características epidemiológicas, clínicas y radiológicas de los aneurismas incidentales sometidos a tratamiento endovascular</w:t>
      </w:r>
      <w:bookmarkEnd w:id="76"/>
    </w:p>
    <w:p w:rsidR="007457D0" w:rsidRDefault="007457D0" w:rsidP="00C90382">
      <w:pPr>
        <w:jc w:val="both"/>
      </w:pPr>
      <w:r>
        <w:t xml:space="preserve">Respecto a nuestra muestra </w:t>
      </w:r>
      <w:r w:rsidR="00160127">
        <w:t>observamos qu</w:t>
      </w:r>
      <w:r w:rsidR="009C2BEF">
        <w:t>e comparte algunas características</w:t>
      </w:r>
      <w:r w:rsidR="00FD24AC">
        <w:t xml:space="preserve"> con</w:t>
      </w:r>
      <w:r w:rsidR="00160127">
        <w:t xml:space="preserve"> las muestras de otros estudios. U</w:t>
      </w:r>
      <w:r>
        <w:t>n 70% fueron mujeres</w:t>
      </w:r>
      <w:r w:rsidR="006846C7">
        <w:t>, y la</w:t>
      </w:r>
      <w:r w:rsidR="00B76558">
        <w:t xml:space="preserve"> media de edad al diagnóstico </w:t>
      </w:r>
      <w:r w:rsidR="006846C7">
        <w:t xml:space="preserve">fue </w:t>
      </w:r>
      <w:r w:rsidR="00B76558">
        <w:t>de 60 años</w:t>
      </w:r>
      <w:r w:rsidR="006846C7">
        <w:t xml:space="preserve">. Encontramos que el </w:t>
      </w:r>
      <w:r w:rsidR="00EF6067">
        <w:t>63.3</w:t>
      </w:r>
      <w:r w:rsidR="006846C7">
        <w:t>% de los pacientes tenían un único aneurisma, siendo todos estos</w:t>
      </w:r>
      <w:r w:rsidR="00B76558">
        <w:t xml:space="preserve"> datos similares a los encontrados en estudios como el ISUIA</w:t>
      </w:r>
      <w:r w:rsidR="009F7D3B">
        <w:t xml:space="preserve"> </w:t>
      </w:r>
      <w:r w:rsidR="009F7D3B">
        <w:fldChar w:fldCharType="begin"/>
      </w:r>
      <w:r w:rsidR="009F7D3B">
        <w:instrText xml:space="preserve"> ADDIN ZOTERO_ITEM CSL_CITATION {"citationID":"CfQJIqZv","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9F7D3B">
        <w:fldChar w:fldCharType="separate"/>
      </w:r>
      <w:r w:rsidR="009F7D3B" w:rsidRPr="009F7D3B">
        <w:rPr>
          <w:rFonts w:ascii="Calibri" w:hAnsi="Calibri" w:cs="Calibri"/>
        </w:rPr>
        <w:t>(5)</w:t>
      </w:r>
      <w:r w:rsidR="009F7D3B">
        <w:fldChar w:fldCharType="end"/>
      </w:r>
      <w:r w:rsidR="00B76558">
        <w:t xml:space="preserve"> o el presentado por Ioannis Loumiotis et al</w:t>
      </w:r>
      <w:r w:rsidR="006846C7">
        <w:t>.</w:t>
      </w:r>
      <w:r w:rsidR="009F7D3B">
        <w:t xml:space="preserve"> </w:t>
      </w:r>
      <w:r w:rsidR="009F7D3B">
        <w:fldChar w:fldCharType="begin"/>
      </w:r>
      <w:r w:rsidR="009F7D3B">
        <w:instrText xml:space="preserve"> ADDIN ZOTERO_ITEM CSL_CITATION {"citationID":"iW464yl0","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6846C7">
        <w:t>, a excepción de este último artículo donde el 90.66% de la muestra poseían un aneurisma</w:t>
      </w:r>
      <w:r w:rsidR="009C2BEF">
        <w:t xml:space="preserve"> solitario</w:t>
      </w:r>
      <w:r w:rsidR="00EF6067">
        <w:t>. Igualmente la frecuencia de expuestos al tabaco en la muestra fue similar. E</w:t>
      </w:r>
      <w:r w:rsidR="00F35425">
        <w:t>n nuestro caso</w:t>
      </w:r>
      <w:r w:rsidR="00F75396">
        <w:t xml:space="preserve"> para</w:t>
      </w:r>
      <w:r w:rsidR="00F35425">
        <w:t xml:space="preserve"> e</w:t>
      </w:r>
      <w:r w:rsidR="00EF6067">
        <w:t>l 100%</w:t>
      </w:r>
      <w:r w:rsidR="000E0F5E">
        <w:t xml:space="preserve"> de los pacientes</w:t>
      </w:r>
      <w:r w:rsidR="00EF6067">
        <w:t xml:space="preserve"> </w:t>
      </w:r>
      <w:r w:rsidR="00F75396">
        <w:t>con aneurismas múltiples se recogía en su historia médica hábito tabáquico</w:t>
      </w:r>
      <w:r w:rsidR="00FD24AC">
        <w:t xml:space="preserve"> (p=0.006)</w:t>
      </w:r>
      <w:r w:rsidR="00F35425">
        <w:t xml:space="preserve"> lo que entraría dentro de lo esperable puesto que como se ha demostrado en otros </w:t>
      </w:r>
      <w:r w:rsidR="009C2BEF">
        <w:t>trabajos como el realizado por Woong Yoon</w:t>
      </w:r>
      <w:r w:rsidR="009F7D3B">
        <w:t xml:space="preserve"> </w:t>
      </w:r>
      <w:r w:rsidR="009F7D3B">
        <w:fldChar w:fldCharType="begin"/>
      </w:r>
      <w:r w:rsidR="009F7D3B">
        <w:instrText xml:space="preserve"> ADDIN ZOTERO_ITEM CSL_CITATION {"citationID":"oyBDa4ZX","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9F7D3B">
        <w:fldChar w:fldCharType="separate"/>
      </w:r>
      <w:r w:rsidR="009F7D3B" w:rsidRPr="009F7D3B">
        <w:rPr>
          <w:rFonts w:ascii="Calibri" w:hAnsi="Calibri" w:cs="Calibri"/>
        </w:rPr>
        <w:t>(9)</w:t>
      </w:r>
      <w:r w:rsidR="009F7D3B">
        <w:fldChar w:fldCharType="end"/>
      </w:r>
      <w:r w:rsidR="009C2BEF">
        <w:t>,</w:t>
      </w:r>
      <w:r w:rsidR="00F35425">
        <w:t xml:space="preserve"> el tabaco constituye un factor de riesgo para la enfermedad</w:t>
      </w:r>
      <w:r w:rsidR="009F7D3B">
        <w:t>.</w:t>
      </w:r>
      <w:r w:rsidR="00B76558">
        <w:t xml:space="preserve"> </w:t>
      </w:r>
    </w:p>
    <w:p w:rsidR="00B067E8" w:rsidRPr="00B067E8" w:rsidRDefault="00F75396" w:rsidP="00C90382">
      <w:pPr>
        <w:jc w:val="both"/>
      </w:pPr>
      <w:r>
        <w:t>Como recoge la literatura, un mayor número de aneurismas constituye un factor predictor de ruptura aneurismática.</w:t>
      </w:r>
      <w:r w:rsidR="00B067E8">
        <w:t xml:space="preserve"> En el estudio presentado por los japoneses Sonobe et al.</w:t>
      </w:r>
      <w:r w:rsidR="009F7D3B">
        <w:t xml:space="preserve"> </w:t>
      </w:r>
      <w:r w:rsidR="009F7D3B">
        <w:fldChar w:fldCharType="begin"/>
      </w:r>
      <w:r w:rsidR="009F7D3B">
        <w:instrText xml:space="preserve"> ADDIN ZOTERO_ITEM CSL_CITATION {"citationID":"l8CqkpcW","properties":{"formattedCitation":"(16)","plainCitation":"(16)","noteIndex":0},"citationItems":[{"id":105,"uris":["http://zotero.org/users/local/I8IXatSK/items/Z28L2ZPA"],"uri":["http://zotero.org/users/local/I8IXatSK/items/Z28L2ZPA"],"itemData":{"id":105,"type":"article-journal","title":"Small Unruptured Intracranial Aneurysm Verification Study: SUAVe Study, Japan","container-title":"Stroke","page":"1969-1977","volume":"41","issue":"9","source":"stroke.ahajournals.org","abstract":"&lt;p&gt;&lt;b&gt;&lt;i&gt;Background and Purpose—&lt;/i&gt;&lt;/b&gt;The natural history and optimal management of incidentally found small unruptured aneurysms &amp;lt;5 mm in size remain unclear. A prospective study was conducted to determine the optimal management for incidentally found small unruptured aneurysms.&lt;/p&gt;&lt;p&gt;&lt;b&gt;&lt;i&gt;Methods—&lt;/i&gt;&lt;/b&gt;From September 2000 to January, 2004, 540 aneurysms (446 patients) were registered. Four hundred forty-eight unruptured aneurysms &amp;lt;5 mm in size (374 patients) have been followed up for a mean of 41.0 months (1306.5 person-years) to date. We calculated the average annual rupture rate of small unruptured aneurysms and also investigated risk factors that contribute to rupture and enlargement of these aneurysms.&lt;/p&gt;&lt;p&gt;&lt;b&gt;&lt;i&gt;Results—&lt;/i&gt;&lt;/b&gt;The average annual risks of rupture associated with small unruptured aneurysms were 0.54% overall, 0.34% for single aneurysms, and 0.95% for multiple aneurysms. Patient &amp;lt;50 years of age (&lt;i&gt;P&lt;/i&gt;=0.046; hazard ratio, 5.23; 95% CI, 1.03 to 26.52), aneurysm diameter of ≥4.0 mm (&lt;i&gt;P&lt;/i&gt;=0.023; hazard ratio, 5.86; 95% CI, 1.27 to 26.95), hypertension (&lt;i&gt;P&lt;/i&gt;=0.023; hazard ratio, 7.93; 95% CI, 1.33 to 47.42), and aneurysm multiplicity (&lt;i&gt;P&lt;/i&gt;=0.0048; hazard ratio, 4.87; 95% CI, 1.62 to 14.65) were found to be significant predictive factors for rupture of small aneurysms.&lt;/p&gt;&lt;p&gt;&lt;b&gt;&lt;i&gt;Conclusions—&lt;/i&gt;&lt;/b&gt;The annual rupture rate associated with small unruptured aneurysms is quite low. Careful attention should be paid to the treatment indications for single-type unruptured aneurysms &amp;lt;5 mm. If the patient is &amp;lt;50 years of age, has hypertension, and multiple aneurysms with diameters of ≥4 mm, treatment should be considered to prevent future aneurysmal rupture.&lt;/p&gt;","DOI":"10.1161/STROKEAHA.110.585059","ISSN":"0039-2499, 1524-4628","note":"PMID: 20671254","shortTitle":"Small Unruptured Intracranial Aneurysm Verification Study","language":"en","author":[{"family":"Sonobe","given":"Makoto"},{"family":"Yamazaki","given":"Tomosato"},{"family":"Yonekura","given":"Masahiro"},{"family":"Kikuchi","given":"Haruhiko"}],"issued":{"date-parts":[["2010",9,1]]}}}],"schema":"https://github.com/citation-style-language/schema/raw/master/csl-citation.json"} </w:instrText>
      </w:r>
      <w:r w:rsidR="009F7D3B">
        <w:fldChar w:fldCharType="separate"/>
      </w:r>
      <w:r w:rsidR="009F7D3B" w:rsidRPr="009F7D3B">
        <w:rPr>
          <w:rFonts w:ascii="Calibri" w:hAnsi="Calibri" w:cs="Calibri"/>
        </w:rPr>
        <w:t>(16)</w:t>
      </w:r>
      <w:r w:rsidR="009F7D3B">
        <w:fldChar w:fldCharType="end"/>
      </w:r>
      <w:r w:rsidR="00B067E8">
        <w:t xml:space="preserve">, se puede advertir que los pacientes con múltiples aneurismas tenían un riesgo de ruptura de 0.95%/año frente al 0.34%/año de los aneurismas solitarios. </w:t>
      </w:r>
      <w:r w:rsidR="009C2BEF">
        <w:t>Puede comprobarse</w:t>
      </w:r>
      <w:r>
        <w:t xml:space="preserve"> en nuestro estudio, observando que los pacientes con aneurismas múltiples tenían historia previa de HSA con mayor frecuencia que los pacientes con aneurismas únicos (p=0.004)</w:t>
      </w:r>
      <w:r w:rsidR="00B1651B">
        <w:t xml:space="preserve">. </w:t>
      </w:r>
      <w:r w:rsidR="00FC6D91">
        <w:t>Los pacientes con antecedente de HSA son pacientes con peor evolución de la enfermedad y un mayor riesgo de ruptura de aneurismas,</w:t>
      </w:r>
      <w:r w:rsidR="00727536">
        <w:t xml:space="preserve"> </w:t>
      </w:r>
      <w:r w:rsidR="009C2BEF">
        <w:t>como demuestra el estudio de Loumiotis et al.</w:t>
      </w:r>
      <w:r w:rsidR="009F7D3B">
        <w:t xml:space="preserve"> </w:t>
      </w:r>
      <w:r w:rsidR="009F7D3B">
        <w:fldChar w:fldCharType="begin"/>
      </w:r>
      <w:r w:rsidR="009F7D3B">
        <w:instrText xml:space="preserve"> ADDIN ZOTERO_ITEM CSL_CITATION {"citationID":"3ViGYEDB","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9C2BEF">
        <w:t xml:space="preserve"> sobre aneurismas incidentales menores de 10mm. </w:t>
      </w:r>
      <w:r w:rsidR="00727536">
        <w:t xml:space="preserve">Además se vio que los aneurismas que eran </w:t>
      </w:r>
      <w:r w:rsidR="000E0F5E">
        <w:t xml:space="preserve">únicos presentaban aneurismas más pequeños que los aneurismas múltiples, de forma que el 78.6% </w:t>
      </w:r>
      <w:r w:rsidR="000E0F5E">
        <w:lastRenderedPageBreak/>
        <w:t>de los aneurismas con diámetro menor o igual a 5mm eran aneurismas únicos y el 57.1% de los aneurismas mayores de 5mm eran aneurismas múltiples (Chi-Cuadrado de Pearson p=0.02).</w:t>
      </w:r>
      <w:r w:rsidR="00670F15">
        <w:t xml:space="preserve"> Un número elevado de aneurismas podría en ocasiones explicarse por una </w:t>
      </w:r>
      <w:r w:rsidR="00941D10">
        <w:t xml:space="preserve">asociación familiar o </w:t>
      </w:r>
      <w:r w:rsidR="00670F15">
        <w:t>patología sistémica</w:t>
      </w:r>
      <w:r w:rsidR="00941D10">
        <w:t xml:space="preserve"> s</w:t>
      </w:r>
      <w:r w:rsidR="00670F15">
        <w:t xml:space="preserve">ubyacente que causara debilidad en las paredes vasculares. También explicaría la relación entre mayor número de aneurismas y mayor tamaño, puesto que el comportamiento de los aneurismas relacionados con </w:t>
      </w:r>
      <w:r w:rsidR="00941D10">
        <w:t>asociación familiar</w:t>
      </w:r>
      <w:r w:rsidR="00670F15">
        <w:t xml:space="preserve"> es m</w:t>
      </w:r>
      <w:r w:rsidR="00941D10">
        <w:t>ás agresivo</w:t>
      </w:r>
      <w:r w:rsidR="00A619E3">
        <w:t>, ya que tanto el número de aneurismas como el tamaño son factores de riesgo de HSA aneurismática. Exista o no una enfermedad subyacente los pacientes con un número elevado de aneurismas son pacientes con mayor riesgo de ruptura</w:t>
      </w:r>
      <w:r w:rsidR="00EF300A">
        <w:t xml:space="preserve"> </w:t>
      </w:r>
      <w:r w:rsidR="00A619E3">
        <w:fldChar w:fldCharType="begin"/>
      </w:r>
      <w:r w:rsidR="009F7D3B">
        <w:instrText xml:space="preserve"> ADDIN ZOTERO_ITEM CSL_CITATION {"citationID":"ejEIW5Qr","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A619E3">
        <w:fldChar w:fldCharType="separate"/>
      </w:r>
      <w:r w:rsidR="009F7D3B" w:rsidRPr="009F7D3B">
        <w:rPr>
          <w:rFonts w:ascii="Calibri" w:hAnsi="Calibri" w:cs="Calibri"/>
        </w:rPr>
        <w:t>(9)</w:t>
      </w:r>
      <w:r w:rsidR="00A619E3">
        <w:fldChar w:fldCharType="end"/>
      </w:r>
      <w:r w:rsidR="00484577">
        <w:t>.</w:t>
      </w:r>
    </w:p>
    <w:p w:rsidR="00CB2FCE" w:rsidRDefault="00484577" w:rsidP="00C90382">
      <w:pPr>
        <w:jc w:val="both"/>
      </w:pPr>
      <w:r>
        <w:t>El diámetro medio de los aneurismas de nuestra muestra fue de 5.29mm (rango 2mm-8.6mm)</w:t>
      </w:r>
      <w:r w:rsidR="002A1AB8">
        <w:t>, con un 50% de los aneurismas mayores de 5mm y otro 50% de los aneurismas iguales o menores de 5mm</w:t>
      </w:r>
      <w:r>
        <w:t>. Respecto al tamaño de los aneurismas también encontramos que eran similares a otros estudios. En el estudio presentado por Pierot et al. en 2009</w:t>
      </w:r>
      <w:r w:rsidR="009F7D3B">
        <w:t xml:space="preserve"> </w:t>
      </w:r>
      <w:r w:rsidR="009F7D3B">
        <w:fldChar w:fldCharType="begin"/>
      </w:r>
      <w:r w:rsidR="009F7D3B">
        <w:instrText xml:space="preserve"> ADDIN ZOTERO_ITEM CSL_CITATION {"citationID":"TRxIk5yu","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9F7D3B">
        <w:fldChar w:fldCharType="separate"/>
      </w:r>
      <w:r w:rsidR="009F7D3B" w:rsidRPr="009F7D3B">
        <w:rPr>
          <w:rFonts w:ascii="Calibri" w:hAnsi="Calibri" w:cs="Calibri"/>
        </w:rPr>
        <w:t>(17)</w:t>
      </w:r>
      <w:r w:rsidR="009F7D3B">
        <w:fldChar w:fldCharType="end"/>
      </w:r>
      <w:r w:rsidR="002A1AB8">
        <w:t>, para un mismo número de aneurismas, el 53.7% poseían un tamaño menor o igual a 6mm. Los aneurismas con mayor diámetro  de la muestra (&gt;5mm) se encontraron con mayor frecuencia en la ACI y la ACM, un 64.3%y un 21.4% respectivamente (Chi-Cuadrado p=0.</w:t>
      </w:r>
      <w:r w:rsidR="009F7D3B">
        <w:t>0</w:t>
      </w:r>
      <w:r w:rsidR="002A1AB8">
        <w:t xml:space="preserve">14). </w:t>
      </w:r>
      <w:r w:rsidR="00EF2744">
        <w:t>La mayoría de los aneurismas se localizaron en la circulación anterior (86.7%),</w:t>
      </w:r>
      <w:r w:rsidR="007E1D23">
        <w:t xml:space="preserve"> encontrando porcentajes similares en otros estudios como el ISUIA</w:t>
      </w:r>
      <w:r w:rsidR="009F7D3B">
        <w:t xml:space="preserve"> </w:t>
      </w:r>
      <w:r w:rsidR="009F7D3B">
        <w:fldChar w:fldCharType="begin"/>
      </w:r>
      <w:r w:rsidR="00342437">
        <w:instrText xml:space="preserve"> ADDIN ZOTERO_ITEM CSL_CITATION {"citationID":"5Szngklq","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Aneurysms"}],"issued":{"date-parts":[["1998"]]}},"label":"page"}],"schema":"https://github.com/citation-style-language/schema/raw/master/csl-citation.json"} </w:instrText>
      </w:r>
      <w:r w:rsidR="009F7D3B">
        <w:fldChar w:fldCharType="separate"/>
      </w:r>
      <w:r w:rsidR="00342437" w:rsidRPr="00342437">
        <w:rPr>
          <w:rFonts w:ascii="Calibri" w:hAnsi="Calibri" w:cs="Calibri"/>
        </w:rPr>
        <w:t>(5)</w:t>
      </w:r>
      <w:r w:rsidR="009F7D3B">
        <w:fldChar w:fldCharType="end"/>
      </w:r>
      <w:r w:rsidR="007E1D23">
        <w:t xml:space="preserve">. </w:t>
      </w:r>
      <w:r w:rsidR="00EF2744">
        <w:t xml:space="preserve"> </w:t>
      </w:r>
      <w:r w:rsidR="007E1D23">
        <w:t xml:space="preserve">Las </w:t>
      </w:r>
      <w:r w:rsidR="00EF2744">
        <w:t>localizaciones más frecuentes</w:t>
      </w:r>
      <w:r w:rsidR="007E1D23">
        <w:t xml:space="preserve"> de nuestros aneurismas</w:t>
      </w:r>
      <w:r w:rsidR="00EF2744">
        <w:t xml:space="preserve"> fueron</w:t>
      </w:r>
      <w:r w:rsidR="007E1D23">
        <w:t xml:space="preserve"> la ACI (43%) y ACoA (23.3%), siendo las localizaciones más frecuentes encontradas en la bibliografía la ACI y la ACM</w:t>
      </w:r>
      <w:r w:rsidR="00342437">
        <w:t xml:space="preserve"> </w:t>
      </w:r>
      <w:r w:rsidR="00342437">
        <w:fldChar w:fldCharType="begin"/>
      </w:r>
      <w:r w:rsidR="00342437">
        <w:instrText xml:space="preserve"> ADDIN ZOTERO_ITEM CSL_CITATION {"citationID":"jn8a290p","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342437">
        <w:fldChar w:fldCharType="separate"/>
      </w:r>
      <w:r w:rsidR="00342437" w:rsidRPr="00342437">
        <w:rPr>
          <w:rFonts w:ascii="Calibri" w:hAnsi="Calibri" w:cs="Calibri"/>
        </w:rPr>
        <w:t>(3)</w:t>
      </w:r>
      <w:r w:rsidR="00342437">
        <w:fldChar w:fldCharType="end"/>
      </w:r>
      <w:r w:rsidR="007E1D23">
        <w:t>,</w:t>
      </w:r>
      <w:r w:rsidR="00A019F6">
        <w:t xml:space="preserve"> aunque en un estudio publicado por Loumiotis et al.</w:t>
      </w:r>
      <w:r w:rsidR="009F7D3B">
        <w:t xml:space="preserve"> </w:t>
      </w:r>
      <w:r w:rsidR="009F7D3B">
        <w:fldChar w:fldCharType="begin"/>
      </w:r>
      <w:r w:rsidR="009F7D3B">
        <w:instrText xml:space="preserve"> ADDIN ZOTERO_ITEM CSL_CITATION {"citationID":"feX6yhk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9F7D3B">
        <w:t>,</w:t>
      </w:r>
      <w:r w:rsidR="00A019F6">
        <w:t xml:space="preserve"> para el grupo de pacientes tratados mediante TEV la </w:t>
      </w:r>
      <w:r w:rsidR="00275549">
        <w:t>localización</w:t>
      </w:r>
      <w:r w:rsidR="00A019F6">
        <w:t xml:space="preserve"> de los aneurismas fue muy similar a la </w:t>
      </w:r>
      <w:r w:rsidR="00342437">
        <w:t>de este estudio. Observamos</w:t>
      </w:r>
      <w:r w:rsidR="00E94B83">
        <w:t xml:space="preserve"> que existía relación entre la morfología de los aneurismas y su localización, teniendo los aneurismas saculares 19 veces más posibilidades de encontrarse en la circulación anterior (OR=19; IC 95%= 1.15-314.97; p=0.013). La ACI y la ACoA, fueron las localizaciones con mayor porcentaje de aneurismas </w:t>
      </w:r>
      <w:r w:rsidR="00E94B83">
        <w:lastRenderedPageBreak/>
        <w:t>sacular</w:t>
      </w:r>
      <w:r w:rsidR="00EF300A">
        <w:t>es. L</w:t>
      </w:r>
      <w:r w:rsidR="00E94B83">
        <w:t>a morfología más común de los aneurismas es la sacular y dichas localizaciones las más frecuentes de la muestra</w:t>
      </w:r>
      <w:r w:rsidR="00342437">
        <w:t xml:space="preserve">. Estas asociaciones encontradas respecto a la localización de los aneurismas, tanto la relación con el tamaño como con la morfología aneurismática, </w:t>
      </w:r>
      <w:r w:rsidR="00342437" w:rsidRPr="00342437">
        <w:t>podrían deberse a las condic</w:t>
      </w:r>
      <w:r w:rsidR="00342437">
        <w:t xml:space="preserve">iones hemodinámicas de cada </w:t>
      </w:r>
      <w:r w:rsidR="00EF300A">
        <w:t>lo</w:t>
      </w:r>
      <w:r w:rsidR="00342437">
        <w:t>c</w:t>
      </w:r>
      <w:r w:rsidR="00EF300A">
        <w:t>al</w:t>
      </w:r>
      <w:r w:rsidR="00342437">
        <w:t>ización.</w:t>
      </w:r>
      <w:r w:rsidR="00EF300A">
        <w:t xml:space="preserve"> </w:t>
      </w:r>
      <w:r w:rsidR="00342437">
        <w:t xml:space="preserve">De esta manera las características del flujo de la </w:t>
      </w:r>
      <w:r w:rsidR="00EF300A">
        <w:t>circulación</w:t>
      </w:r>
      <w:r w:rsidR="00342437">
        <w:t xml:space="preserve"> anterior, formarían</w:t>
      </w:r>
      <w:r w:rsidR="00E570DA">
        <w:t xml:space="preserve"> a</w:t>
      </w:r>
      <w:r w:rsidR="007D3DAF">
        <w:t>neurismas de morfología sacular</w:t>
      </w:r>
      <w:r w:rsidR="00E570DA">
        <w:t xml:space="preserve"> más frecuentemente</w:t>
      </w:r>
      <w:r w:rsidR="00342437">
        <w:t xml:space="preserve"> que la circulación posterior</w:t>
      </w:r>
      <w:r w:rsidR="00E94B83">
        <w:t>. Los aneurismas con morfología irregular o múltiples lobulaciones se encontraban un 66.7% en la circulación posterior, todos ellos en la arteria basilar</w:t>
      </w:r>
      <w:r w:rsidR="00E570DA">
        <w:t xml:space="preserve">. </w:t>
      </w:r>
      <w:r w:rsidR="00E94B83">
        <w:t>Esta localización es considerada en la literatura como factor de riesgo independiente</w:t>
      </w:r>
      <w:r w:rsidR="002E27BE">
        <w:t xml:space="preserve"> (Estudio ISUIA)</w:t>
      </w:r>
      <w:r w:rsidR="00DE2ABF" w:rsidRPr="00DE2ABF">
        <w:t xml:space="preserve"> </w:t>
      </w:r>
      <w:r w:rsidR="00DE2ABF">
        <w:fldChar w:fldCharType="begin"/>
      </w:r>
      <w:r w:rsidR="00DE2ABF">
        <w:instrText xml:space="preserve"> ADDIN ZOTERO_ITEM CSL_CITATION {"citationID":"oJK3dsix","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DE2ABF">
        <w:fldChar w:fldCharType="separate"/>
      </w:r>
      <w:r w:rsidR="00DE2ABF" w:rsidRPr="00342437">
        <w:rPr>
          <w:rFonts w:ascii="Calibri" w:hAnsi="Calibri" w:cs="Calibri"/>
        </w:rPr>
        <w:t>(4)</w:t>
      </w:r>
      <w:r w:rsidR="00DE2ABF">
        <w:fldChar w:fldCharType="end"/>
      </w:r>
      <w:r w:rsidR="002E27BE">
        <w:t>, lo que podría explicar por qué la localización posterior y los aneurismas localizados en dicha arteria tengan un peor pronóstico de la enfermedad</w:t>
      </w:r>
      <w:r w:rsidR="00CB2FCE">
        <w:fldChar w:fldCharType="begin"/>
      </w:r>
      <w:r w:rsidR="009F7D3B">
        <w:instrText xml:space="preserve"> ADDIN ZOTERO_ITEM CSL_CITATION {"citationID":"PgG5uWET","properties":{"formattedCitation":"(3\\uc0\\u8211{}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CB2FCE">
        <w:fldChar w:fldCharType="end"/>
      </w:r>
      <w:r w:rsidR="002E27BE">
        <w:t xml:space="preserve">. </w:t>
      </w:r>
    </w:p>
    <w:p w:rsidR="00155B07" w:rsidRDefault="00B17DA2" w:rsidP="00C90382">
      <w:pPr>
        <w:jc w:val="both"/>
      </w:pPr>
      <w:r>
        <w:t>En nuestra muestra encontramos un porcentaje menor de bebedores (17.9%) que en otros estudios como los ISUIA (31.4% y 27%)</w:t>
      </w:r>
      <w:r w:rsidR="00D2032E">
        <w:t xml:space="preserve"> </w:t>
      </w:r>
      <w:r w:rsidR="00D2032E">
        <w:fldChar w:fldCharType="begin"/>
      </w:r>
      <w:r w:rsidR="00D2032E">
        <w:instrText xml:space="preserve"> ADDIN ZOTERO_ITEM CSL_CITATION {"citationID":"4SwehhE0","properties":{"formattedCitation":"(4,5)","plainCitation":"(4,5)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D2032E">
        <w:fldChar w:fldCharType="separate"/>
      </w:r>
      <w:r w:rsidR="00D2032E" w:rsidRPr="009F7D3B">
        <w:rPr>
          <w:rFonts w:ascii="Calibri" w:hAnsi="Calibri" w:cs="Calibri"/>
        </w:rPr>
        <w:t>(4,5)</w:t>
      </w:r>
      <w:r w:rsidR="00D2032E">
        <w:fldChar w:fldCharType="end"/>
      </w:r>
      <w:r>
        <w:t xml:space="preserve">, </w:t>
      </w:r>
      <w:r w:rsidR="00DE2ABF">
        <w:t xml:space="preserve">siendo los pacientes varones </w:t>
      </w:r>
      <w:r w:rsidR="00155B07">
        <w:t>quienes</w:t>
      </w:r>
      <w:r>
        <w:t xml:space="preserve"> bebían con mayor frecuencia que las mujeres (p=0.005)</w:t>
      </w:r>
      <w:r w:rsidR="00155B07">
        <w:t xml:space="preserve">. </w:t>
      </w:r>
      <w:r w:rsidR="00275549">
        <w:t>Las pacientes</w:t>
      </w:r>
      <w:r w:rsidR="00155B07">
        <w:t xml:space="preserve"> presentaban clínica neurológica al diagnóstico con mayor frecuencia que los hombres</w:t>
      </w:r>
      <w:r w:rsidR="00AD5650">
        <w:t xml:space="preserve"> (p=0.046)</w:t>
      </w:r>
      <w:r w:rsidR="00155B07">
        <w:t>.</w:t>
      </w:r>
      <w:r w:rsidR="00275549">
        <w:t xml:space="preserve"> Respecto a la variable clínica neurológica,</w:t>
      </w:r>
      <w:r w:rsidR="00155B07">
        <w:t xml:space="preserve"> se recogió la presencia o ausencia de clínica neurológica al diagnóstico. En la literatura vemos que los estudios en los cuales se toman estos datos además </w:t>
      </w:r>
      <w:r w:rsidR="00AD5650">
        <w:t xml:space="preserve">se recoge </w:t>
      </w:r>
      <w:r w:rsidR="00155B07">
        <w:t xml:space="preserve">el tipo de clínica que presentan los pacientes, de manera que se pueden conocer las frecuencias y de esta manera definir qué </w:t>
      </w:r>
      <w:r w:rsidR="00AD5650">
        <w:t>sintomatología</w:t>
      </w:r>
      <w:r w:rsidR="00155B07">
        <w:t xml:space="preserve"> es la más frecuente de esta patología y si está en relación con la ruptura del aneurisma</w:t>
      </w:r>
      <w:r w:rsidR="00AD5650">
        <w:t>,</w:t>
      </w:r>
      <w:r w:rsidR="00155B07">
        <w:t xml:space="preserve"> para tratar de adelantarnos a ella. </w:t>
      </w:r>
      <w:r w:rsidR="00275549">
        <w:t>Por otro lado,</w:t>
      </w:r>
      <w:r w:rsidR="00AD5650">
        <w:t xml:space="preserve"> hallamos relación entre el consumo de alcohol y la existencia de clínica neurológica, los individuos que no consumían alcohol presentaban clínica neurológica más frecuentemente que los pacientes que consumían alcohol (p=0.046)</w:t>
      </w:r>
      <w:r w:rsidR="003F3631">
        <w:t xml:space="preserve">. No se encontró explicación para este fenómeno en la bibliografía. Podría deberse a un factor de confusión, puesto que encontramos relación entre el consumo de alcohol con el sexo y a su vez estas dos variables se asocian con la presencia de clínica neurológica. Tampoco se encontró descrita la asociación entre sexo y </w:t>
      </w:r>
      <w:r w:rsidR="003F3631">
        <w:lastRenderedPageBreak/>
        <w:t>clínica neurológica en otros estudios</w:t>
      </w:r>
      <w:r w:rsidR="004106F2">
        <w:t>. Al estar estas tres variables relacionadas entre sí, parece que podría existir alg</w:t>
      </w:r>
      <w:r w:rsidR="00275549">
        <w:t xml:space="preserve">ún tipo de factor </w:t>
      </w:r>
      <w:r w:rsidR="00CA238B">
        <w:t xml:space="preserve">-el cual </w:t>
      </w:r>
      <w:r w:rsidR="004106F2">
        <w:t>no ha sido identificado</w:t>
      </w:r>
      <w:r w:rsidR="00CA238B">
        <w:t>-</w:t>
      </w:r>
      <w:r w:rsidR="004106F2">
        <w:t xml:space="preserve"> detrás de estas asociaciones</w:t>
      </w:r>
      <w:r w:rsidR="003F3631">
        <w:t>.</w:t>
      </w:r>
    </w:p>
    <w:p w:rsidR="00F5485A" w:rsidRDefault="00F5485A" w:rsidP="0065069C">
      <w:pPr>
        <w:pStyle w:val="Ttulo2"/>
        <w:numPr>
          <w:ilvl w:val="0"/>
          <w:numId w:val="11"/>
        </w:numPr>
        <w:spacing w:line="360" w:lineRule="auto"/>
        <w:jc w:val="both"/>
        <w:rPr>
          <w:color w:val="404040" w:themeColor="text1" w:themeTint="BF"/>
        </w:rPr>
      </w:pPr>
      <w:bookmarkStart w:id="77" w:name="_Toc516070250"/>
      <w:r>
        <w:rPr>
          <w:color w:val="404040" w:themeColor="text1" w:themeTint="BF"/>
        </w:rPr>
        <w:t>Análisis de las complicaciones del tratamiento endovascular de 30 casos de aneurismas intracraneales incidentales</w:t>
      </w:r>
      <w:bookmarkEnd w:id="77"/>
    </w:p>
    <w:p w:rsidR="00E22737" w:rsidRDefault="00FC6D91" w:rsidP="00C90382">
      <w:pPr>
        <w:jc w:val="both"/>
      </w:pPr>
      <w:r>
        <w:t xml:space="preserve">En nuestro estudio encontramos complicaciones en 12 de los 30 casos (40%). Es un porcentaje mayor al que encontramos en otros estudios publicados. </w:t>
      </w:r>
      <w:r w:rsidR="00E22737">
        <w:t>En el estudio de Pierot et al.</w:t>
      </w:r>
      <w:r w:rsidR="00896F61">
        <w:t xml:space="preserve"> </w:t>
      </w:r>
      <w:r w:rsidR="00896F61">
        <w:fldChar w:fldCharType="begin"/>
      </w:r>
      <w:r w:rsidR="00896F61">
        <w:instrText xml:space="preserve"> ADDIN ZOTERO_ITEM CSL_CITATION {"citationID":"73i87Hge","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896F61">
        <w:fldChar w:fldCharType="separate"/>
      </w:r>
      <w:r w:rsidR="00896F61" w:rsidRPr="00896F61">
        <w:rPr>
          <w:rFonts w:ascii="Calibri" w:hAnsi="Calibri" w:cs="Calibri"/>
        </w:rPr>
        <w:t>(17)</w:t>
      </w:r>
      <w:r w:rsidR="00896F61">
        <w:fldChar w:fldCharType="end"/>
      </w:r>
      <w:r w:rsidR="00E22737">
        <w:t xml:space="preserve"> (</w:t>
      </w:r>
      <w:r w:rsidR="002E21E1">
        <w:t>Estudio</w:t>
      </w:r>
      <w:r w:rsidR="00E22737">
        <w:t xml:space="preserve"> ATENA</w:t>
      </w:r>
      <w:r w:rsidR="00434CBE">
        <w:t>) que</w:t>
      </w:r>
      <w:r w:rsidR="00E22737">
        <w:t xml:space="preserve"> compara la técnica de remodeling con el tratamiento con coils</w:t>
      </w:r>
      <w:r w:rsidR="00434CBE">
        <w:t>,</w:t>
      </w:r>
      <w:r w:rsidR="00E22737">
        <w:t xml:space="preserve"> se recogió un 11.2% de complicaciones en total, un porcentaje inferior al de nuestra muestra. Sin embargo en nuestro estudio todas las secuelas fueron transitorias, no hubo exitus ni secuelas</w:t>
      </w:r>
      <w:r w:rsidR="00000CD4">
        <w:t xml:space="preserve"> permanentes</w:t>
      </w:r>
      <w:r w:rsidR="00434CBE">
        <w:t>, a diferencia de otros trabajos de la bibliografía</w:t>
      </w:r>
      <w:r w:rsidR="00E22737">
        <w:t xml:space="preserve">. Nuestro estudio fue retrospectivo con un número pequeño de  casos </w:t>
      </w:r>
      <w:r w:rsidR="00434CBE">
        <w:t>y con un tiempo de seguimiento corto,</w:t>
      </w:r>
      <w:r w:rsidR="00E22737">
        <w:t xml:space="preserve"> lo que podría </w:t>
      </w:r>
      <w:r w:rsidR="00434CBE">
        <w:t>explicar la ausencia de trombosis, exitus y otro tipo de complicaciones más comunes en otros estudios. Respecto al elevado porcentaje de complicaciones en comparación a otros de la bibliografía, podría deberse a que reconocimos como complicación cualquier tipo de clínica o problema derivado del tratamiento endovascular</w:t>
      </w:r>
      <w:r w:rsidR="00000CD4">
        <w:t>, siendo todas ellas complicaciones menores</w:t>
      </w:r>
      <w:r w:rsidR="00434CBE">
        <w:t xml:space="preserve">. </w:t>
      </w:r>
      <w:r w:rsidR="00A16B8E">
        <w:t>No consideramos que la diferencia respecto al resto de estudios se deba a las características de nuestro centro, puesto que en el estudio ATENA</w:t>
      </w:r>
      <w:r w:rsidR="00000CD4">
        <w:t xml:space="preserve"> </w:t>
      </w:r>
      <w:r w:rsidR="00000CD4">
        <w:fldChar w:fldCharType="begin"/>
      </w:r>
      <w:r w:rsidR="00000CD4">
        <w:instrText xml:space="preserve"> ADDIN ZOTERO_ITEM CSL_CITATION {"citationID":"hxHDU3zV","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000CD4">
        <w:fldChar w:fldCharType="separate"/>
      </w:r>
      <w:r w:rsidR="00000CD4" w:rsidRPr="00000CD4">
        <w:rPr>
          <w:rFonts w:ascii="Calibri" w:hAnsi="Calibri" w:cs="Calibri"/>
        </w:rPr>
        <w:t>(11)</w:t>
      </w:r>
      <w:r w:rsidR="00000CD4">
        <w:fldChar w:fldCharType="end"/>
      </w:r>
      <w:r w:rsidR="00A16B8E">
        <w:t xml:space="preserve"> se descubrieron casos similares de complicaciones en centros que trataban 20 o menos pacientes por año y centros que </w:t>
      </w:r>
      <w:r w:rsidR="00000CD4">
        <w:t>traban más de 20 pacientes/año.</w:t>
      </w:r>
    </w:p>
    <w:p w:rsidR="0095286A" w:rsidRDefault="00866DF3" w:rsidP="00C90382">
      <w:pPr>
        <w:jc w:val="both"/>
      </w:pPr>
      <w:r>
        <w:t>Por otra parte encontramos</w:t>
      </w:r>
      <w:r w:rsidR="00216D3A">
        <w:t xml:space="preserve"> otros estudios como el realizado por McDonald et al.</w:t>
      </w:r>
      <w:r w:rsidR="00000CD4">
        <w:t xml:space="preserve"> </w:t>
      </w:r>
      <w:r w:rsidR="00000CD4">
        <w:fldChar w:fldCharType="begin"/>
      </w:r>
      <w:r w:rsidR="00000CD4">
        <w:instrText xml:space="preserve"> ADDIN ZOTERO_ITEM CSL_CITATION {"citationID":"LSa67J24","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rsidR="00000CD4">
        <w:fldChar w:fldCharType="separate"/>
      </w:r>
      <w:r w:rsidR="00000CD4" w:rsidRPr="00000CD4">
        <w:rPr>
          <w:rFonts w:ascii="Calibri" w:hAnsi="Calibri" w:cs="Calibri"/>
        </w:rPr>
        <w:t>(10)</w:t>
      </w:r>
      <w:r w:rsidR="00000CD4">
        <w:fldChar w:fldCharType="end"/>
      </w:r>
      <w:r>
        <w:t xml:space="preserve"> que compara el tratamiento endovascular y el clipaje quirúrgico. </w:t>
      </w:r>
      <w:r w:rsidR="00786BDC">
        <w:t>En él s</w:t>
      </w:r>
      <w:r>
        <w:t xml:space="preserve">e vio que en los pacientes sometidos a cirugía </w:t>
      </w:r>
      <w:r w:rsidR="00786BDC">
        <w:t xml:space="preserve">tenían un riesgo mayor de resultados adversos y complicaciones que quienes recibieron tratamiento endovascular, aunque realmente en estos estudios siempre se </w:t>
      </w:r>
      <w:r w:rsidR="00786BDC">
        <w:lastRenderedPageBreak/>
        <w:t>comete un sesgo de selección, puesto que la decisión de que un paciente se someta a un tratamiento u otro no es aleatoria. Es decir, que estos resultados no son realmente comparables. También encontramos en diversos estudios como por ejemplo</w:t>
      </w:r>
      <w:r w:rsidR="00F63C6C">
        <w:t xml:space="preserve"> el ISUIA</w:t>
      </w:r>
      <w:r w:rsidR="00000CD4">
        <w:t xml:space="preserve"> </w:t>
      </w:r>
      <w:r w:rsidR="00000CD4">
        <w:fldChar w:fldCharType="begin"/>
      </w:r>
      <w:r w:rsidR="00000CD4">
        <w:instrText xml:space="preserve"> ADDIN ZOTERO_ITEM CSL_CITATION {"citationID":"Qkt1UYYt","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000CD4">
        <w:fldChar w:fldCharType="separate"/>
      </w:r>
      <w:r w:rsidR="00000CD4" w:rsidRPr="00000CD4">
        <w:rPr>
          <w:rFonts w:ascii="Calibri" w:hAnsi="Calibri" w:cs="Calibri"/>
        </w:rPr>
        <w:t>(4)</w:t>
      </w:r>
      <w:r w:rsidR="00000CD4">
        <w:fldChar w:fldCharType="end"/>
      </w:r>
      <w:r w:rsidR="00F63C6C">
        <w:t xml:space="preserve"> que la edad constituye un factor de riesgo para peores resultados. En este estudio se observó que los resultados del TEV no eran tan dependientes de la edad como el tratamiento quirúrgico</w:t>
      </w:r>
      <w:r w:rsidR="00786BDC">
        <w:t xml:space="preserve">  </w:t>
      </w:r>
      <w:r w:rsidR="00F63C6C">
        <w:t>de cara a obtener un mayor número de resultados adversos. En nuestro estudio no encontramos relación entre complicaciones y edad de los pacientes, aunque sí que advertimos</w:t>
      </w:r>
      <w:r w:rsidR="00E0766D">
        <w:t xml:space="preserve"> que los pacientes que tenía</w:t>
      </w:r>
      <w:r w:rsidR="00000CD4">
        <w:t>n</w:t>
      </w:r>
      <w:r w:rsidR="00E0766D">
        <w:t xml:space="preserve"> 60 años o menos no presentaban comorbilidades con 10.67 más probabilidades que los pacientes mayores de 60 años (IC 95% 1.12-101.34 p=0.02)</w:t>
      </w:r>
      <w:r w:rsidR="00225566">
        <w:t>.</w:t>
      </w:r>
    </w:p>
    <w:p w:rsidR="007634F5" w:rsidRDefault="007634F5" w:rsidP="00C90382">
      <w:pPr>
        <w:jc w:val="both"/>
      </w:pPr>
      <w:r>
        <w:t>En el estudio publicado por Wanke et al.</w:t>
      </w:r>
      <w:r w:rsidR="00000CD4">
        <w:t xml:space="preserve"> </w:t>
      </w:r>
      <w:r w:rsidR="00000CD4">
        <w:fldChar w:fldCharType="begin"/>
      </w:r>
      <w:r w:rsidR="00000CD4">
        <w:instrText xml:space="preserve"> ADDIN ZOTERO_ITEM CSL_CITATION {"citationID":"ejYVXsLx","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000CD4">
        <w:fldChar w:fldCharType="separate"/>
      </w:r>
      <w:r w:rsidR="00000CD4" w:rsidRPr="00000CD4">
        <w:rPr>
          <w:rFonts w:ascii="Calibri" w:hAnsi="Calibri" w:cs="Calibri"/>
        </w:rPr>
        <w:t>(18)</w:t>
      </w:r>
      <w:r w:rsidR="00000CD4">
        <w:fldChar w:fldCharType="end"/>
      </w:r>
      <w:r>
        <w:t xml:space="preserve"> </w:t>
      </w:r>
      <w:r w:rsidR="00D84486">
        <w:t xml:space="preserve">se </w:t>
      </w:r>
      <w:r>
        <w:t>concluye que el tratamiento endovascular constituye una alternativa válida al tratamiento con clip quirúrgico,</w:t>
      </w:r>
      <w:r w:rsidR="00D84486">
        <w:t xml:space="preserve"> incluso afirma</w:t>
      </w:r>
      <w:r>
        <w:t xml:space="preserve"> que debería considerarse como primera opción puesto que posee un coste y morbimortalidad menores para aneurismas de cualquier localización. En nuestro caso tampoco encontramos relación entre localización de los aneurismas y una diferente tasa de complicaciones.</w:t>
      </w:r>
    </w:p>
    <w:p w:rsidR="003208FC" w:rsidRDefault="00F5485A" w:rsidP="0065069C">
      <w:pPr>
        <w:pStyle w:val="Ttulo2"/>
        <w:numPr>
          <w:ilvl w:val="0"/>
          <w:numId w:val="11"/>
        </w:numPr>
        <w:spacing w:line="360" w:lineRule="auto"/>
        <w:jc w:val="both"/>
        <w:rPr>
          <w:color w:val="404040" w:themeColor="text1" w:themeTint="BF"/>
        </w:rPr>
      </w:pPr>
      <w:bookmarkStart w:id="78" w:name="_Toc516070251"/>
      <w:r>
        <w:rPr>
          <w:color w:val="404040" w:themeColor="text1" w:themeTint="BF"/>
        </w:rPr>
        <w:t xml:space="preserve">Análisis de la seguridad del proceso endovascular frente al manejo </w:t>
      </w:r>
      <w:r w:rsidR="00DE7F9B">
        <w:rPr>
          <w:color w:val="404040" w:themeColor="text1" w:themeTint="BF"/>
        </w:rPr>
        <w:t>conservador</w:t>
      </w:r>
      <w:r>
        <w:rPr>
          <w:color w:val="404040" w:themeColor="text1" w:themeTint="BF"/>
        </w:rPr>
        <w:t xml:space="preserve"> en aneurismas incidentales</w:t>
      </w:r>
      <w:bookmarkEnd w:id="78"/>
    </w:p>
    <w:p w:rsidR="00FB0185" w:rsidRDefault="00000CD4" w:rsidP="00C90382">
      <w:pPr>
        <w:jc w:val="both"/>
      </w:pPr>
      <w:r>
        <w:t>N</w:t>
      </w:r>
      <w:r w:rsidR="00FB0185">
        <w:t xml:space="preserve">inguna de </w:t>
      </w:r>
      <w:r>
        <w:t xml:space="preserve">las </w:t>
      </w:r>
      <w:r w:rsidR="00FB0185">
        <w:t>complicaciones</w:t>
      </w:r>
      <w:r>
        <w:t xml:space="preserve"> que se dieron</w:t>
      </w:r>
      <w:r w:rsidR="00FB0185">
        <w:t xml:space="preserve"> dejó secuelas</w:t>
      </w:r>
      <w:r>
        <w:t xml:space="preserve"> permanentes</w:t>
      </w:r>
      <w:r w:rsidR="00FB0185">
        <w:t xml:space="preserve">, no hubo roturas aneurismáticas periprocedimentales, </w:t>
      </w:r>
      <w:r w:rsidR="002E6972">
        <w:t xml:space="preserve">eventos </w:t>
      </w:r>
      <w:r w:rsidR="00FB0185">
        <w:t>trombo</w:t>
      </w:r>
      <w:r w:rsidR="002E6972">
        <w:t>embólicos</w:t>
      </w:r>
      <w:r w:rsidR="00FB0185">
        <w:t xml:space="preserve"> ni exitus. En el estudio ATENA </w:t>
      </w:r>
      <w:r w:rsidR="004972A7">
        <w:t>publicado e</w:t>
      </w:r>
      <w:r w:rsidR="00FB0185">
        <w:t>l 2009</w:t>
      </w:r>
      <w:r>
        <w:t xml:space="preserve"> </w:t>
      </w:r>
      <w:r>
        <w:fldChar w:fldCharType="begin"/>
      </w:r>
      <w:r>
        <w:instrText xml:space="preserve"> ADDIN ZOTERO_ITEM CSL_CITATION {"citationID":"5VF7tWEL","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fldChar w:fldCharType="separate"/>
      </w:r>
      <w:r w:rsidRPr="00000CD4">
        <w:rPr>
          <w:rFonts w:ascii="Calibri" w:hAnsi="Calibri" w:cs="Calibri"/>
        </w:rPr>
        <w:t>(17)</w:t>
      </w:r>
      <w:r>
        <w:fldChar w:fldCharType="end"/>
      </w:r>
      <w:r w:rsidR="00FB0185">
        <w:t xml:space="preserve"> se obtuvieron unos datos de complicaciones similares</w:t>
      </w:r>
      <w:r w:rsidR="00935317">
        <w:t xml:space="preserve"> a los hallados en nuestro estudio</w:t>
      </w:r>
      <w:r w:rsidR="00FB0185">
        <w:t xml:space="preserve"> en cuanto a gravedad, puesto que </w:t>
      </w:r>
      <w:r w:rsidR="002E6972">
        <w:t>no</w:t>
      </w:r>
      <w:r w:rsidR="00FB0185">
        <w:t xml:space="preserve"> se produjeron exitus ni complicaciones con secuelas durante su estudio, aunque el porcentaje </w:t>
      </w:r>
      <w:r w:rsidR="00935317">
        <w:t>total de complicaciones</w:t>
      </w:r>
      <w:r w:rsidR="00FB0185">
        <w:t xml:space="preserve"> sí que fue menor</w:t>
      </w:r>
      <w:r>
        <w:t xml:space="preserve"> al no contabilizar complicaciones menores</w:t>
      </w:r>
      <w:r w:rsidR="00545119">
        <w:t>.</w:t>
      </w:r>
      <w:r w:rsidR="00545119" w:rsidRPr="00545119">
        <w:t xml:space="preserve"> </w:t>
      </w:r>
      <w:r w:rsidR="00545119">
        <w:t>McDonald et al.</w:t>
      </w:r>
      <w:r>
        <w:t xml:space="preserve"> </w:t>
      </w:r>
      <w:r>
        <w:fldChar w:fldCharType="begin"/>
      </w:r>
      <w:r>
        <w:instrText xml:space="preserve"> ADDIN ZOTERO_ITEM CSL_CITATION {"citationID":"2P3sAEzR","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Pr="00000CD4">
        <w:rPr>
          <w:rFonts w:ascii="Calibri" w:hAnsi="Calibri" w:cs="Calibri"/>
        </w:rPr>
        <w:t>(10)</w:t>
      </w:r>
      <w:r>
        <w:fldChar w:fldCharType="end"/>
      </w:r>
      <w:r w:rsidR="00545119">
        <w:t xml:space="preserve"> publicaron un estudio en 2013 comparando las técnicas endovasculares remodeling y colis. </w:t>
      </w:r>
      <w:r w:rsidR="00545119" w:rsidRPr="00FE78C1">
        <w:t>Observaron que la tendencia en los últimos años había sido favorable al TEV</w:t>
      </w:r>
      <w:r w:rsidR="00FE78C1" w:rsidRPr="00FE78C1">
        <w:t xml:space="preserve">. Según datos </w:t>
      </w:r>
      <w:r w:rsidR="00566C1F">
        <w:t xml:space="preserve">sacados del </w:t>
      </w:r>
      <w:r w:rsidR="00566C1F" w:rsidRPr="00566C1F">
        <w:t>Nation</w:t>
      </w:r>
      <w:r w:rsidR="004625BB">
        <w:t>al</w:t>
      </w:r>
      <w:r w:rsidR="00566C1F" w:rsidRPr="00566C1F">
        <w:t xml:space="preserve"> </w:t>
      </w:r>
      <w:r w:rsidR="00566C1F" w:rsidRPr="00566C1F">
        <w:lastRenderedPageBreak/>
        <w:t>Inpatient Sample</w:t>
      </w:r>
      <w:r w:rsidR="00566C1F">
        <w:t xml:space="preserve"> (Estados Unidos)</w:t>
      </w:r>
      <w:r w:rsidR="00FE78C1">
        <w:t xml:space="preserve"> en 2001</w:t>
      </w:r>
      <w:r w:rsidR="000D6641">
        <w:t xml:space="preserve"> el porcentaje de pacientes con manejo mediante TEV fue del 20%, ascendiendo hasta el 63% en 2008</w:t>
      </w:r>
      <w:r w:rsidR="00EB2D50">
        <w:t xml:space="preserve"> </w:t>
      </w:r>
      <w:r w:rsidR="00EB2D50">
        <w:fldChar w:fldCharType="begin"/>
      </w:r>
      <w:r w:rsidR="00EB2D50">
        <w:instrText xml:space="preserve"> ADDIN ZOTERO_ITEM CSL_CITATION {"citationID":"4m7VWJYD","properties":{"formattedCitation":"(19)","plainCitation":"(19)","noteIndex":0},"citationItems":[{"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EB2D50">
        <w:fldChar w:fldCharType="separate"/>
      </w:r>
      <w:r w:rsidR="00EB2D50" w:rsidRPr="00EB2D50">
        <w:rPr>
          <w:rFonts w:ascii="Calibri" w:hAnsi="Calibri" w:cs="Calibri"/>
        </w:rPr>
        <w:t>(19)</w:t>
      </w:r>
      <w:r w:rsidR="00EB2D50">
        <w:fldChar w:fldCharType="end"/>
      </w:r>
      <w:r w:rsidR="000D6641">
        <w:t>.</w:t>
      </w:r>
      <w:r w:rsidR="00FE78C1" w:rsidRPr="00FE78C1">
        <w:t xml:space="preserve"> </w:t>
      </w:r>
      <w:r w:rsidR="00545119" w:rsidRPr="00FE78C1">
        <w:t>Aunque los casos no son comparables debido a que aún no se ha realizado un estudio aleatorizado, se vio que los centro que proponían el TEV a los pacientes como primera opción obtenían mejores resultados. En nuestro estudio todos los pacientes recibieron</w:t>
      </w:r>
      <w:r w:rsidR="00545119">
        <w:t xml:space="preserve"> TEV, no hubo ningún paciente sin tratar o que </w:t>
      </w:r>
      <w:r w:rsidR="00EB2D50">
        <w:t>recibiera tratamiento quirúrgico</w:t>
      </w:r>
      <w:r w:rsidR="00545119">
        <w:t>.</w:t>
      </w:r>
    </w:p>
    <w:p w:rsidR="00545119" w:rsidRDefault="00545119" w:rsidP="00C90382">
      <w:pPr>
        <w:jc w:val="both"/>
      </w:pPr>
      <w:r>
        <w:t>Esta tendencia hacia el TEV como primera opción se debe a que las técnicas endovasculares son más seguras como se puede advertir en la bibliografía, y además estas técnicas han ido avanzando y desarrollándose</w:t>
      </w:r>
      <w:r w:rsidR="007579CE">
        <w:t>. Un análisis del NIS descubrió que</w:t>
      </w:r>
      <w:r>
        <w:t xml:space="preserve"> </w:t>
      </w:r>
      <w:r w:rsidR="007579CE">
        <w:t>el porcentaje de pacientes que requirieron cuidados a largo plazo tras cirugía fue del 14%, mientras que en los tratados con coils fue del 4.9%</w:t>
      </w:r>
      <w:r w:rsidR="001C0D47">
        <w:t xml:space="preserve"> </w:t>
      </w:r>
      <w:r w:rsidR="00EB2D50">
        <w:fldChar w:fldCharType="begin"/>
      </w:r>
      <w:r w:rsidR="00EB2D50">
        <w:instrText xml:space="preserve"> ADDIN ZOTERO_ITEM CSL_CITATION {"citationID":"OvKR5ksa","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EB2D50">
        <w:fldChar w:fldCharType="separate"/>
      </w:r>
      <w:r w:rsidR="00EB2D50" w:rsidRPr="00EB2D50">
        <w:rPr>
          <w:rFonts w:ascii="Calibri" w:hAnsi="Calibri" w:cs="Calibri"/>
        </w:rPr>
        <w:t>(18)</w:t>
      </w:r>
      <w:r w:rsidR="00EB2D50">
        <w:fldChar w:fldCharType="end"/>
      </w:r>
      <w:r w:rsidR="007579CE">
        <w:t xml:space="preserve">. A medida que la tendencia </w:t>
      </w:r>
      <w:r w:rsidR="00061283">
        <w:t>a escoger</w:t>
      </w:r>
      <w:r w:rsidR="007579CE">
        <w:t xml:space="preserve"> TEV para los aneurismas aumentaba, también descendía </w:t>
      </w:r>
      <w:r w:rsidR="00284E6F">
        <w:t>la tasa de resultados adversos en los pacientes que recibían tratamiento para sus aneurismas, de 14.8% en 2001 a 7.6% e</w:t>
      </w:r>
      <w:r w:rsidR="00061283">
        <w:t>n</w:t>
      </w:r>
      <w:r w:rsidR="00284E6F">
        <w:t xml:space="preserve"> 2008</w:t>
      </w:r>
      <w:r w:rsidR="001C0D47">
        <w:t xml:space="preserve"> </w:t>
      </w:r>
      <w:r w:rsidR="001C0D47">
        <w:fldChar w:fldCharType="begin"/>
      </w:r>
      <w:r w:rsidR="001C0D47">
        <w:instrText xml:space="preserve"> ADDIN ZOTERO_ITEM CSL_CITATION {"citationID":"pvCpAPOV","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C0D47">
        <w:fldChar w:fldCharType="separate"/>
      </w:r>
      <w:r w:rsidR="001C0D47" w:rsidRPr="00EB2D50">
        <w:rPr>
          <w:rFonts w:ascii="Calibri" w:hAnsi="Calibri" w:cs="Calibri"/>
        </w:rPr>
        <w:t>(3)</w:t>
      </w:r>
      <w:r w:rsidR="001C0D47">
        <w:fldChar w:fldCharType="end"/>
      </w:r>
      <w:r w:rsidR="00284E6F">
        <w:t>. Estos resultados no distinguen aneurismas rotos de no rotos, y se atribuyeron al desarrollo de estas técnicas. Los avances conseguidos y la experiencia han logrado un aumento importante de la seguridad y además una mejora en la técnica</w:t>
      </w:r>
      <w:r w:rsidR="007579CE">
        <w:t xml:space="preserve"> </w:t>
      </w:r>
      <w:r>
        <w:t>hasta</w:t>
      </w:r>
      <w:r w:rsidR="00FE78C1">
        <w:t xml:space="preserve"> el punto que no hallamos grandes diferencias entre el grado de oclusión obtenido mediante TEV</w:t>
      </w:r>
      <w:r w:rsidR="001C0D47">
        <w:t xml:space="preserve"> y mediante clipaje quirúrgico.</w:t>
      </w:r>
    </w:p>
    <w:p w:rsidR="00670928" w:rsidRDefault="00284E6F" w:rsidP="00C90382">
      <w:pPr>
        <w:jc w:val="both"/>
      </w:pPr>
      <w:r>
        <w:t xml:space="preserve">En nuestro estudio se obtuvo un </w:t>
      </w:r>
      <w:r w:rsidR="00670928">
        <w:t>86.7% de oclusión completa.</w:t>
      </w:r>
      <w:r>
        <w:t xml:space="preserve"> En otros estudios como los estudios ATENA publicados en 2008 y 2010</w:t>
      </w:r>
      <w:r w:rsidR="001C0D47">
        <w:t xml:space="preserve"> </w:t>
      </w:r>
      <w:r w:rsidR="001C0D47">
        <w:fldChar w:fldCharType="begin"/>
      </w:r>
      <w:r w:rsidR="001C0D47">
        <w:instrText xml:space="preserve"> ADDIN ZOTERO_ITEM CSL_CITATION {"citationID":"5knOWL2s","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schema":"https://github.com/citation-style-language/schema/raw/master/csl-citation.json"} </w:instrText>
      </w:r>
      <w:r w:rsidR="001C0D47">
        <w:fldChar w:fldCharType="separate"/>
      </w:r>
      <w:r w:rsidR="001C0D47" w:rsidRPr="009F7D3B">
        <w:rPr>
          <w:rFonts w:ascii="Calibri" w:hAnsi="Calibri" w:cs="Calibri"/>
        </w:rPr>
        <w:t>(13,14)</w:t>
      </w:r>
      <w:r w:rsidR="001C0D47">
        <w:fldChar w:fldCharType="end"/>
      </w:r>
      <w:r w:rsidR="009556E9">
        <w:t xml:space="preserve">, obtuvieron un 80.7% y un 85.4% respectivamente de oclusión satisfactoria, resultados similares a los de este estudio. </w:t>
      </w:r>
      <w:r w:rsidR="00670928">
        <w:t xml:space="preserve">Según </w:t>
      </w:r>
      <w:r w:rsidR="00371ABF">
        <w:t>estos estudios el grado de obliteración</w:t>
      </w:r>
      <w:r w:rsidR="00670928">
        <w:t xml:space="preserve"> varía según</w:t>
      </w:r>
      <w:r w:rsidR="00371ABF">
        <w:t xml:space="preserve"> el diámetro del aneurisma</w:t>
      </w:r>
      <w:r w:rsidR="0091532B">
        <w:t xml:space="preserve">, sin influir </w:t>
      </w:r>
      <w:r w:rsidR="00670928">
        <w:t>la localización</w:t>
      </w:r>
      <w:r w:rsidR="00247854">
        <w:t xml:space="preserve"> de los mismos. En este estudio no se encontró que el grado de oclusión variara con ninguno de ellos. </w:t>
      </w:r>
      <w:r w:rsidR="009B2A20">
        <w:t>Además obtuvieron mayor grado de oclusión en menores de 65 años</w:t>
      </w:r>
      <w:r w:rsidR="00FD69E3">
        <w:t>, este fenómeno tampoco se reprodujo en nuestro estudio</w:t>
      </w:r>
      <w:r w:rsidR="001C0D47">
        <w:t>.</w:t>
      </w:r>
    </w:p>
    <w:p w:rsidR="00701174" w:rsidRDefault="006F3359" w:rsidP="00C90382">
      <w:pPr>
        <w:jc w:val="both"/>
      </w:pPr>
      <w:r>
        <w:lastRenderedPageBreak/>
        <w:t>Actualmente aún no existe un algoritmo válido para el manejo de</w:t>
      </w:r>
      <w:r w:rsidR="0087555B">
        <w:t xml:space="preserve"> </w:t>
      </w:r>
      <w:r>
        <w:t>los aneurismas incidentales, ya que aún no se ha realizado un estudio prospectivo aleatorizado</w:t>
      </w:r>
      <w:r w:rsidR="0087555B">
        <w:t xml:space="preserve"> comparando TEV con manejo conservador</w:t>
      </w:r>
      <w:r>
        <w:t>. Este tipo de estudios son la mejor herramienta que poseemos para resolver estas cuestiones.</w:t>
      </w:r>
      <w:r w:rsidR="0087555B">
        <w:t xml:space="preserve"> Para Wanke et al.</w:t>
      </w:r>
      <w:r w:rsidR="001C0D47">
        <w:t xml:space="preserve"> </w:t>
      </w:r>
      <w:r w:rsidR="001C0D47">
        <w:fldChar w:fldCharType="begin"/>
      </w:r>
      <w:r w:rsidR="001C0D47">
        <w:instrText xml:space="preserve"> ADDIN ZOTERO_ITEM CSL_CITATION {"citationID":"ulbg8s6C","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1C0D47">
        <w:fldChar w:fldCharType="separate"/>
      </w:r>
      <w:r w:rsidR="001C0D47" w:rsidRPr="001C0D47">
        <w:rPr>
          <w:rFonts w:ascii="Calibri" w:hAnsi="Calibri" w:cs="Calibri"/>
        </w:rPr>
        <w:t>(18)</w:t>
      </w:r>
      <w:r w:rsidR="001C0D47">
        <w:fldChar w:fldCharType="end"/>
      </w:r>
      <w:r w:rsidR="0087555B">
        <w:t xml:space="preserve"> el TEV debería ser la primera opción</w:t>
      </w:r>
      <w:r w:rsidR="001A0875">
        <w:t xml:space="preserve"> de tratamiento</w:t>
      </w:r>
      <w:r w:rsidR="0087555B">
        <w:t>, puesto que además de tener una morbimortalidad menor que el tratamiento quirúrgico su coste también es menor</w:t>
      </w:r>
      <w:r w:rsidR="001C0D47">
        <w:t xml:space="preserve">, debido a que requiere menos cuidados. </w:t>
      </w:r>
      <w:r w:rsidR="0087555B">
        <w:t>El TEV puede aplicarse independientemente de la localización del aneurisma, no es</w:t>
      </w:r>
      <w:r w:rsidR="005144E1">
        <w:t xml:space="preserve"> ta</w:t>
      </w:r>
      <w:r w:rsidR="0087555B">
        <w:t xml:space="preserve">n dependiente de la edad como </w:t>
      </w:r>
      <w:r w:rsidR="00061283">
        <w:t xml:space="preserve">lo es </w:t>
      </w:r>
      <w:r w:rsidR="0087555B">
        <w:t>la cirugía</w:t>
      </w:r>
      <w:r w:rsidR="005144E1">
        <w:t xml:space="preserve"> y es m</w:t>
      </w:r>
      <w:r w:rsidR="001A0875">
        <w:t>ás seguro</w:t>
      </w:r>
      <w:r w:rsidR="00061283">
        <w:t xml:space="preserve"> que ésta </w:t>
      </w:r>
      <w:r w:rsidR="00371ABF">
        <w:fldChar w:fldCharType="begin"/>
      </w:r>
      <w:r w:rsidR="001C0D47">
        <w:instrText xml:space="preserve"> ADDIN ZOTERO_ITEM CSL_CITATION {"citationID":"2AxIbOqH","properties":{"formattedCitation":"(5,9)","plainCitation":"(5,9)","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371ABF">
        <w:fldChar w:fldCharType="separate"/>
      </w:r>
      <w:r w:rsidR="001C0D47" w:rsidRPr="001C0D47">
        <w:rPr>
          <w:rFonts w:ascii="Calibri" w:hAnsi="Calibri" w:cs="Calibri"/>
        </w:rPr>
        <w:t>(5,9)</w:t>
      </w:r>
      <w:r w:rsidR="00371ABF">
        <w:fldChar w:fldCharType="end"/>
      </w:r>
      <w:r w:rsidR="001A0875">
        <w:t>.</w:t>
      </w:r>
    </w:p>
    <w:p w:rsidR="00087ABF" w:rsidRPr="00087ABF" w:rsidRDefault="00061283" w:rsidP="00C90382">
      <w:pPr>
        <w:jc w:val="both"/>
      </w:pPr>
      <w:r>
        <w:t>Respecto a cu</w:t>
      </w:r>
      <w:r w:rsidR="007F6595">
        <w:t>ándo intervenir y cuá</w:t>
      </w:r>
      <w:r>
        <w:t xml:space="preserve">ndo escoger manejo conservador, aún no existen unas líneas claras. Los estudios que encontramos en la bibliografía son estudios no aleatorizados, </w:t>
      </w:r>
      <w:r w:rsidR="002E21E1">
        <w:t xml:space="preserve">de manera </w:t>
      </w:r>
      <w:r>
        <w:t xml:space="preserve">que los grupos para los </w:t>
      </w:r>
      <w:r w:rsidR="002E21E1">
        <w:t>cuales</w:t>
      </w:r>
      <w:r>
        <w:t xml:space="preserve"> se decide tratamiento conservador y para los que se dec</w:t>
      </w:r>
      <w:r w:rsidR="007F6595">
        <w:t>id</w:t>
      </w:r>
      <w:r>
        <w:t>e TEV son grupos con diferentes características,</w:t>
      </w:r>
      <w:r w:rsidR="007F6595">
        <w:t xml:space="preserve"> no comparables, puesto que posiblemente los aneurismas pertenecientes al grupo de observación tengan un comportamiento más benigno. Aunque el TEV sea una técnica segura, sus riesgos no son </w:t>
      </w:r>
      <w:r w:rsidR="001C0D47">
        <w:t>inexistentes</w:t>
      </w:r>
      <w:r w:rsidR="007F6595">
        <w:t xml:space="preserve">. De la misma manera que aunque los aneurismas tengan un riesgo de ruptura a corto plazo bajo, </w:t>
      </w:r>
      <w:r w:rsidR="002E21E1">
        <w:t xml:space="preserve">este riesgo </w:t>
      </w:r>
      <w:r w:rsidR="001C0D47">
        <w:t>tampoco es inexistente</w:t>
      </w:r>
      <w:r w:rsidR="007F6595">
        <w:t xml:space="preserve">. Debería realizarse tratamiento cuando el  riesgo de ruptura supere al de la intervención. En el estudio ISUIA </w:t>
      </w:r>
      <w:r w:rsidR="001C0D47">
        <w:fldChar w:fldCharType="begin"/>
      </w:r>
      <w:r w:rsidR="001C0D47">
        <w:instrText xml:space="preserve"> ADDIN ZOTERO_ITEM CSL_CITATION {"citationID":"QsxDqOzU","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1C0D47">
        <w:fldChar w:fldCharType="separate"/>
      </w:r>
      <w:r w:rsidR="001C0D47" w:rsidRPr="001C0D47">
        <w:rPr>
          <w:rFonts w:ascii="Calibri" w:hAnsi="Calibri" w:cs="Calibri"/>
        </w:rPr>
        <w:t>(4)</w:t>
      </w:r>
      <w:r w:rsidR="001C0D47">
        <w:fldChar w:fldCharType="end"/>
      </w:r>
      <w:r w:rsidR="001C0D47">
        <w:t xml:space="preserve"> </w:t>
      </w:r>
      <w:r w:rsidR="007F6595">
        <w:t>consideraron que los aneurismas menores de 7mm en la circulación tenían tan bajo riesgo que era preferible no tratarlos. Para Loumiotis et al.</w:t>
      </w:r>
      <w:r w:rsidR="001C0D47">
        <w:t xml:space="preserve"> </w:t>
      </w:r>
      <w:r w:rsidR="001C0D47">
        <w:fldChar w:fldCharType="begin"/>
      </w:r>
      <w:r w:rsidR="001C0D47">
        <w:instrText xml:space="preserve"> ADDIN ZOTERO_ITEM CSL_CITATION {"citationID":"aYO8tRg8","properties":{"formattedCitation":"(19)","plainCitation":"(19)","noteIndex":0},"citationItems":[{"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1C0D47">
        <w:fldChar w:fldCharType="separate"/>
      </w:r>
      <w:r w:rsidR="001C0D47" w:rsidRPr="001C0D47">
        <w:rPr>
          <w:rFonts w:ascii="Calibri" w:hAnsi="Calibri" w:cs="Calibri"/>
        </w:rPr>
        <w:t>(19)</w:t>
      </w:r>
      <w:r w:rsidR="001C0D47">
        <w:fldChar w:fldCharType="end"/>
      </w:r>
      <w:r w:rsidR="007F6595">
        <w:t xml:space="preserve"> menos de la mitad de los aneurismas requieren tratamiento, </w:t>
      </w:r>
      <w:r w:rsidR="002E21E1">
        <w:t>únicamente</w:t>
      </w:r>
      <w:r w:rsidR="007F6595">
        <w:t xml:space="preserve"> los aneurismas cuyas características indicaran un mayor riesgo de ruptura. </w:t>
      </w:r>
      <w:r w:rsidR="002E21E1">
        <w:t>A</w:t>
      </w:r>
      <w:r w:rsidR="007F6595">
        <w:t xml:space="preserve">neurismas pequeños, en localizaciones no malignas, con tamaño estable a lo largo del tiempo, en un paciente mayor sin antecedentes de HSA, no </w:t>
      </w:r>
      <w:r w:rsidR="002E21E1">
        <w:t>tendrían indicación para ser intervenidos. Para estos pacientes con manejo conservador, habría que controlar los factores de riesgo cardiovascular, sobre todo  el tabaco  y la hipertensión arterial,</w:t>
      </w:r>
      <w:r w:rsidR="007F6595">
        <w:t xml:space="preserve"> </w:t>
      </w:r>
      <w:r w:rsidR="002E21E1">
        <w:t xml:space="preserve">y realizar controles </w:t>
      </w:r>
      <w:r w:rsidR="002E21E1">
        <w:lastRenderedPageBreak/>
        <w:t>periódicos para detectar un posible crecimiento aneurismático o la generación de nuevos</w:t>
      </w:r>
      <w:r w:rsidR="002A4CF0">
        <w:t xml:space="preserve"> </w:t>
      </w:r>
      <w:r w:rsidR="002E21E1">
        <w:t>aneurismas</w:t>
      </w:r>
      <w:r w:rsidR="007F6595">
        <w:t xml:space="preserve"> </w:t>
      </w:r>
      <w:r w:rsidR="007F6595">
        <w:fldChar w:fldCharType="begin"/>
      </w:r>
      <w:r w:rsidR="002A4CF0">
        <w:instrText xml:space="preserve"> ADDIN ZOTERO_ITEM CSL_CITATION {"citationID":"W6AORyC9","properties":{"formattedCitation":"(3,7)","plainCitation":"(3,7)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7F6595">
        <w:fldChar w:fldCharType="separate"/>
      </w:r>
      <w:r w:rsidR="002A4CF0" w:rsidRPr="002A4CF0">
        <w:rPr>
          <w:rFonts w:ascii="Calibri" w:hAnsi="Calibri" w:cs="Calibri"/>
        </w:rPr>
        <w:t>(3,7)</w:t>
      </w:r>
      <w:r w:rsidR="007F6595">
        <w:fldChar w:fldCharType="end"/>
      </w:r>
      <w:r w:rsidR="002E21E1">
        <w:t>.</w:t>
      </w:r>
    </w:p>
    <w:p w:rsidR="0054730A" w:rsidRDefault="0054730A" w:rsidP="00DD169A">
      <w:pPr>
        <w:pStyle w:val="Ttulo1"/>
        <w:jc w:val="both"/>
      </w:pPr>
      <w:bookmarkStart w:id="79" w:name="_Toc516070252"/>
      <w:r>
        <w:t>Conclusiones</w:t>
      </w:r>
      <w:bookmarkEnd w:id="79"/>
    </w:p>
    <w:p w:rsidR="00EC05A2" w:rsidRDefault="00EC05A2" w:rsidP="00DD169A">
      <w:pPr>
        <w:pStyle w:val="Prrafodelista"/>
        <w:numPr>
          <w:ilvl w:val="0"/>
          <w:numId w:val="13"/>
        </w:numPr>
        <w:jc w:val="both"/>
      </w:pPr>
      <w:r>
        <w:t>El tratamiento endovascular constituye una alternativa segura para el manejo de los aneurismas incidentales intracraneales.</w:t>
      </w:r>
    </w:p>
    <w:p w:rsidR="00EC05A2" w:rsidRDefault="00EC05A2" w:rsidP="00DD169A">
      <w:pPr>
        <w:pStyle w:val="Prrafodelista"/>
        <w:numPr>
          <w:ilvl w:val="0"/>
          <w:numId w:val="13"/>
        </w:numPr>
        <w:jc w:val="both"/>
      </w:pPr>
      <w:r>
        <w:t>Factores como los antecedentes de hemorragia subaracnoidea</w:t>
      </w:r>
      <w:r w:rsidR="00C37766">
        <w:t>, el hábito tabáquico, el número de aneurismas y</w:t>
      </w:r>
      <w:r>
        <w:t xml:space="preserve"> </w:t>
      </w:r>
      <w:r w:rsidR="00C37766">
        <w:t>su</w:t>
      </w:r>
      <w:r>
        <w:t xml:space="preserve"> tamaño, morfología</w:t>
      </w:r>
      <w:r w:rsidR="00C37766">
        <w:t xml:space="preserve"> y </w:t>
      </w:r>
      <w:r>
        <w:t>localización juegan un papel muy importante en su evolución.</w:t>
      </w:r>
      <w:r w:rsidR="00262DF8">
        <w:t xml:space="preserve"> Es importante atender a éstos para decidir el manejo del paciente. </w:t>
      </w:r>
    </w:p>
    <w:p w:rsidR="002E21E1" w:rsidRDefault="00EC05A2" w:rsidP="00DD169A">
      <w:pPr>
        <w:pStyle w:val="Prrafodelista"/>
        <w:numPr>
          <w:ilvl w:val="0"/>
          <w:numId w:val="13"/>
        </w:numPr>
        <w:jc w:val="both"/>
      </w:pPr>
      <w:r>
        <w:t>Es necesario realizar un estudio prospectivo aleatorizado para descubrir cuáles son los factores determinantes que nos indican cuándo y cómo tratar los aneurismas incidentales de manera que el paciente asuma el menor riesgo posible.</w:t>
      </w:r>
    </w:p>
    <w:p w:rsidR="00193DAE" w:rsidRDefault="0054730A" w:rsidP="0065069C">
      <w:pPr>
        <w:pStyle w:val="Ttulo1"/>
        <w:spacing w:before="0" w:line="360" w:lineRule="auto"/>
        <w:jc w:val="both"/>
        <w:rPr>
          <w:noProof/>
          <w:lang w:eastAsia="es-ES"/>
        </w:rPr>
      </w:pPr>
      <w:bookmarkStart w:id="80" w:name="_Toc516070253"/>
      <w:r>
        <w:t>Bibliografí</w:t>
      </w:r>
      <w:r w:rsidR="00412BCA">
        <w:t>a</w:t>
      </w:r>
      <w:bookmarkEnd w:id="80"/>
    </w:p>
    <w:p w:rsidR="0065069C" w:rsidRPr="0065069C" w:rsidRDefault="0065069C" w:rsidP="0065069C">
      <w:pPr>
        <w:pStyle w:val="Bibliografa"/>
        <w:rPr>
          <w:rFonts w:ascii="Calibri" w:hAnsi="Calibri" w:cs="Calibri"/>
        </w:rPr>
      </w:pPr>
      <w:r>
        <w:rPr>
          <w:lang w:eastAsia="es-ES"/>
        </w:rPr>
        <w:fldChar w:fldCharType="begin"/>
      </w:r>
      <w:r>
        <w:rPr>
          <w:lang w:eastAsia="es-ES"/>
        </w:rPr>
        <w:instrText xml:space="preserve"> ADDIN ZOTERO_BIBL {"uncited":[],"omitted":[],"custom":[]} CSL_BIBLIOGRAPHY </w:instrText>
      </w:r>
      <w:r>
        <w:rPr>
          <w:lang w:eastAsia="es-ES"/>
        </w:rPr>
        <w:fldChar w:fldCharType="separate"/>
      </w:r>
      <w:r w:rsidRPr="0065069C">
        <w:rPr>
          <w:rFonts w:ascii="Calibri" w:hAnsi="Calibri" w:cs="Calibri"/>
        </w:rPr>
        <w:t xml:space="preserve">1. </w:t>
      </w:r>
      <w:r w:rsidRPr="0065069C">
        <w:rPr>
          <w:rFonts w:ascii="Calibri" w:hAnsi="Calibri" w:cs="Calibri"/>
        </w:rPr>
        <w:tab/>
        <w:t>Rozman Borstnar C, Cardellach F. Farreras Rozman. Medicina interna [Internet]. 18. ed. Barcelona: Elsevier; 2016 [citado 12 de marzo de 2018]. Disponible en: http://public.eblib.com/choice/publicfullrecord.aspx?p=4626743</w:t>
      </w:r>
    </w:p>
    <w:p w:rsidR="0065069C" w:rsidRPr="0065069C" w:rsidRDefault="0065069C" w:rsidP="0065069C">
      <w:pPr>
        <w:pStyle w:val="Bibliografa"/>
        <w:rPr>
          <w:rFonts w:ascii="Calibri" w:hAnsi="Calibri" w:cs="Calibri"/>
        </w:rPr>
      </w:pPr>
      <w:r w:rsidRPr="0065069C">
        <w:rPr>
          <w:rFonts w:ascii="Calibri" w:hAnsi="Calibri" w:cs="Calibri"/>
        </w:rPr>
        <w:t xml:space="preserve">2. </w:t>
      </w:r>
      <w:r w:rsidRPr="0065069C">
        <w:rPr>
          <w:rFonts w:ascii="Calibri" w:hAnsi="Calibri" w:cs="Calibri"/>
        </w:rPr>
        <w:tab/>
        <w:t xml:space="preserve">Álvarez Vega MA, Antuña Ramos A. Syllabus de neurocirugía. Oviedo: Ediciones de la Universidad de Oviedo; 2016. </w:t>
      </w:r>
    </w:p>
    <w:p w:rsidR="0065069C" w:rsidRPr="0065069C" w:rsidRDefault="0065069C" w:rsidP="0065069C">
      <w:pPr>
        <w:pStyle w:val="Bibliografa"/>
        <w:rPr>
          <w:rFonts w:ascii="Calibri" w:hAnsi="Calibri" w:cs="Calibri"/>
        </w:rPr>
      </w:pPr>
      <w:r w:rsidRPr="0065069C">
        <w:rPr>
          <w:rFonts w:ascii="Calibri" w:hAnsi="Calibri" w:cs="Calibri"/>
        </w:rPr>
        <w:t xml:space="preserve">3. </w:t>
      </w:r>
      <w:r w:rsidRPr="0065069C">
        <w:rPr>
          <w:rFonts w:ascii="Calibri" w:hAnsi="Calibri" w:cs="Calibri"/>
        </w:rPr>
        <w:tab/>
        <w:t xml:space="preserve">Loewenstein JE, Gayle SC, Duffis EJ, Prestigiacomo CJ, Gandhi CD. The Natural History and Treatment Options for Unruptured Intracranial Aneurysms. International Journal of Vascular Medicine. 2012;2012:1-11. </w:t>
      </w:r>
    </w:p>
    <w:p w:rsidR="0065069C" w:rsidRPr="0065069C" w:rsidRDefault="0065069C" w:rsidP="0065069C">
      <w:pPr>
        <w:pStyle w:val="Bibliografa"/>
        <w:rPr>
          <w:rFonts w:ascii="Calibri" w:hAnsi="Calibri" w:cs="Calibri"/>
        </w:rPr>
      </w:pPr>
      <w:r w:rsidRPr="0065069C">
        <w:rPr>
          <w:rFonts w:ascii="Calibri" w:hAnsi="Calibri" w:cs="Calibri"/>
        </w:rPr>
        <w:lastRenderedPageBreak/>
        <w:t xml:space="preserve">4. </w:t>
      </w:r>
      <w:r w:rsidRPr="0065069C">
        <w:rPr>
          <w:rFonts w:ascii="Calibri" w:hAnsi="Calibri" w:cs="Calibri"/>
        </w:rPr>
        <w:tab/>
        <w:t xml:space="preserve">Wiebers DO. Unruptured intracranial aneurysms: natural history, clinical outcome, and risks of surgical and endovascular treatment. The Lancet. 12 de julio de 2003;362(9378):103-10. </w:t>
      </w:r>
    </w:p>
    <w:p w:rsidR="0065069C" w:rsidRPr="0065069C" w:rsidRDefault="0065069C" w:rsidP="0065069C">
      <w:pPr>
        <w:pStyle w:val="Bibliografa"/>
        <w:rPr>
          <w:rFonts w:ascii="Calibri" w:hAnsi="Calibri" w:cs="Calibri"/>
        </w:rPr>
      </w:pPr>
      <w:r w:rsidRPr="0065069C">
        <w:rPr>
          <w:rFonts w:ascii="Calibri" w:hAnsi="Calibri" w:cs="Calibri"/>
        </w:rPr>
        <w:t xml:space="preserve">5. </w:t>
      </w:r>
      <w:r w:rsidRPr="0065069C">
        <w:rPr>
          <w:rFonts w:ascii="Calibri" w:hAnsi="Calibri" w:cs="Calibri"/>
        </w:rPr>
        <w:tab/>
        <w:t xml:space="preserve">Investigators IS of UIA. Unruptured intracranial aneurysms—risk of rupture and risks of surgical intervention. New England Journal of Medicine. 1998;339(24):1725–1733. </w:t>
      </w:r>
    </w:p>
    <w:p w:rsidR="0065069C" w:rsidRPr="0065069C" w:rsidRDefault="0065069C" w:rsidP="0065069C">
      <w:pPr>
        <w:pStyle w:val="Bibliografa"/>
        <w:rPr>
          <w:rFonts w:ascii="Calibri" w:hAnsi="Calibri" w:cs="Calibri"/>
        </w:rPr>
      </w:pPr>
      <w:r w:rsidRPr="0065069C">
        <w:rPr>
          <w:rFonts w:ascii="Calibri" w:hAnsi="Calibri" w:cs="Calibri"/>
        </w:rPr>
        <w:t xml:space="preserve">6. </w:t>
      </w:r>
      <w:r w:rsidRPr="0065069C">
        <w:rPr>
          <w:rFonts w:ascii="Calibri" w:hAnsi="Calibri" w:cs="Calibri"/>
        </w:rPr>
        <w:tab/>
        <w:t xml:space="preserve">Björkman J, Frösen J, Tähtinen O, Backes D, Huttunen T, Harju J, et al. Irregular Shape Identifies Ruptured Intracranial Aneurysm in Subarachnoid Hemorrhage Patients With Multiple Aneurysms. Stroke. 1 de julio de 2017;48(7):1986-9. </w:t>
      </w:r>
    </w:p>
    <w:p w:rsidR="0065069C" w:rsidRPr="0065069C" w:rsidRDefault="0065069C" w:rsidP="0065069C">
      <w:pPr>
        <w:pStyle w:val="Bibliografa"/>
        <w:rPr>
          <w:rFonts w:ascii="Calibri" w:hAnsi="Calibri" w:cs="Calibri"/>
        </w:rPr>
      </w:pPr>
      <w:r w:rsidRPr="0065069C">
        <w:rPr>
          <w:rFonts w:ascii="Calibri" w:hAnsi="Calibri" w:cs="Calibri"/>
        </w:rPr>
        <w:t xml:space="preserve">7. </w:t>
      </w:r>
      <w:r w:rsidRPr="0065069C">
        <w:rPr>
          <w:rFonts w:ascii="Calibri" w:hAnsi="Calibri" w:cs="Calibri"/>
        </w:rPr>
        <w:tab/>
        <w:t xml:space="preserve">Loumiotis I, Wagenbach A, Brown Jr RD, Lanzino G. Small (&lt; 10-mm) incidentally found intracranial aneurysms, Part 1: reasons for detection, demographics, location, and risk factors in 212 consecutive patients. Neurosurgical focus. 2011;31(6):E3. </w:t>
      </w:r>
    </w:p>
    <w:p w:rsidR="0065069C" w:rsidRPr="0065069C" w:rsidRDefault="0065069C" w:rsidP="0065069C">
      <w:pPr>
        <w:pStyle w:val="Bibliografa"/>
        <w:rPr>
          <w:rFonts w:ascii="Calibri" w:hAnsi="Calibri" w:cs="Calibri"/>
        </w:rPr>
      </w:pPr>
      <w:r w:rsidRPr="0065069C">
        <w:rPr>
          <w:rFonts w:ascii="Calibri" w:hAnsi="Calibri" w:cs="Calibri"/>
        </w:rPr>
        <w:t xml:space="preserve">8. </w:t>
      </w:r>
      <w:r w:rsidRPr="0065069C">
        <w:rPr>
          <w:rFonts w:ascii="Calibri" w:hAnsi="Calibri" w:cs="Calibri"/>
        </w:rPr>
        <w:tab/>
        <w:t xml:space="preserve">Lagares A, Gómez PA, Alén JF, Arikan F, Sarabia R, Horcajadas A, et al. Hemorragia subaracnoidea aneurismática: guía de tratamiento del Grupo de Patología Vascular de la Sociedad Española de Neurocirugía. Neurocirugía. 2011;22(2):93–115. </w:t>
      </w:r>
    </w:p>
    <w:p w:rsidR="0065069C" w:rsidRPr="0065069C" w:rsidRDefault="0065069C" w:rsidP="0065069C">
      <w:pPr>
        <w:pStyle w:val="Bibliografa"/>
        <w:rPr>
          <w:rFonts w:ascii="Calibri" w:hAnsi="Calibri" w:cs="Calibri"/>
        </w:rPr>
      </w:pPr>
      <w:r w:rsidRPr="0065069C">
        <w:rPr>
          <w:rFonts w:ascii="Calibri" w:hAnsi="Calibri" w:cs="Calibri"/>
        </w:rPr>
        <w:t xml:space="preserve">9. </w:t>
      </w:r>
      <w:r w:rsidRPr="0065069C">
        <w:rPr>
          <w:rFonts w:ascii="Calibri" w:hAnsi="Calibri" w:cs="Calibri"/>
        </w:rPr>
        <w:tab/>
        <w:t xml:space="preserve">Yoon W. Current Update on the Randomized Controlled Trials of Intracranial Aneurysms. Neurointervention. febrero de 2011;6(1):1-5. </w:t>
      </w:r>
    </w:p>
    <w:p w:rsidR="0065069C" w:rsidRPr="0065069C" w:rsidRDefault="0065069C" w:rsidP="0065069C">
      <w:pPr>
        <w:pStyle w:val="Bibliografa"/>
        <w:rPr>
          <w:rFonts w:ascii="Calibri" w:hAnsi="Calibri" w:cs="Calibri"/>
        </w:rPr>
      </w:pPr>
      <w:r w:rsidRPr="0065069C">
        <w:rPr>
          <w:rFonts w:ascii="Calibri" w:hAnsi="Calibri" w:cs="Calibri"/>
        </w:rPr>
        <w:t xml:space="preserve">10. </w:t>
      </w:r>
      <w:r w:rsidRPr="0065069C">
        <w:rPr>
          <w:rFonts w:ascii="Calibri" w:hAnsi="Calibri" w:cs="Calibri"/>
        </w:rPr>
        <w:tab/>
        <w:t xml:space="preserve">McDonald JS, McDonald RJ, Fan J, Kallmes DF, Lanzino G, Cloft HJ. Comparative Effectiveness of Unruptured Cerebral Aneurysm Therapies: Propensity Score Analysis of Clipping Versus Coiling. Stroke. 1 de abril de 2013;44(4):988-94. </w:t>
      </w:r>
    </w:p>
    <w:p w:rsidR="0065069C" w:rsidRPr="0065069C" w:rsidRDefault="0065069C" w:rsidP="0065069C">
      <w:pPr>
        <w:pStyle w:val="Bibliografa"/>
        <w:rPr>
          <w:rFonts w:ascii="Calibri" w:hAnsi="Calibri" w:cs="Calibri"/>
        </w:rPr>
      </w:pPr>
      <w:r w:rsidRPr="0065069C">
        <w:rPr>
          <w:rFonts w:ascii="Calibri" w:hAnsi="Calibri" w:cs="Calibri"/>
        </w:rPr>
        <w:t xml:space="preserve">11. </w:t>
      </w:r>
      <w:r w:rsidRPr="0065069C">
        <w:rPr>
          <w:rFonts w:ascii="Calibri" w:hAnsi="Calibri" w:cs="Calibri"/>
        </w:rPr>
        <w:tab/>
        <w:t xml:space="preserve">Pierot L, Spelle L, Vitry F, for the ATENA Investigators. Similar Safety in Centers with Low and High Volumes of Endovascular Treatments for Unruptured Intracranial Aneurysms: Evaluation of the Analysis of Treatment by Endovascular Approach of Nonruptured Aneurysms Study. American Journal of Neuroradiology. 1 de junio de 2010;31(6):1010-4. </w:t>
      </w:r>
    </w:p>
    <w:p w:rsidR="0065069C" w:rsidRPr="0065069C" w:rsidRDefault="0065069C" w:rsidP="0065069C">
      <w:pPr>
        <w:pStyle w:val="Bibliografa"/>
        <w:rPr>
          <w:rFonts w:ascii="Calibri" w:hAnsi="Calibri" w:cs="Calibri"/>
        </w:rPr>
      </w:pPr>
      <w:r w:rsidRPr="0065069C">
        <w:rPr>
          <w:rFonts w:ascii="Calibri" w:hAnsi="Calibri" w:cs="Calibri"/>
        </w:rPr>
        <w:lastRenderedPageBreak/>
        <w:t xml:space="preserve">12. </w:t>
      </w:r>
      <w:r w:rsidRPr="0065069C">
        <w:rPr>
          <w:rFonts w:ascii="Calibri" w:hAnsi="Calibri" w:cs="Calibri"/>
        </w:rPr>
        <w:tab/>
        <w:t xml:space="preserve">Raymond J, Darsaut TE, Molyneux AJ. A trial on unruptured intracranial aneurysms (the TEAM trial): results, lessons from a failure and the necessity for clinical care trials. Trials. 2011;12(1):64. </w:t>
      </w:r>
    </w:p>
    <w:p w:rsidR="0065069C" w:rsidRPr="0065069C" w:rsidRDefault="0065069C" w:rsidP="0065069C">
      <w:pPr>
        <w:pStyle w:val="Bibliografa"/>
        <w:rPr>
          <w:rFonts w:ascii="Calibri" w:hAnsi="Calibri" w:cs="Calibri"/>
        </w:rPr>
      </w:pPr>
      <w:r w:rsidRPr="0065069C">
        <w:rPr>
          <w:rFonts w:ascii="Calibri" w:hAnsi="Calibri" w:cs="Calibri"/>
        </w:rPr>
        <w:t xml:space="preserve">13. </w:t>
      </w:r>
      <w:r w:rsidRPr="0065069C">
        <w:rPr>
          <w:rFonts w:ascii="Calibri" w:hAnsi="Calibri" w:cs="Calibri"/>
        </w:rPr>
        <w:tab/>
        <w:t xml:space="preserve">Pierot L, Spelle L, Vitry F. Immediate Clinical Outcome of Patients Harboring Unruptured Intracranial Aneurysms Treated by Endovascular Approach: Results of the ATENA Study. Stroke. 1 de septiembre de 2008;39(9):2497-504. </w:t>
      </w:r>
    </w:p>
    <w:p w:rsidR="0065069C" w:rsidRPr="0065069C" w:rsidRDefault="0065069C" w:rsidP="0065069C">
      <w:pPr>
        <w:pStyle w:val="Bibliografa"/>
        <w:rPr>
          <w:rFonts w:ascii="Calibri" w:hAnsi="Calibri" w:cs="Calibri"/>
        </w:rPr>
      </w:pPr>
      <w:r w:rsidRPr="0065069C">
        <w:rPr>
          <w:rFonts w:ascii="Calibri" w:hAnsi="Calibri" w:cs="Calibri"/>
        </w:rPr>
        <w:t xml:space="preserve">14. </w:t>
      </w:r>
      <w:r w:rsidRPr="0065069C">
        <w:rPr>
          <w:rFonts w:ascii="Calibri" w:hAnsi="Calibri" w:cs="Calibri"/>
        </w:rPr>
        <w:tab/>
        <w:t xml:space="preserve">Pierot L, Spelle L, Vitry F, Investigators A. Immediate Anatomic Results after the Endovascular Treatment of Unruptured Intracranial Aneurysms: Analysis of the ATENA Series. American Journal of Neuroradiology. 1 de enero de 2010;31(1):140-4. </w:t>
      </w:r>
    </w:p>
    <w:p w:rsidR="0065069C" w:rsidRPr="0065069C" w:rsidRDefault="0065069C" w:rsidP="0065069C">
      <w:pPr>
        <w:pStyle w:val="Bibliografa"/>
        <w:rPr>
          <w:rFonts w:ascii="Calibri" w:hAnsi="Calibri" w:cs="Calibri"/>
        </w:rPr>
      </w:pPr>
      <w:r w:rsidRPr="0065069C">
        <w:rPr>
          <w:rFonts w:ascii="Calibri" w:hAnsi="Calibri" w:cs="Calibri"/>
        </w:rPr>
        <w:t xml:space="preserve">15. </w:t>
      </w:r>
      <w:r w:rsidRPr="0065069C">
        <w:rPr>
          <w:rFonts w:ascii="Calibri" w:hAnsi="Calibri" w:cs="Calibri"/>
        </w:rPr>
        <w:tab/>
        <w:t xml:space="preserve">Meilán Martínez A, Murias Quintana E, Gil García A, Vega Valdés P, Saiz Ayala A. Técnicas asistidas para el tratamiento endovascular de aneurismas cerebrales complejos o atípicos. Radiología. marzo de 2013;55(2):118-29. </w:t>
      </w:r>
    </w:p>
    <w:p w:rsidR="0065069C" w:rsidRPr="0065069C" w:rsidRDefault="0065069C" w:rsidP="0065069C">
      <w:pPr>
        <w:pStyle w:val="Bibliografa"/>
        <w:rPr>
          <w:rFonts w:ascii="Calibri" w:hAnsi="Calibri" w:cs="Calibri"/>
        </w:rPr>
      </w:pPr>
      <w:r w:rsidRPr="0065069C">
        <w:rPr>
          <w:rFonts w:ascii="Calibri" w:hAnsi="Calibri" w:cs="Calibri"/>
        </w:rPr>
        <w:t xml:space="preserve">16. </w:t>
      </w:r>
      <w:r w:rsidRPr="0065069C">
        <w:rPr>
          <w:rFonts w:ascii="Calibri" w:hAnsi="Calibri" w:cs="Calibri"/>
        </w:rPr>
        <w:tab/>
        <w:t xml:space="preserve">Sonobe M, Yamazaki T, Yonekura M, Kikuchi H. Small Unruptured Intracranial Aneurysm Verification Study: SUAVe Study, Japan. Stroke. 1 de septiembre de 2010;41(9):1969-77. </w:t>
      </w:r>
    </w:p>
    <w:p w:rsidR="0065069C" w:rsidRPr="0065069C" w:rsidRDefault="0065069C" w:rsidP="0065069C">
      <w:pPr>
        <w:pStyle w:val="Bibliografa"/>
        <w:rPr>
          <w:rFonts w:ascii="Calibri" w:hAnsi="Calibri" w:cs="Calibri"/>
        </w:rPr>
      </w:pPr>
      <w:r w:rsidRPr="0065069C">
        <w:rPr>
          <w:rFonts w:ascii="Calibri" w:hAnsi="Calibri" w:cs="Calibri"/>
        </w:rPr>
        <w:t xml:space="preserve">17. </w:t>
      </w:r>
      <w:r w:rsidRPr="0065069C">
        <w:rPr>
          <w:rFonts w:ascii="Calibri" w:hAnsi="Calibri" w:cs="Calibri"/>
        </w:rPr>
        <w:tab/>
        <w:t xml:space="preserve">Pierot L, Spelle L, Leclerc X, Cognard C, Bonafé A, Moret J. Endovascular treatment of unruptured intracranial aneurysms: comparison of safety of remodeling technique and standard treatment with coils. Radiology. 2009;251(3):846–855. </w:t>
      </w:r>
    </w:p>
    <w:p w:rsidR="0065069C" w:rsidRPr="0065069C" w:rsidRDefault="0065069C" w:rsidP="0065069C">
      <w:pPr>
        <w:pStyle w:val="Bibliografa"/>
        <w:rPr>
          <w:rFonts w:ascii="Calibri" w:hAnsi="Calibri" w:cs="Calibri"/>
        </w:rPr>
      </w:pPr>
      <w:r w:rsidRPr="0065069C">
        <w:rPr>
          <w:rFonts w:ascii="Calibri" w:hAnsi="Calibri" w:cs="Calibri"/>
        </w:rPr>
        <w:t xml:space="preserve">18. </w:t>
      </w:r>
      <w:r w:rsidRPr="0065069C">
        <w:rPr>
          <w:rFonts w:ascii="Calibri" w:hAnsi="Calibri" w:cs="Calibri"/>
        </w:rPr>
        <w:tab/>
        <w:t xml:space="preserve">Wanke I, Doerfler A, Dietrich U, Egelhof T, Schoch B, Stolke D, et al. Endovascular Treatment of Unruptured Intracranial Aneurysms. American Journal of Neuroradiology. 1 de mayo de 2002;23(5):756-61. </w:t>
      </w:r>
    </w:p>
    <w:p w:rsidR="0065069C" w:rsidRPr="0065069C" w:rsidRDefault="0065069C" w:rsidP="0065069C">
      <w:pPr>
        <w:pStyle w:val="Bibliografa"/>
        <w:rPr>
          <w:rFonts w:ascii="Calibri" w:hAnsi="Calibri" w:cs="Calibri"/>
        </w:rPr>
      </w:pPr>
      <w:r w:rsidRPr="0065069C">
        <w:rPr>
          <w:rFonts w:ascii="Calibri" w:hAnsi="Calibri" w:cs="Calibri"/>
        </w:rPr>
        <w:t xml:space="preserve">19. </w:t>
      </w:r>
      <w:r w:rsidRPr="0065069C">
        <w:rPr>
          <w:rFonts w:ascii="Calibri" w:hAnsi="Calibri" w:cs="Calibri"/>
        </w:rPr>
        <w:tab/>
        <w:t xml:space="preserve">Loumiotis I, Brown Jr RD, Vine R, Cloft HJ, Kallmes DF, Lanzino G. Small (&lt; 10-mm) incidentally found intracranial aneurysms, Part 2: treatment recommendations, natural </w:t>
      </w:r>
      <w:r w:rsidRPr="0065069C">
        <w:rPr>
          <w:rFonts w:ascii="Calibri" w:hAnsi="Calibri" w:cs="Calibri"/>
        </w:rPr>
        <w:lastRenderedPageBreak/>
        <w:t xml:space="preserve">history, complications, and short-term outcome in 212 consecutive patients. Neurosurgical focus. 2011;31(6):E4. </w:t>
      </w:r>
    </w:p>
    <w:p w:rsidR="0098426A" w:rsidRPr="0098426A" w:rsidRDefault="0065069C" w:rsidP="0098426A">
      <w:pPr>
        <w:rPr>
          <w:lang w:eastAsia="es-ES"/>
        </w:rPr>
      </w:pPr>
      <w:r>
        <w:rPr>
          <w:lang w:eastAsia="es-ES"/>
        </w:rPr>
        <w:fldChar w:fldCharType="end"/>
      </w:r>
      <w:bookmarkStart w:id="81" w:name="_GoBack"/>
      <w:bookmarkEnd w:id="81"/>
    </w:p>
    <w:p w:rsidR="00CB4F92" w:rsidRPr="00CB4F92" w:rsidRDefault="00CB4F92" w:rsidP="00DD169A">
      <w:pPr>
        <w:jc w:val="both"/>
      </w:pPr>
    </w:p>
    <w:sectPr w:rsidR="00CB4F92" w:rsidRPr="00CB4F92" w:rsidSect="0090528B">
      <w:headerReference w:type="even" r:id="rId53"/>
      <w:headerReference w:type="default" r:id="rId54"/>
      <w:headerReference w:type="first" r:id="rId55"/>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B68" w:rsidRDefault="00747B68" w:rsidP="00B07406">
      <w:pPr>
        <w:spacing w:after="0" w:line="240" w:lineRule="auto"/>
      </w:pPr>
      <w:r>
        <w:separator/>
      </w:r>
    </w:p>
  </w:endnote>
  <w:endnote w:type="continuationSeparator" w:id="0">
    <w:p w:rsidR="00747B68" w:rsidRDefault="00747B68"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F57F53">
      <w:tc>
        <w:tcPr>
          <w:tcW w:w="500" w:type="pct"/>
          <w:tcBorders>
            <w:top w:val="single" w:sz="4" w:space="0" w:color="554740" w:themeColor="accent2" w:themeShade="BF"/>
          </w:tcBorders>
          <w:shd w:val="clear" w:color="auto" w:fill="554740" w:themeFill="accent2" w:themeFillShade="BF"/>
        </w:tcPr>
        <w:p w:rsidR="00F57F53" w:rsidRDefault="00F57F53">
          <w:pPr>
            <w:pStyle w:val="Piedepgina"/>
            <w:jc w:val="right"/>
            <w:rPr>
              <w:b/>
              <w:color w:val="FFFFFF" w:themeColor="background1"/>
            </w:rPr>
          </w:pPr>
          <w:r>
            <w:fldChar w:fldCharType="begin"/>
          </w:r>
          <w:r>
            <w:instrText xml:space="preserve"> PAGE   \* MERGEFORMAT </w:instrText>
          </w:r>
          <w:r>
            <w:fldChar w:fldCharType="separate"/>
          </w:r>
          <w:r w:rsidR="0066150F" w:rsidRPr="0066150F">
            <w:rPr>
              <w:noProof/>
              <w:color w:val="FFFFFF" w:themeColor="background1"/>
            </w:rPr>
            <w:t>2</w:t>
          </w:r>
          <w:r>
            <w:rPr>
              <w:noProof/>
              <w:color w:val="FFFFFF" w:themeColor="background1"/>
            </w:rPr>
            <w:fldChar w:fldCharType="end"/>
          </w:r>
        </w:p>
      </w:tc>
      <w:tc>
        <w:tcPr>
          <w:tcW w:w="4500" w:type="pct"/>
          <w:tcBorders>
            <w:top w:val="single" w:sz="4" w:space="0" w:color="auto"/>
          </w:tcBorders>
        </w:tcPr>
        <w:p w:rsidR="00F57F53" w:rsidRDefault="00F57F53">
          <w:pPr>
            <w:pStyle w:val="Piedepgina"/>
          </w:pPr>
          <w:sdt>
            <w:sdtPr>
              <w:rPr>
                <w:i/>
              </w:rPr>
              <w:alias w:val="Autor"/>
              <w:id w:val="47488562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781843298"/>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F57F53" w:rsidRDefault="00F57F5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F57F53">
      <w:tc>
        <w:tcPr>
          <w:tcW w:w="4500" w:type="pct"/>
          <w:tcBorders>
            <w:top w:val="single" w:sz="4" w:space="0" w:color="000000" w:themeColor="text1"/>
          </w:tcBorders>
        </w:tcPr>
        <w:p w:rsidR="00F57F53" w:rsidRDefault="00F57F53" w:rsidP="00A30F9D">
          <w:pPr>
            <w:pStyle w:val="Piedepgina"/>
            <w:jc w:val="right"/>
          </w:pPr>
          <w:sdt>
            <w:sdtPr>
              <w:alias w:val="Organización"/>
              <w:id w:val="1583107044"/>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20478863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F57F53" w:rsidRDefault="00F57F53">
          <w:pPr>
            <w:pStyle w:val="Encabezado"/>
            <w:rPr>
              <w:color w:val="FFFFFF" w:themeColor="background1"/>
            </w:rPr>
          </w:pPr>
          <w:r>
            <w:fldChar w:fldCharType="begin"/>
          </w:r>
          <w:r>
            <w:instrText xml:space="preserve"> PAGE   \* MERGEFORMAT </w:instrText>
          </w:r>
          <w:r>
            <w:fldChar w:fldCharType="separate"/>
          </w:r>
          <w:r w:rsidR="0066150F" w:rsidRPr="0066150F">
            <w:rPr>
              <w:noProof/>
              <w:color w:val="FFFFFF" w:themeColor="background1"/>
            </w:rPr>
            <w:t>3</w:t>
          </w:r>
          <w:r>
            <w:rPr>
              <w:noProof/>
              <w:color w:val="FFFFFF" w:themeColor="background1"/>
            </w:rPr>
            <w:fldChar w:fldCharType="end"/>
          </w:r>
        </w:p>
      </w:tc>
    </w:tr>
  </w:tbl>
  <w:p w:rsidR="00F57F53" w:rsidRDefault="00F57F53"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F57F53" w:rsidTr="009D1163">
      <w:tc>
        <w:tcPr>
          <w:tcW w:w="4500" w:type="pct"/>
          <w:tcBorders>
            <w:top w:val="single" w:sz="4" w:space="0" w:color="000000" w:themeColor="text1"/>
          </w:tcBorders>
        </w:tcPr>
        <w:p w:rsidR="00F57F53" w:rsidRDefault="00F57F53" w:rsidP="00F308D9">
          <w:pPr>
            <w:pStyle w:val="Piedepgina"/>
            <w:jc w:val="right"/>
          </w:pPr>
          <w:sdt>
            <w:sdtPr>
              <w:alias w:val="Organización"/>
              <w:id w:val="816002771"/>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748098990"/>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F57F53" w:rsidRDefault="00F57F53" w:rsidP="009D1163">
          <w:pPr>
            <w:pStyle w:val="Encabezado"/>
            <w:rPr>
              <w:color w:val="FFFFFF" w:themeColor="background1"/>
            </w:rPr>
          </w:pPr>
          <w:r>
            <w:fldChar w:fldCharType="begin"/>
          </w:r>
          <w:r>
            <w:instrText xml:space="preserve"> PAGE   \* MERGEFORMAT </w:instrText>
          </w:r>
          <w:r>
            <w:fldChar w:fldCharType="separate"/>
          </w:r>
          <w:r w:rsidR="0066150F" w:rsidRPr="0066150F">
            <w:rPr>
              <w:noProof/>
              <w:color w:val="FFFFFF" w:themeColor="background1"/>
            </w:rPr>
            <w:t>1</w:t>
          </w:r>
          <w:r>
            <w:rPr>
              <w:noProof/>
              <w:color w:val="FFFFFF" w:themeColor="background1"/>
            </w:rPr>
            <w:fldChar w:fldCharType="end"/>
          </w:r>
        </w:p>
      </w:tc>
    </w:tr>
  </w:tbl>
  <w:p w:rsidR="00F57F53" w:rsidRDefault="00F57F53"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B68" w:rsidRDefault="00747B68" w:rsidP="00B07406">
      <w:pPr>
        <w:spacing w:after="0" w:line="240" w:lineRule="auto"/>
      </w:pPr>
      <w:r>
        <w:separator/>
      </w:r>
    </w:p>
  </w:footnote>
  <w:footnote w:type="continuationSeparator" w:id="0">
    <w:p w:rsidR="00747B68" w:rsidRDefault="00747B68" w:rsidP="00B07406">
      <w:pPr>
        <w:spacing w:after="0" w:line="240" w:lineRule="auto"/>
      </w:pPr>
      <w:r>
        <w:continuationSeparator/>
      </w:r>
    </w:p>
  </w:footnote>
  <w:footnote w:id="1">
    <w:p w:rsidR="00F57F53" w:rsidRDefault="00F57F53" w:rsidP="00C23492">
      <w:pPr>
        <w:pStyle w:val="Textonotapie"/>
        <w:spacing w:before="0"/>
      </w:pPr>
      <w:r>
        <w:rPr>
          <w:rStyle w:val="Refdenotaalpie"/>
        </w:rPr>
        <w:footnoteRef/>
      </w:r>
      <w:r>
        <w:t xml:space="preserve"> International Study of Unruptured Intracranial Aneusysms Investigators (ISUIA), un estudio dirigido por la Clínica Mayo y patrocinada por los National Institutes of Health (NIHs). Es el mayor estudio multicéntrico realizado hasta el momento sobre los aneurismas intracraneales no rotos, cuyo fin es describir la historia natural del aneurisma y evaluar el riesgo asociado con su intervención en comparación con la observación.</w:t>
      </w:r>
    </w:p>
  </w:footnote>
  <w:footnote w:id="2">
    <w:p w:rsidR="00F57F53" w:rsidRDefault="00F57F53">
      <w:pPr>
        <w:pStyle w:val="Textonotapie"/>
      </w:pPr>
      <w:r>
        <w:rPr>
          <w:rStyle w:val="Refdenotaalpie"/>
        </w:rPr>
        <w:footnoteRef/>
      </w:r>
      <w:r>
        <w:t xml:space="preserve"> Coils: especie de muelle o espiral de material blando, generalmente de platino, muy fino, que se utiliza para la embolización de aneurismas o malformaciones arteriovenosas.   </w:t>
      </w:r>
    </w:p>
  </w:footnote>
  <w:footnote w:id="3">
    <w:p w:rsidR="00F57F53" w:rsidRDefault="00F57F53" w:rsidP="00F308D9">
      <w:pPr>
        <w:pStyle w:val="Textonotapie"/>
        <w:spacing w:line="276" w:lineRule="auto"/>
      </w:pPr>
      <w:r>
        <w:rPr>
          <w:rStyle w:val="Refdenotaalpie"/>
        </w:rPr>
        <w:footnoteRef/>
      </w:r>
      <w:r>
        <w:t xml:space="preserve"> International Subarachnoid Aneurysm Trial (ISAT), ensayo clínico multicéntrico, prospectivo, aleatorizado, que comparó la eficacia y seguridad entre el tratamiento endovascular con coils y el tratamiento neuroquirúrgico con clip para el tratamiento de aneurismas cerebrales rotos.</w:t>
      </w:r>
    </w:p>
  </w:footnote>
  <w:footnote w:id="4">
    <w:p w:rsidR="00F57F53" w:rsidRDefault="00F57F53">
      <w:pPr>
        <w:pStyle w:val="Textonotapie"/>
      </w:pPr>
      <w:r>
        <w:rPr>
          <w:rStyle w:val="Refdenotaalpie"/>
        </w:rPr>
        <w:footnoteRef/>
      </w:r>
      <w:r>
        <w:t xml:space="preserve">Analysis of Treatment by Endovascular approach of Non ruptured Aneurysms (ATENA), un estudio prospectivo multicéntrico realizado en Francia y Canadá para evaluar los resultados y los riesgos del tratamiento endovascular en aneurismas intracraneales no rotos. Fue dirigido por la Sociedad Francesa de Neurorradiología (SFNR) para evaluar los resultados del tratamiento endovascular a corto y largo plazo. </w:t>
      </w:r>
    </w:p>
  </w:footnote>
  <w:footnote w:id="5">
    <w:p w:rsidR="00F57F53" w:rsidRDefault="00F57F53" w:rsidP="00C0490A">
      <w:pPr>
        <w:pStyle w:val="Textonotaalfinal"/>
      </w:pPr>
      <w:r>
        <w:rPr>
          <w:rStyle w:val="Refdenotaalpie"/>
        </w:rPr>
        <w:footnoteRef/>
      </w:r>
      <w:r>
        <w:t>Se utiliza un catéter-balón que se coloca en el cuello del aneurisma se hincha de manera intermitente con la colocación de cada coil. Al final del procedimiento se coloca un stent y se retira el catéter-balón.</w:t>
      </w:r>
    </w:p>
    <w:p w:rsidR="00F57F53" w:rsidRDefault="00F57F53" w:rsidP="00C23492">
      <w:pPr>
        <w:pStyle w:val="Textonotaalfinal"/>
        <w:spacing w:after="240"/>
      </w:pPr>
      <w:r>
        <w:t xml:space="preserve">El stent evita la protrusión de los coils hacia el vaso portador del aneurisma, redirecciona el flujo y sirve de molde físico para la reendotelización del vaso. De esta manera se trata tanto el aneurisma como el problema de base de la arteria portadora </w:t>
      </w:r>
      <w:r>
        <w:fldChar w:fldCharType="begin"/>
      </w:r>
      <w:r>
        <w:instrText xml:space="preserve"> ADDIN ZOTERO_ITEM CSL_CITATION {"citationID":"a8qb9s3su6","properties":{"formattedCitation":"(15)","plainCitation":"(15)","noteIndex":5},"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9F7D3B">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F53" w:rsidRDefault="00F57F53"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569271963"/>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F53" w:rsidRDefault="00F57F53"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212781054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F53" w:rsidRDefault="00F57F53"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656884328"/>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66150F">
      <w:rPr>
        <w:i/>
        <w:noProof/>
      </w:rPr>
      <w:t>Introducción</w:t>
    </w:r>
    <w:r w:rsidRPr="0087575A">
      <w:rPr>
        <w:i/>
      </w:rPr>
      <w:fldChar w:fldCharType="end"/>
    </w:r>
  </w:p>
  <w:p w:rsidR="00F57F53" w:rsidRDefault="00F57F5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F53" w:rsidRDefault="00F57F53"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66150F">
      <w:rPr>
        <w:i/>
        <w:noProof/>
      </w:rPr>
      <w:t>Introducción</w:t>
    </w:r>
    <w:r w:rsidRPr="003B0263">
      <w:rPr>
        <w:i/>
      </w:rPr>
      <w:fldChar w:fldCharType="end"/>
    </w:r>
    <w:r>
      <w:rPr>
        <w:i/>
      </w:rPr>
      <w:t xml:space="preserve"> </w:t>
    </w:r>
    <w:r>
      <w:t xml:space="preserve">| </w:t>
    </w:r>
    <w:sdt>
      <w:sdtPr>
        <w:rPr>
          <w:b/>
        </w:rPr>
        <w:alias w:val="Título"/>
        <w:id w:val="-71720006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F57F53" w:rsidRDefault="00F57F5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F53" w:rsidRDefault="00F57F53" w:rsidP="00CA238B">
    <w:pPr>
      <w:rPr>
        <w:sz w:val="32"/>
        <w:szCs w:val="32"/>
      </w:rPr>
    </w:pPr>
    <w:r w:rsidRPr="003B0263">
      <w:rPr>
        <w:i/>
      </w:rPr>
      <w:fldChar w:fldCharType="begin"/>
    </w:r>
    <w:r w:rsidRPr="003B0263">
      <w:rPr>
        <w:i/>
      </w:rPr>
      <w:instrText xml:space="preserve"> STYLEREF  "1"  </w:instrText>
    </w:r>
    <w:r w:rsidRPr="003B0263">
      <w:rPr>
        <w:i/>
      </w:rPr>
      <w:fldChar w:fldCharType="separate"/>
    </w:r>
    <w:r>
      <w:rPr>
        <w:i/>
        <w:noProof/>
      </w:rPr>
      <w:t>Introducción</w:t>
    </w:r>
    <w:r w:rsidRPr="003B0263">
      <w:rPr>
        <w:i/>
      </w:rPr>
      <w:fldChar w:fldCharType="end"/>
    </w:r>
    <w:r>
      <w:rPr>
        <w:i/>
      </w:rPr>
      <w:t xml:space="preserve"> </w:t>
    </w:r>
    <w:r>
      <w:t xml:space="preserve">| </w:t>
    </w:r>
    <w:sdt>
      <w:sdtPr>
        <w:alias w:val="Título"/>
        <w:id w:val="-1570105440"/>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t>Tratamiento endovascular de aneurismas cerebrales incidentales</w:t>
        </w:r>
      </w:sdtContent>
    </w:sdt>
  </w:p>
  <w:p w:rsidR="00F57F53" w:rsidRDefault="00F57F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7F91"/>
    <w:multiLevelType w:val="hybridMultilevel"/>
    <w:tmpl w:val="477CE0F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462B13"/>
    <w:multiLevelType w:val="hybridMultilevel"/>
    <w:tmpl w:val="5538A5DA"/>
    <w:lvl w:ilvl="0" w:tplc="44365F84">
      <w:start w:val="1"/>
      <w:numFmt w:val="decimal"/>
      <w:lvlText w:val="%1."/>
      <w:lvlJc w:val="left"/>
      <w:pPr>
        <w:ind w:left="360" w:hanging="360"/>
      </w:pPr>
      <w:rPr>
        <w:rFonts w:ascii="Calibri" w:hAnsi="Calibri" w:cs="Calibri" w:hint="default"/>
        <w:b/>
        <w:color w:val="726056" w:themeColor="accent2"/>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39F76FB"/>
    <w:multiLevelType w:val="hybridMultilevel"/>
    <w:tmpl w:val="352681DC"/>
    <w:lvl w:ilvl="0" w:tplc="E8BACE02">
      <w:start w:val="1"/>
      <w:numFmt w:val="bullet"/>
      <w:lvlText w:val=""/>
      <w:lvlJc w:val="left"/>
      <w:pPr>
        <w:ind w:left="360" w:hanging="360"/>
      </w:pPr>
      <w:rPr>
        <w:rFonts w:ascii="Symbol" w:hAnsi="Symbol" w:hint="default"/>
        <w:color w:val="808DA9" w:themeColor="accent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43557AF"/>
    <w:multiLevelType w:val="hybridMultilevel"/>
    <w:tmpl w:val="36CEF240"/>
    <w:lvl w:ilvl="0" w:tplc="E8BACE02">
      <w:start w:val="1"/>
      <w:numFmt w:val="bullet"/>
      <w:lvlText w:val=""/>
      <w:lvlJc w:val="left"/>
      <w:pPr>
        <w:ind w:left="360" w:hanging="360"/>
      </w:pPr>
      <w:rPr>
        <w:rFonts w:ascii="Symbol" w:hAnsi="Symbol" w:hint="default"/>
        <w:color w:val="808DA9" w:themeColor="accent4"/>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A566223"/>
    <w:multiLevelType w:val="hybridMultilevel"/>
    <w:tmpl w:val="F426F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8572B8"/>
    <w:multiLevelType w:val="hybridMultilevel"/>
    <w:tmpl w:val="EDE4ECE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E310E72"/>
    <w:multiLevelType w:val="hybridMultilevel"/>
    <w:tmpl w:val="1870D00E"/>
    <w:lvl w:ilvl="0" w:tplc="2DF2E410">
      <w:start w:val="1"/>
      <w:numFmt w:val="decimal"/>
      <w:lvlText w:val="%1."/>
      <w:lvlJc w:val="center"/>
      <w:pPr>
        <w:ind w:left="360" w:hanging="360"/>
      </w:pPr>
      <w:rPr>
        <w:rFonts w:hint="default"/>
        <w:b/>
        <w:strike w:val="0"/>
        <w:dstrike w:val="0"/>
        <w:color w:val="404040" w:themeColor="text1" w:themeTint="BF"/>
        <w:sz w:val="26"/>
        <w:szCs w:val="26"/>
        <w:vertAlign w:val="baseline"/>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4D0D40FF"/>
    <w:multiLevelType w:val="hybridMultilevel"/>
    <w:tmpl w:val="911A2366"/>
    <w:lvl w:ilvl="0" w:tplc="4FFE547E">
      <w:start w:val="1"/>
      <w:numFmt w:val="bullet"/>
      <w:lvlText w:val=""/>
      <w:lvlJc w:val="left"/>
      <w:pPr>
        <w:ind w:left="360" w:hanging="360"/>
      </w:pPr>
      <w:rPr>
        <w:rFonts w:ascii="Symbol" w:hAnsi="Symbol" w:hint="default"/>
        <w:color w:val="595959" w:themeColor="text1" w:themeTint="A6"/>
        <w:sz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E5C700A"/>
    <w:multiLevelType w:val="hybridMultilevel"/>
    <w:tmpl w:val="2A740C1E"/>
    <w:lvl w:ilvl="0" w:tplc="2A7C3FD0">
      <w:start w:val="1"/>
      <w:numFmt w:val="decimal"/>
      <w:lvlText w:val="%1."/>
      <w:lvlJc w:val="center"/>
      <w:pPr>
        <w:ind w:left="720" w:hanging="360"/>
      </w:pPr>
      <w:rPr>
        <w:rFonts w:hint="default"/>
        <w:b/>
        <w:strike w:val="0"/>
        <w:dstrike w:val="0"/>
        <w:color w:val="CC0000"/>
        <w:sz w:val="28"/>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5210B3C"/>
    <w:multiLevelType w:val="hybridMultilevel"/>
    <w:tmpl w:val="A82AFAD4"/>
    <w:lvl w:ilvl="0" w:tplc="4FFE547E">
      <w:start w:val="1"/>
      <w:numFmt w:val="bullet"/>
      <w:lvlText w:val=""/>
      <w:lvlJc w:val="left"/>
      <w:pPr>
        <w:ind w:left="720" w:hanging="360"/>
      </w:pPr>
      <w:rPr>
        <w:rFonts w:ascii="Symbol" w:hAnsi="Symbol" w:hint="default"/>
        <w:color w:val="595959" w:themeColor="text1" w:themeTint="A6"/>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86C6D85"/>
    <w:multiLevelType w:val="hybridMultilevel"/>
    <w:tmpl w:val="EA7050F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1F04C1E"/>
    <w:multiLevelType w:val="hybridMultilevel"/>
    <w:tmpl w:val="BA8290EC"/>
    <w:lvl w:ilvl="0" w:tplc="3F5CF640">
      <w:numFmt w:val="bullet"/>
      <w:lvlText w:val="-"/>
      <w:lvlJc w:val="left"/>
      <w:pPr>
        <w:ind w:left="360" w:hanging="360"/>
      </w:pPr>
      <w:rPr>
        <w:rFonts w:ascii="Calibri Light" w:eastAsiaTheme="minorEastAsia" w:hAnsi="Calibri Light" w:cs="Calibri Light" w:hint="default"/>
        <w:color w:val="AD0101" w:themeColor="accent1"/>
      </w:rPr>
    </w:lvl>
    <w:lvl w:ilvl="1" w:tplc="3F5CF640">
      <w:numFmt w:val="bullet"/>
      <w:lvlText w:val="-"/>
      <w:lvlJc w:val="left"/>
      <w:pPr>
        <w:ind w:left="1080" w:hanging="360"/>
      </w:pPr>
      <w:rPr>
        <w:rFonts w:ascii="Calibri Light" w:eastAsiaTheme="minorEastAsia" w:hAnsi="Calibri Light" w:cs="Calibri Light"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3141FCA"/>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3"/>
  </w:num>
  <w:num w:numId="3">
    <w:abstractNumId w:val="1"/>
  </w:num>
  <w:num w:numId="4">
    <w:abstractNumId w:val="6"/>
  </w:num>
  <w:num w:numId="5">
    <w:abstractNumId w:val="8"/>
  </w:num>
  <w:num w:numId="6">
    <w:abstractNumId w:val="4"/>
  </w:num>
  <w:num w:numId="7">
    <w:abstractNumId w:val="3"/>
  </w:num>
  <w:num w:numId="8">
    <w:abstractNumId w:val="2"/>
  </w:num>
  <w:num w:numId="9">
    <w:abstractNumId w:val="15"/>
  </w:num>
  <w:num w:numId="10">
    <w:abstractNumId w:val="10"/>
  </w:num>
  <w:num w:numId="11">
    <w:abstractNumId w:val="7"/>
  </w:num>
  <w:num w:numId="12">
    <w:abstractNumId w:val="11"/>
  </w:num>
  <w:num w:numId="13">
    <w:abstractNumId w:val="9"/>
  </w:num>
  <w:num w:numId="14">
    <w:abstractNumId w:val="12"/>
  </w:num>
  <w:num w:numId="15">
    <w:abstractNumId w:val="0"/>
  </w:num>
  <w:num w:numId="1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E8E"/>
    <w:rsid w:val="00000795"/>
    <w:rsid w:val="00000CD4"/>
    <w:rsid w:val="00000F0A"/>
    <w:rsid w:val="000038F5"/>
    <w:rsid w:val="00010FAF"/>
    <w:rsid w:val="00017696"/>
    <w:rsid w:val="00017FB6"/>
    <w:rsid w:val="00022926"/>
    <w:rsid w:val="000266B2"/>
    <w:rsid w:val="00026A6A"/>
    <w:rsid w:val="000325ED"/>
    <w:rsid w:val="00037B6C"/>
    <w:rsid w:val="0004146D"/>
    <w:rsid w:val="00042540"/>
    <w:rsid w:val="000438C9"/>
    <w:rsid w:val="00045453"/>
    <w:rsid w:val="000560E3"/>
    <w:rsid w:val="00057FFD"/>
    <w:rsid w:val="00061283"/>
    <w:rsid w:val="000659CC"/>
    <w:rsid w:val="00066356"/>
    <w:rsid w:val="000703FC"/>
    <w:rsid w:val="00075754"/>
    <w:rsid w:val="000815A5"/>
    <w:rsid w:val="0008664F"/>
    <w:rsid w:val="00087411"/>
    <w:rsid w:val="00087ABF"/>
    <w:rsid w:val="00092551"/>
    <w:rsid w:val="000949A0"/>
    <w:rsid w:val="00095993"/>
    <w:rsid w:val="00097FB6"/>
    <w:rsid w:val="000A565F"/>
    <w:rsid w:val="000A5B23"/>
    <w:rsid w:val="000A6662"/>
    <w:rsid w:val="000B5A23"/>
    <w:rsid w:val="000C7C78"/>
    <w:rsid w:val="000D3E2E"/>
    <w:rsid w:val="000D6641"/>
    <w:rsid w:val="000D66ED"/>
    <w:rsid w:val="000D67BE"/>
    <w:rsid w:val="000E0F5E"/>
    <w:rsid w:val="000E1BC9"/>
    <w:rsid w:val="000E2038"/>
    <w:rsid w:val="000E3E74"/>
    <w:rsid w:val="000E470F"/>
    <w:rsid w:val="000E5457"/>
    <w:rsid w:val="000F28C1"/>
    <w:rsid w:val="000F6BED"/>
    <w:rsid w:val="001016FD"/>
    <w:rsid w:val="00104333"/>
    <w:rsid w:val="001061F1"/>
    <w:rsid w:val="00106728"/>
    <w:rsid w:val="00111129"/>
    <w:rsid w:val="00121126"/>
    <w:rsid w:val="0012148F"/>
    <w:rsid w:val="001272F6"/>
    <w:rsid w:val="001305AE"/>
    <w:rsid w:val="00130C6C"/>
    <w:rsid w:val="001327DC"/>
    <w:rsid w:val="00132CDC"/>
    <w:rsid w:val="00133A4F"/>
    <w:rsid w:val="00134399"/>
    <w:rsid w:val="00140BDB"/>
    <w:rsid w:val="001423BF"/>
    <w:rsid w:val="00144A9B"/>
    <w:rsid w:val="00147D13"/>
    <w:rsid w:val="00155B07"/>
    <w:rsid w:val="00156B56"/>
    <w:rsid w:val="00157CEE"/>
    <w:rsid w:val="00160127"/>
    <w:rsid w:val="00164CEA"/>
    <w:rsid w:val="001650DE"/>
    <w:rsid w:val="00166D06"/>
    <w:rsid w:val="00167FD1"/>
    <w:rsid w:val="00171FF3"/>
    <w:rsid w:val="0017479F"/>
    <w:rsid w:val="00180199"/>
    <w:rsid w:val="00181C82"/>
    <w:rsid w:val="001828C8"/>
    <w:rsid w:val="0018396A"/>
    <w:rsid w:val="00186877"/>
    <w:rsid w:val="001869F0"/>
    <w:rsid w:val="00186E58"/>
    <w:rsid w:val="00191004"/>
    <w:rsid w:val="00192CE1"/>
    <w:rsid w:val="00193DAE"/>
    <w:rsid w:val="00195D6F"/>
    <w:rsid w:val="001A0565"/>
    <w:rsid w:val="001A0875"/>
    <w:rsid w:val="001A1A17"/>
    <w:rsid w:val="001A776F"/>
    <w:rsid w:val="001B694E"/>
    <w:rsid w:val="001C0498"/>
    <w:rsid w:val="001C0545"/>
    <w:rsid w:val="001C0796"/>
    <w:rsid w:val="001C0D47"/>
    <w:rsid w:val="001C47C9"/>
    <w:rsid w:val="001D1746"/>
    <w:rsid w:val="001E04F5"/>
    <w:rsid w:val="001E2631"/>
    <w:rsid w:val="001E3D73"/>
    <w:rsid w:val="001E6977"/>
    <w:rsid w:val="001E6F28"/>
    <w:rsid w:val="001E752C"/>
    <w:rsid w:val="001F0B4B"/>
    <w:rsid w:val="001F282C"/>
    <w:rsid w:val="001F3985"/>
    <w:rsid w:val="001F557A"/>
    <w:rsid w:val="0020056E"/>
    <w:rsid w:val="00204688"/>
    <w:rsid w:val="0020606F"/>
    <w:rsid w:val="002062EC"/>
    <w:rsid w:val="00210AAD"/>
    <w:rsid w:val="00212745"/>
    <w:rsid w:val="00214244"/>
    <w:rsid w:val="00214852"/>
    <w:rsid w:val="0021485C"/>
    <w:rsid w:val="00215A22"/>
    <w:rsid w:val="00216D3A"/>
    <w:rsid w:val="002208D6"/>
    <w:rsid w:val="00225566"/>
    <w:rsid w:val="00226B0F"/>
    <w:rsid w:val="00227127"/>
    <w:rsid w:val="00231DCA"/>
    <w:rsid w:val="002356C8"/>
    <w:rsid w:val="00247854"/>
    <w:rsid w:val="00252405"/>
    <w:rsid w:val="002534F8"/>
    <w:rsid w:val="00255B34"/>
    <w:rsid w:val="00255E6E"/>
    <w:rsid w:val="00256488"/>
    <w:rsid w:val="00260B41"/>
    <w:rsid w:val="00262716"/>
    <w:rsid w:val="00262DF8"/>
    <w:rsid w:val="00263FC7"/>
    <w:rsid w:val="002676DF"/>
    <w:rsid w:val="002701A3"/>
    <w:rsid w:val="00271364"/>
    <w:rsid w:val="00275549"/>
    <w:rsid w:val="00284E6F"/>
    <w:rsid w:val="002961DD"/>
    <w:rsid w:val="002A1AB8"/>
    <w:rsid w:val="002A4CF0"/>
    <w:rsid w:val="002A60F6"/>
    <w:rsid w:val="002B189A"/>
    <w:rsid w:val="002B219D"/>
    <w:rsid w:val="002B3996"/>
    <w:rsid w:val="002B3CAD"/>
    <w:rsid w:val="002B4119"/>
    <w:rsid w:val="002B6A0D"/>
    <w:rsid w:val="002B770A"/>
    <w:rsid w:val="002C4EC4"/>
    <w:rsid w:val="002C55F2"/>
    <w:rsid w:val="002C6295"/>
    <w:rsid w:val="002D14D9"/>
    <w:rsid w:val="002D2BBC"/>
    <w:rsid w:val="002D30A4"/>
    <w:rsid w:val="002D6648"/>
    <w:rsid w:val="002D692F"/>
    <w:rsid w:val="002D78AD"/>
    <w:rsid w:val="002E21E1"/>
    <w:rsid w:val="002E27BE"/>
    <w:rsid w:val="002E3A62"/>
    <w:rsid w:val="002E5074"/>
    <w:rsid w:val="002E5437"/>
    <w:rsid w:val="002E6972"/>
    <w:rsid w:val="002F2F76"/>
    <w:rsid w:val="002F4B98"/>
    <w:rsid w:val="002F70CD"/>
    <w:rsid w:val="002F717A"/>
    <w:rsid w:val="00301196"/>
    <w:rsid w:val="003012BD"/>
    <w:rsid w:val="0030399E"/>
    <w:rsid w:val="00305B31"/>
    <w:rsid w:val="0031122F"/>
    <w:rsid w:val="00314C0F"/>
    <w:rsid w:val="003208FC"/>
    <w:rsid w:val="00320ABA"/>
    <w:rsid w:val="003228F1"/>
    <w:rsid w:val="0032623D"/>
    <w:rsid w:val="0032689A"/>
    <w:rsid w:val="0032737D"/>
    <w:rsid w:val="0033051E"/>
    <w:rsid w:val="00330790"/>
    <w:rsid w:val="00330A73"/>
    <w:rsid w:val="003310A7"/>
    <w:rsid w:val="00334B33"/>
    <w:rsid w:val="00336DF9"/>
    <w:rsid w:val="00337A77"/>
    <w:rsid w:val="00342437"/>
    <w:rsid w:val="00345837"/>
    <w:rsid w:val="00346245"/>
    <w:rsid w:val="00346491"/>
    <w:rsid w:val="003515D8"/>
    <w:rsid w:val="00352497"/>
    <w:rsid w:val="003548EF"/>
    <w:rsid w:val="003605F7"/>
    <w:rsid w:val="00360CBC"/>
    <w:rsid w:val="00360F69"/>
    <w:rsid w:val="00362B2D"/>
    <w:rsid w:val="00367DD5"/>
    <w:rsid w:val="00367E74"/>
    <w:rsid w:val="00371ABF"/>
    <w:rsid w:val="00374188"/>
    <w:rsid w:val="00374274"/>
    <w:rsid w:val="00375BA0"/>
    <w:rsid w:val="00376711"/>
    <w:rsid w:val="00376B50"/>
    <w:rsid w:val="00390567"/>
    <w:rsid w:val="00396F2A"/>
    <w:rsid w:val="00397508"/>
    <w:rsid w:val="00397B5C"/>
    <w:rsid w:val="003A1821"/>
    <w:rsid w:val="003A3068"/>
    <w:rsid w:val="003A55FE"/>
    <w:rsid w:val="003B0263"/>
    <w:rsid w:val="003B0E19"/>
    <w:rsid w:val="003B4ECA"/>
    <w:rsid w:val="003C0550"/>
    <w:rsid w:val="003C077F"/>
    <w:rsid w:val="003C32BC"/>
    <w:rsid w:val="003C571F"/>
    <w:rsid w:val="003C64A6"/>
    <w:rsid w:val="003D7D42"/>
    <w:rsid w:val="003E1DC9"/>
    <w:rsid w:val="003E2B95"/>
    <w:rsid w:val="003E4FE8"/>
    <w:rsid w:val="003E6FFE"/>
    <w:rsid w:val="003F3631"/>
    <w:rsid w:val="003F36A3"/>
    <w:rsid w:val="003F5158"/>
    <w:rsid w:val="003F74B0"/>
    <w:rsid w:val="003F7C40"/>
    <w:rsid w:val="0040129C"/>
    <w:rsid w:val="00404AFA"/>
    <w:rsid w:val="004052F6"/>
    <w:rsid w:val="00410063"/>
    <w:rsid w:val="004106F2"/>
    <w:rsid w:val="004111B0"/>
    <w:rsid w:val="004127BE"/>
    <w:rsid w:val="00412BCA"/>
    <w:rsid w:val="0041342B"/>
    <w:rsid w:val="004160BD"/>
    <w:rsid w:val="004161B2"/>
    <w:rsid w:val="00423F19"/>
    <w:rsid w:val="004261CF"/>
    <w:rsid w:val="004267D5"/>
    <w:rsid w:val="00433C0D"/>
    <w:rsid w:val="00434CBE"/>
    <w:rsid w:val="00436C0A"/>
    <w:rsid w:val="004445C9"/>
    <w:rsid w:val="00446BA8"/>
    <w:rsid w:val="004523AB"/>
    <w:rsid w:val="00452663"/>
    <w:rsid w:val="00453D41"/>
    <w:rsid w:val="00454297"/>
    <w:rsid w:val="00454853"/>
    <w:rsid w:val="00456E63"/>
    <w:rsid w:val="004625BB"/>
    <w:rsid w:val="00472718"/>
    <w:rsid w:val="00474EE7"/>
    <w:rsid w:val="00477AFD"/>
    <w:rsid w:val="00484577"/>
    <w:rsid w:val="004905BE"/>
    <w:rsid w:val="004907C7"/>
    <w:rsid w:val="00492022"/>
    <w:rsid w:val="00492DB2"/>
    <w:rsid w:val="00494357"/>
    <w:rsid w:val="004972A7"/>
    <w:rsid w:val="004A2FC1"/>
    <w:rsid w:val="004A4BEC"/>
    <w:rsid w:val="004A6E4D"/>
    <w:rsid w:val="004B006F"/>
    <w:rsid w:val="004B37C8"/>
    <w:rsid w:val="004B7A47"/>
    <w:rsid w:val="004C377A"/>
    <w:rsid w:val="004C5B48"/>
    <w:rsid w:val="004C74EB"/>
    <w:rsid w:val="004D03C8"/>
    <w:rsid w:val="004D075D"/>
    <w:rsid w:val="004D393C"/>
    <w:rsid w:val="004E3624"/>
    <w:rsid w:val="004F1C4B"/>
    <w:rsid w:val="00502005"/>
    <w:rsid w:val="0051374B"/>
    <w:rsid w:val="005144E1"/>
    <w:rsid w:val="0051698F"/>
    <w:rsid w:val="005202CB"/>
    <w:rsid w:val="00524EDC"/>
    <w:rsid w:val="005306B5"/>
    <w:rsid w:val="00535279"/>
    <w:rsid w:val="005357DA"/>
    <w:rsid w:val="00536DAD"/>
    <w:rsid w:val="00545119"/>
    <w:rsid w:val="00546632"/>
    <w:rsid w:val="0054730A"/>
    <w:rsid w:val="005544FE"/>
    <w:rsid w:val="00554F55"/>
    <w:rsid w:val="00554FD5"/>
    <w:rsid w:val="00555CA6"/>
    <w:rsid w:val="005578FE"/>
    <w:rsid w:val="00561140"/>
    <w:rsid w:val="005645C1"/>
    <w:rsid w:val="00564774"/>
    <w:rsid w:val="00566C1F"/>
    <w:rsid w:val="0056742A"/>
    <w:rsid w:val="00571D5D"/>
    <w:rsid w:val="00576522"/>
    <w:rsid w:val="00590768"/>
    <w:rsid w:val="00590EF0"/>
    <w:rsid w:val="00591DA1"/>
    <w:rsid w:val="005921AA"/>
    <w:rsid w:val="00596A0C"/>
    <w:rsid w:val="005A0760"/>
    <w:rsid w:val="005A339E"/>
    <w:rsid w:val="005A445E"/>
    <w:rsid w:val="005A67D3"/>
    <w:rsid w:val="005A6A4A"/>
    <w:rsid w:val="005A6BB4"/>
    <w:rsid w:val="005A6CCB"/>
    <w:rsid w:val="005A7DC3"/>
    <w:rsid w:val="005B1AB1"/>
    <w:rsid w:val="005B2838"/>
    <w:rsid w:val="005B305F"/>
    <w:rsid w:val="005C04EA"/>
    <w:rsid w:val="005C0ACA"/>
    <w:rsid w:val="005C29E5"/>
    <w:rsid w:val="005C33BF"/>
    <w:rsid w:val="005C388F"/>
    <w:rsid w:val="005D510C"/>
    <w:rsid w:val="005D567B"/>
    <w:rsid w:val="005E042D"/>
    <w:rsid w:val="005E0532"/>
    <w:rsid w:val="005F6A73"/>
    <w:rsid w:val="00600111"/>
    <w:rsid w:val="00600A9A"/>
    <w:rsid w:val="006017E3"/>
    <w:rsid w:val="0060594C"/>
    <w:rsid w:val="00606501"/>
    <w:rsid w:val="0061162C"/>
    <w:rsid w:val="00613E79"/>
    <w:rsid w:val="0061446B"/>
    <w:rsid w:val="00614F68"/>
    <w:rsid w:val="00621865"/>
    <w:rsid w:val="0062357F"/>
    <w:rsid w:val="006265DD"/>
    <w:rsid w:val="00633212"/>
    <w:rsid w:val="006335B0"/>
    <w:rsid w:val="00635991"/>
    <w:rsid w:val="00636BF4"/>
    <w:rsid w:val="006422B8"/>
    <w:rsid w:val="00644072"/>
    <w:rsid w:val="00645763"/>
    <w:rsid w:val="00647D10"/>
    <w:rsid w:val="0065023C"/>
    <w:rsid w:val="0065069C"/>
    <w:rsid w:val="00655B85"/>
    <w:rsid w:val="00660621"/>
    <w:rsid w:val="0066150F"/>
    <w:rsid w:val="00670928"/>
    <w:rsid w:val="00670F15"/>
    <w:rsid w:val="006710E7"/>
    <w:rsid w:val="00671AB1"/>
    <w:rsid w:val="0067534C"/>
    <w:rsid w:val="00677232"/>
    <w:rsid w:val="0068134C"/>
    <w:rsid w:val="006846C7"/>
    <w:rsid w:val="00686C72"/>
    <w:rsid w:val="00690148"/>
    <w:rsid w:val="00690539"/>
    <w:rsid w:val="0069169F"/>
    <w:rsid w:val="00694235"/>
    <w:rsid w:val="00694B5E"/>
    <w:rsid w:val="006A766B"/>
    <w:rsid w:val="006B11F6"/>
    <w:rsid w:val="006B1D17"/>
    <w:rsid w:val="006B4F6F"/>
    <w:rsid w:val="006B5E99"/>
    <w:rsid w:val="006B61B6"/>
    <w:rsid w:val="006B6F18"/>
    <w:rsid w:val="006B77BF"/>
    <w:rsid w:val="006C0203"/>
    <w:rsid w:val="006C0E07"/>
    <w:rsid w:val="006C2A41"/>
    <w:rsid w:val="006C4A9F"/>
    <w:rsid w:val="006C6606"/>
    <w:rsid w:val="006E5F49"/>
    <w:rsid w:val="006E751B"/>
    <w:rsid w:val="006F3359"/>
    <w:rsid w:val="006F3E10"/>
    <w:rsid w:val="006F65C4"/>
    <w:rsid w:val="006F6E87"/>
    <w:rsid w:val="00701174"/>
    <w:rsid w:val="00703BA3"/>
    <w:rsid w:val="00704100"/>
    <w:rsid w:val="00706D99"/>
    <w:rsid w:val="0071159E"/>
    <w:rsid w:val="00712B41"/>
    <w:rsid w:val="007132F8"/>
    <w:rsid w:val="00716004"/>
    <w:rsid w:val="007211EF"/>
    <w:rsid w:val="00727085"/>
    <w:rsid w:val="00727536"/>
    <w:rsid w:val="00730EF9"/>
    <w:rsid w:val="00731971"/>
    <w:rsid w:val="00731A25"/>
    <w:rsid w:val="007331AD"/>
    <w:rsid w:val="00733EC0"/>
    <w:rsid w:val="00734045"/>
    <w:rsid w:val="00735B68"/>
    <w:rsid w:val="00740D0A"/>
    <w:rsid w:val="00742337"/>
    <w:rsid w:val="007457D0"/>
    <w:rsid w:val="00746B6E"/>
    <w:rsid w:val="00747039"/>
    <w:rsid w:val="00747B68"/>
    <w:rsid w:val="0075488E"/>
    <w:rsid w:val="00754C1C"/>
    <w:rsid w:val="00756AFA"/>
    <w:rsid w:val="007579CE"/>
    <w:rsid w:val="00761BDF"/>
    <w:rsid w:val="00761F38"/>
    <w:rsid w:val="007634F5"/>
    <w:rsid w:val="007708BB"/>
    <w:rsid w:val="00770CE2"/>
    <w:rsid w:val="00776A3C"/>
    <w:rsid w:val="00777080"/>
    <w:rsid w:val="00780E86"/>
    <w:rsid w:val="00785377"/>
    <w:rsid w:val="00786BDC"/>
    <w:rsid w:val="0078771F"/>
    <w:rsid w:val="00793DA5"/>
    <w:rsid w:val="00796C4E"/>
    <w:rsid w:val="007A212F"/>
    <w:rsid w:val="007A51F4"/>
    <w:rsid w:val="007A6842"/>
    <w:rsid w:val="007B2268"/>
    <w:rsid w:val="007B2621"/>
    <w:rsid w:val="007B2750"/>
    <w:rsid w:val="007B51B8"/>
    <w:rsid w:val="007B5ADD"/>
    <w:rsid w:val="007C3483"/>
    <w:rsid w:val="007C46D1"/>
    <w:rsid w:val="007C53E5"/>
    <w:rsid w:val="007C6AAF"/>
    <w:rsid w:val="007D10D8"/>
    <w:rsid w:val="007D3BE5"/>
    <w:rsid w:val="007D3DAF"/>
    <w:rsid w:val="007D46DA"/>
    <w:rsid w:val="007E0057"/>
    <w:rsid w:val="007E0EDB"/>
    <w:rsid w:val="007E1D23"/>
    <w:rsid w:val="007E5172"/>
    <w:rsid w:val="007E6E05"/>
    <w:rsid w:val="007F1100"/>
    <w:rsid w:val="007F5861"/>
    <w:rsid w:val="007F6595"/>
    <w:rsid w:val="00801DF3"/>
    <w:rsid w:val="0080226F"/>
    <w:rsid w:val="00802EB0"/>
    <w:rsid w:val="008030F4"/>
    <w:rsid w:val="00807916"/>
    <w:rsid w:val="00810C31"/>
    <w:rsid w:val="00811B54"/>
    <w:rsid w:val="00816CDF"/>
    <w:rsid w:val="008221B8"/>
    <w:rsid w:val="00823DA4"/>
    <w:rsid w:val="00824C19"/>
    <w:rsid w:val="00826DE3"/>
    <w:rsid w:val="00826DEA"/>
    <w:rsid w:val="00832E4D"/>
    <w:rsid w:val="0083359A"/>
    <w:rsid w:val="00833CD5"/>
    <w:rsid w:val="008404D4"/>
    <w:rsid w:val="00840D43"/>
    <w:rsid w:val="008428FC"/>
    <w:rsid w:val="008443CD"/>
    <w:rsid w:val="00844702"/>
    <w:rsid w:val="0084616B"/>
    <w:rsid w:val="00852CA4"/>
    <w:rsid w:val="00852EED"/>
    <w:rsid w:val="00853074"/>
    <w:rsid w:val="008555DE"/>
    <w:rsid w:val="0085785E"/>
    <w:rsid w:val="00860908"/>
    <w:rsid w:val="00861FE7"/>
    <w:rsid w:val="00862E9D"/>
    <w:rsid w:val="00864DD1"/>
    <w:rsid w:val="00866DF3"/>
    <w:rsid w:val="00866F51"/>
    <w:rsid w:val="0087324A"/>
    <w:rsid w:val="0087418A"/>
    <w:rsid w:val="0087555B"/>
    <w:rsid w:val="0087575A"/>
    <w:rsid w:val="0088359D"/>
    <w:rsid w:val="00886FBB"/>
    <w:rsid w:val="00892269"/>
    <w:rsid w:val="00896F61"/>
    <w:rsid w:val="008A0559"/>
    <w:rsid w:val="008A5FEA"/>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532B"/>
    <w:rsid w:val="00916665"/>
    <w:rsid w:val="00921568"/>
    <w:rsid w:val="00926994"/>
    <w:rsid w:val="00935317"/>
    <w:rsid w:val="00941260"/>
    <w:rsid w:val="00941D10"/>
    <w:rsid w:val="00941E89"/>
    <w:rsid w:val="00945E3B"/>
    <w:rsid w:val="009477BA"/>
    <w:rsid w:val="0095034A"/>
    <w:rsid w:val="009521DB"/>
    <w:rsid w:val="009526F9"/>
    <w:rsid w:val="0095286A"/>
    <w:rsid w:val="009556E9"/>
    <w:rsid w:val="00965AD1"/>
    <w:rsid w:val="00966B81"/>
    <w:rsid w:val="00967932"/>
    <w:rsid w:val="00975183"/>
    <w:rsid w:val="009767D4"/>
    <w:rsid w:val="0097782B"/>
    <w:rsid w:val="00977FEA"/>
    <w:rsid w:val="009836F1"/>
    <w:rsid w:val="0098426A"/>
    <w:rsid w:val="00985747"/>
    <w:rsid w:val="00987207"/>
    <w:rsid w:val="00987D4F"/>
    <w:rsid w:val="00991CC3"/>
    <w:rsid w:val="00997B2E"/>
    <w:rsid w:val="009A0CDA"/>
    <w:rsid w:val="009A0D91"/>
    <w:rsid w:val="009A301A"/>
    <w:rsid w:val="009A3F9E"/>
    <w:rsid w:val="009A4317"/>
    <w:rsid w:val="009A505A"/>
    <w:rsid w:val="009B1F46"/>
    <w:rsid w:val="009B203D"/>
    <w:rsid w:val="009B2A20"/>
    <w:rsid w:val="009B2CDB"/>
    <w:rsid w:val="009B3FE6"/>
    <w:rsid w:val="009B4055"/>
    <w:rsid w:val="009B553E"/>
    <w:rsid w:val="009B719A"/>
    <w:rsid w:val="009B7B32"/>
    <w:rsid w:val="009C136D"/>
    <w:rsid w:val="009C2BEF"/>
    <w:rsid w:val="009C2D20"/>
    <w:rsid w:val="009C554A"/>
    <w:rsid w:val="009D1163"/>
    <w:rsid w:val="009D565B"/>
    <w:rsid w:val="009D5A70"/>
    <w:rsid w:val="009D7FEC"/>
    <w:rsid w:val="009E2915"/>
    <w:rsid w:val="009F186F"/>
    <w:rsid w:val="009F3E84"/>
    <w:rsid w:val="009F7D3B"/>
    <w:rsid w:val="009F7FD1"/>
    <w:rsid w:val="00A019F6"/>
    <w:rsid w:val="00A055C0"/>
    <w:rsid w:val="00A06430"/>
    <w:rsid w:val="00A068B3"/>
    <w:rsid w:val="00A078AC"/>
    <w:rsid w:val="00A07F74"/>
    <w:rsid w:val="00A158BF"/>
    <w:rsid w:val="00A16B8E"/>
    <w:rsid w:val="00A17939"/>
    <w:rsid w:val="00A2064D"/>
    <w:rsid w:val="00A230C9"/>
    <w:rsid w:val="00A30F9D"/>
    <w:rsid w:val="00A326B6"/>
    <w:rsid w:val="00A37422"/>
    <w:rsid w:val="00A401FA"/>
    <w:rsid w:val="00A41734"/>
    <w:rsid w:val="00A46CB7"/>
    <w:rsid w:val="00A51872"/>
    <w:rsid w:val="00A51FC4"/>
    <w:rsid w:val="00A52B75"/>
    <w:rsid w:val="00A57556"/>
    <w:rsid w:val="00A57B3B"/>
    <w:rsid w:val="00A60373"/>
    <w:rsid w:val="00A60DFE"/>
    <w:rsid w:val="00A612A4"/>
    <w:rsid w:val="00A619E3"/>
    <w:rsid w:val="00A700B0"/>
    <w:rsid w:val="00A70FD7"/>
    <w:rsid w:val="00A7132F"/>
    <w:rsid w:val="00A76CCA"/>
    <w:rsid w:val="00A779A7"/>
    <w:rsid w:val="00A84226"/>
    <w:rsid w:val="00AA12F8"/>
    <w:rsid w:val="00AA3449"/>
    <w:rsid w:val="00AA4566"/>
    <w:rsid w:val="00AB6AAC"/>
    <w:rsid w:val="00AB772A"/>
    <w:rsid w:val="00AC7702"/>
    <w:rsid w:val="00AD5650"/>
    <w:rsid w:val="00AD67F8"/>
    <w:rsid w:val="00AD7442"/>
    <w:rsid w:val="00AE03D3"/>
    <w:rsid w:val="00AE0ECE"/>
    <w:rsid w:val="00AE1648"/>
    <w:rsid w:val="00AE24A5"/>
    <w:rsid w:val="00AE7441"/>
    <w:rsid w:val="00AF0C8D"/>
    <w:rsid w:val="00AF1319"/>
    <w:rsid w:val="00AF28A5"/>
    <w:rsid w:val="00AF41BF"/>
    <w:rsid w:val="00AF7F2C"/>
    <w:rsid w:val="00B026A8"/>
    <w:rsid w:val="00B03153"/>
    <w:rsid w:val="00B035F3"/>
    <w:rsid w:val="00B03FBF"/>
    <w:rsid w:val="00B0541B"/>
    <w:rsid w:val="00B067E8"/>
    <w:rsid w:val="00B07406"/>
    <w:rsid w:val="00B1278B"/>
    <w:rsid w:val="00B145CC"/>
    <w:rsid w:val="00B1651B"/>
    <w:rsid w:val="00B1669A"/>
    <w:rsid w:val="00B172E7"/>
    <w:rsid w:val="00B17DA2"/>
    <w:rsid w:val="00B217A5"/>
    <w:rsid w:val="00B24195"/>
    <w:rsid w:val="00B272D4"/>
    <w:rsid w:val="00B27A64"/>
    <w:rsid w:val="00B3165D"/>
    <w:rsid w:val="00B3296D"/>
    <w:rsid w:val="00B33078"/>
    <w:rsid w:val="00B3352E"/>
    <w:rsid w:val="00B35544"/>
    <w:rsid w:val="00B35DD0"/>
    <w:rsid w:val="00B364B0"/>
    <w:rsid w:val="00B37576"/>
    <w:rsid w:val="00B404E9"/>
    <w:rsid w:val="00B44379"/>
    <w:rsid w:val="00B44EA9"/>
    <w:rsid w:val="00B46E83"/>
    <w:rsid w:val="00B5074C"/>
    <w:rsid w:val="00B52E59"/>
    <w:rsid w:val="00B54845"/>
    <w:rsid w:val="00B62325"/>
    <w:rsid w:val="00B64A32"/>
    <w:rsid w:val="00B67564"/>
    <w:rsid w:val="00B70062"/>
    <w:rsid w:val="00B739CE"/>
    <w:rsid w:val="00B76558"/>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A6083"/>
    <w:rsid w:val="00BB1880"/>
    <w:rsid w:val="00BB2907"/>
    <w:rsid w:val="00BB3BCB"/>
    <w:rsid w:val="00BB5A82"/>
    <w:rsid w:val="00BB6175"/>
    <w:rsid w:val="00BB71E9"/>
    <w:rsid w:val="00BC7717"/>
    <w:rsid w:val="00BD2CD2"/>
    <w:rsid w:val="00BE22AF"/>
    <w:rsid w:val="00BE2B5B"/>
    <w:rsid w:val="00BE4989"/>
    <w:rsid w:val="00BE5814"/>
    <w:rsid w:val="00BF3E1F"/>
    <w:rsid w:val="00C04694"/>
    <w:rsid w:val="00C0490A"/>
    <w:rsid w:val="00C04C42"/>
    <w:rsid w:val="00C068DF"/>
    <w:rsid w:val="00C1132E"/>
    <w:rsid w:val="00C114A7"/>
    <w:rsid w:val="00C12E10"/>
    <w:rsid w:val="00C15460"/>
    <w:rsid w:val="00C20DA7"/>
    <w:rsid w:val="00C23492"/>
    <w:rsid w:val="00C329A4"/>
    <w:rsid w:val="00C35549"/>
    <w:rsid w:val="00C3570C"/>
    <w:rsid w:val="00C37766"/>
    <w:rsid w:val="00C44778"/>
    <w:rsid w:val="00C46346"/>
    <w:rsid w:val="00C541A9"/>
    <w:rsid w:val="00C55872"/>
    <w:rsid w:val="00C567E4"/>
    <w:rsid w:val="00C57FEB"/>
    <w:rsid w:val="00C609B5"/>
    <w:rsid w:val="00C723E4"/>
    <w:rsid w:val="00C767E1"/>
    <w:rsid w:val="00C822C2"/>
    <w:rsid w:val="00C8582E"/>
    <w:rsid w:val="00C860C6"/>
    <w:rsid w:val="00C86B0A"/>
    <w:rsid w:val="00C873A1"/>
    <w:rsid w:val="00C90382"/>
    <w:rsid w:val="00C90D84"/>
    <w:rsid w:val="00C90F1A"/>
    <w:rsid w:val="00C92367"/>
    <w:rsid w:val="00C93540"/>
    <w:rsid w:val="00C94049"/>
    <w:rsid w:val="00C94258"/>
    <w:rsid w:val="00C960E7"/>
    <w:rsid w:val="00CA043C"/>
    <w:rsid w:val="00CA159A"/>
    <w:rsid w:val="00CA238B"/>
    <w:rsid w:val="00CA6F6B"/>
    <w:rsid w:val="00CB11F7"/>
    <w:rsid w:val="00CB2FCE"/>
    <w:rsid w:val="00CB4F92"/>
    <w:rsid w:val="00CC1FAA"/>
    <w:rsid w:val="00CC62C5"/>
    <w:rsid w:val="00CE15C0"/>
    <w:rsid w:val="00CE68F2"/>
    <w:rsid w:val="00CE72B9"/>
    <w:rsid w:val="00CF07A9"/>
    <w:rsid w:val="00CF41C8"/>
    <w:rsid w:val="00D006B4"/>
    <w:rsid w:val="00D0217A"/>
    <w:rsid w:val="00D02406"/>
    <w:rsid w:val="00D03706"/>
    <w:rsid w:val="00D0631D"/>
    <w:rsid w:val="00D2032E"/>
    <w:rsid w:val="00D20820"/>
    <w:rsid w:val="00D25404"/>
    <w:rsid w:val="00D25C8F"/>
    <w:rsid w:val="00D25E9F"/>
    <w:rsid w:val="00D26449"/>
    <w:rsid w:val="00D266FC"/>
    <w:rsid w:val="00D32AFD"/>
    <w:rsid w:val="00D373DB"/>
    <w:rsid w:val="00D42141"/>
    <w:rsid w:val="00D4217F"/>
    <w:rsid w:val="00D4577F"/>
    <w:rsid w:val="00D474F8"/>
    <w:rsid w:val="00D5353F"/>
    <w:rsid w:val="00D55F4B"/>
    <w:rsid w:val="00D56B1D"/>
    <w:rsid w:val="00D56B90"/>
    <w:rsid w:val="00D64856"/>
    <w:rsid w:val="00D717FD"/>
    <w:rsid w:val="00D83829"/>
    <w:rsid w:val="00D84486"/>
    <w:rsid w:val="00D852E1"/>
    <w:rsid w:val="00D93D36"/>
    <w:rsid w:val="00D94B1E"/>
    <w:rsid w:val="00D9657F"/>
    <w:rsid w:val="00DA1786"/>
    <w:rsid w:val="00DA1884"/>
    <w:rsid w:val="00DA22C7"/>
    <w:rsid w:val="00DA477A"/>
    <w:rsid w:val="00DA56C7"/>
    <w:rsid w:val="00DB10AA"/>
    <w:rsid w:val="00DB20C2"/>
    <w:rsid w:val="00DB30E9"/>
    <w:rsid w:val="00DB32CD"/>
    <w:rsid w:val="00DB36DF"/>
    <w:rsid w:val="00DB454A"/>
    <w:rsid w:val="00DB6C4A"/>
    <w:rsid w:val="00DB6F50"/>
    <w:rsid w:val="00DC138E"/>
    <w:rsid w:val="00DD169A"/>
    <w:rsid w:val="00DD408A"/>
    <w:rsid w:val="00DE2ABF"/>
    <w:rsid w:val="00DE44F9"/>
    <w:rsid w:val="00DE4DE1"/>
    <w:rsid w:val="00DE5CB5"/>
    <w:rsid w:val="00DE7F9B"/>
    <w:rsid w:val="00DF2C25"/>
    <w:rsid w:val="00DF3665"/>
    <w:rsid w:val="00DF4032"/>
    <w:rsid w:val="00DF61ED"/>
    <w:rsid w:val="00E00A5F"/>
    <w:rsid w:val="00E029A9"/>
    <w:rsid w:val="00E04B80"/>
    <w:rsid w:val="00E04F71"/>
    <w:rsid w:val="00E06FA2"/>
    <w:rsid w:val="00E0766D"/>
    <w:rsid w:val="00E104CA"/>
    <w:rsid w:val="00E16914"/>
    <w:rsid w:val="00E20028"/>
    <w:rsid w:val="00E2056F"/>
    <w:rsid w:val="00E22737"/>
    <w:rsid w:val="00E22B42"/>
    <w:rsid w:val="00E3034B"/>
    <w:rsid w:val="00E33441"/>
    <w:rsid w:val="00E34EB1"/>
    <w:rsid w:val="00E34FAA"/>
    <w:rsid w:val="00E3729E"/>
    <w:rsid w:val="00E379FC"/>
    <w:rsid w:val="00E47FF7"/>
    <w:rsid w:val="00E507AF"/>
    <w:rsid w:val="00E517EC"/>
    <w:rsid w:val="00E52E98"/>
    <w:rsid w:val="00E5355B"/>
    <w:rsid w:val="00E53788"/>
    <w:rsid w:val="00E563D8"/>
    <w:rsid w:val="00E570DA"/>
    <w:rsid w:val="00E61AE2"/>
    <w:rsid w:val="00E7284D"/>
    <w:rsid w:val="00E73C97"/>
    <w:rsid w:val="00E74392"/>
    <w:rsid w:val="00E75627"/>
    <w:rsid w:val="00E86396"/>
    <w:rsid w:val="00E91749"/>
    <w:rsid w:val="00E93E23"/>
    <w:rsid w:val="00E94B83"/>
    <w:rsid w:val="00E96C4F"/>
    <w:rsid w:val="00EB2D50"/>
    <w:rsid w:val="00EB3114"/>
    <w:rsid w:val="00EB4FA9"/>
    <w:rsid w:val="00EB7406"/>
    <w:rsid w:val="00EC05A2"/>
    <w:rsid w:val="00EC1B2B"/>
    <w:rsid w:val="00EC37D1"/>
    <w:rsid w:val="00EC451A"/>
    <w:rsid w:val="00EC7595"/>
    <w:rsid w:val="00ED447D"/>
    <w:rsid w:val="00ED6DDC"/>
    <w:rsid w:val="00EE13FB"/>
    <w:rsid w:val="00EE256C"/>
    <w:rsid w:val="00EF16F2"/>
    <w:rsid w:val="00EF1AEC"/>
    <w:rsid w:val="00EF2744"/>
    <w:rsid w:val="00EF300A"/>
    <w:rsid w:val="00EF36BD"/>
    <w:rsid w:val="00EF6067"/>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35425"/>
    <w:rsid w:val="00F40EEC"/>
    <w:rsid w:val="00F43E28"/>
    <w:rsid w:val="00F547C9"/>
    <w:rsid w:val="00F5485A"/>
    <w:rsid w:val="00F5503D"/>
    <w:rsid w:val="00F559C3"/>
    <w:rsid w:val="00F56D6A"/>
    <w:rsid w:val="00F57602"/>
    <w:rsid w:val="00F57F53"/>
    <w:rsid w:val="00F617F1"/>
    <w:rsid w:val="00F61E75"/>
    <w:rsid w:val="00F632EC"/>
    <w:rsid w:val="00F63640"/>
    <w:rsid w:val="00F63C6C"/>
    <w:rsid w:val="00F654E9"/>
    <w:rsid w:val="00F657AA"/>
    <w:rsid w:val="00F6753A"/>
    <w:rsid w:val="00F75396"/>
    <w:rsid w:val="00F80935"/>
    <w:rsid w:val="00F81FA2"/>
    <w:rsid w:val="00F87F3E"/>
    <w:rsid w:val="00F95F95"/>
    <w:rsid w:val="00F9739C"/>
    <w:rsid w:val="00FA0CEB"/>
    <w:rsid w:val="00FA13DE"/>
    <w:rsid w:val="00FB0185"/>
    <w:rsid w:val="00FC2304"/>
    <w:rsid w:val="00FC347C"/>
    <w:rsid w:val="00FC4C04"/>
    <w:rsid w:val="00FC5120"/>
    <w:rsid w:val="00FC632E"/>
    <w:rsid w:val="00FC6D91"/>
    <w:rsid w:val="00FD24AC"/>
    <w:rsid w:val="00FD69E3"/>
    <w:rsid w:val="00FE1983"/>
    <w:rsid w:val="00FE38B2"/>
    <w:rsid w:val="00FE7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2F717A"/>
    <w:pPr>
      <w:keepNext/>
      <w:keepLines/>
      <w:spacing w:before="200" w:after="0"/>
      <w:outlineLvl w:val="3"/>
    </w:pPr>
    <w:rPr>
      <w:rFonts w:asciiTheme="majorHAnsi" w:eastAsiaTheme="majorEastAsia" w:hAnsiTheme="majorHAnsi" w:cstheme="majorBidi"/>
      <w:b/>
      <w:bCs/>
      <w:i/>
      <w:iCs/>
      <w:color w:val="554740" w:themeColor="accent2" w:themeShade="BF"/>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2F717A"/>
    <w:rPr>
      <w:rFonts w:asciiTheme="majorHAnsi" w:eastAsiaTheme="majorEastAsia" w:hAnsiTheme="majorHAnsi" w:cstheme="majorBidi"/>
      <w:b/>
      <w:bCs/>
      <w:i/>
      <w:iCs/>
      <w:color w:val="554740" w:themeColor="accent2" w:themeShade="BF"/>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link w:val="SinespaciadoCar"/>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 w:type="paragraph" w:styleId="Bibliografa">
    <w:name w:val="Bibliography"/>
    <w:basedOn w:val="Normal"/>
    <w:next w:val="Normal"/>
    <w:uiPriority w:val="37"/>
    <w:unhideWhenUsed/>
    <w:rsid w:val="00694235"/>
  </w:style>
  <w:style w:type="character" w:customStyle="1" w:styleId="SinespaciadoCar">
    <w:name w:val="Sin espaciado Car"/>
    <w:basedOn w:val="Fuentedeprrafopredeter"/>
    <w:link w:val="Sinespaciado"/>
    <w:uiPriority w:val="1"/>
    <w:rsid w:val="00405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2F717A"/>
    <w:pPr>
      <w:keepNext/>
      <w:keepLines/>
      <w:spacing w:before="200" w:after="0"/>
      <w:outlineLvl w:val="3"/>
    </w:pPr>
    <w:rPr>
      <w:rFonts w:asciiTheme="majorHAnsi" w:eastAsiaTheme="majorEastAsia" w:hAnsiTheme="majorHAnsi" w:cstheme="majorBidi"/>
      <w:b/>
      <w:bCs/>
      <w:i/>
      <w:iCs/>
      <w:color w:val="554740" w:themeColor="accent2" w:themeShade="BF"/>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2F717A"/>
    <w:rPr>
      <w:rFonts w:asciiTheme="majorHAnsi" w:eastAsiaTheme="majorEastAsia" w:hAnsiTheme="majorHAnsi" w:cstheme="majorBidi"/>
      <w:b/>
      <w:bCs/>
      <w:i/>
      <w:iCs/>
      <w:color w:val="554740" w:themeColor="accent2" w:themeShade="BF"/>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link w:val="SinespaciadoCar"/>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 w:type="paragraph" w:styleId="Bibliografa">
    <w:name w:val="Bibliography"/>
    <w:basedOn w:val="Normal"/>
    <w:next w:val="Normal"/>
    <w:uiPriority w:val="37"/>
    <w:unhideWhenUsed/>
    <w:rsid w:val="00694235"/>
  </w:style>
  <w:style w:type="character" w:customStyle="1" w:styleId="SinespaciadoCar">
    <w:name w:val="Sin espaciado Car"/>
    <w:basedOn w:val="Fuentedeprrafopredeter"/>
    <w:link w:val="Sinespaciado"/>
    <w:uiPriority w:val="1"/>
    <w:rsid w:val="0040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172723089">
      <w:bodyDiv w:val="1"/>
      <w:marLeft w:val="0"/>
      <w:marRight w:val="0"/>
      <w:marTop w:val="0"/>
      <w:marBottom w:val="0"/>
      <w:divBdr>
        <w:top w:val="none" w:sz="0" w:space="0" w:color="auto"/>
        <w:left w:val="none" w:sz="0" w:space="0" w:color="auto"/>
        <w:bottom w:val="none" w:sz="0" w:space="0" w:color="auto"/>
        <w:right w:val="none" w:sz="0" w:space="0" w:color="auto"/>
      </w:divBdr>
      <w:divsChild>
        <w:div w:id="1884055404">
          <w:marLeft w:val="0"/>
          <w:marRight w:val="0"/>
          <w:marTop w:val="0"/>
          <w:marBottom w:val="0"/>
          <w:divBdr>
            <w:top w:val="none" w:sz="0" w:space="0" w:color="auto"/>
            <w:left w:val="none" w:sz="0" w:space="0" w:color="auto"/>
            <w:bottom w:val="none" w:sz="0" w:space="0" w:color="auto"/>
            <w:right w:val="none" w:sz="0" w:space="0" w:color="auto"/>
          </w:divBdr>
          <w:divsChild>
            <w:div w:id="1584879398">
              <w:marLeft w:val="0"/>
              <w:marRight w:val="0"/>
              <w:marTop w:val="0"/>
              <w:marBottom w:val="0"/>
              <w:divBdr>
                <w:top w:val="none" w:sz="0" w:space="0" w:color="auto"/>
                <w:left w:val="none" w:sz="0" w:space="0" w:color="auto"/>
                <w:bottom w:val="none" w:sz="0" w:space="0" w:color="auto"/>
                <w:right w:val="none" w:sz="0" w:space="0" w:color="auto"/>
              </w:divBdr>
              <w:divsChild>
                <w:div w:id="104276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D:\Carpetas%20personales\Descargas\TFG_Lourdes_Ruiz_Ortega%20(5).docx" TargetMode="External"/><Relationship Id="rId26" Type="http://schemas.openxmlformats.org/officeDocument/2006/relationships/hyperlink" Target="file:///D:\Carpetas%20personales\Descargas\TFG_Lourdes_Ruiz_Ortega%20(5).docx" TargetMode="External"/><Relationship Id="rId39" Type="http://schemas.openxmlformats.org/officeDocument/2006/relationships/chart" Target="charts/chart4.xml"/><Relationship Id="rId21" Type="http://schemas.openxmlformats.org/officeDocument/2006/relationships/hyperlink" Target="file:///D:\Carpetas%20personales\Descargas\TFG_Lourdes_Ruiz_Ortega%20(5).docx" TargetMode="External"/><Relationship Id="rId34" Type="http://schemas.openxmlformats.org/officeDocument/2006/relationships/image" Target="media/image2.png"/><Relationship Id="rId42" Type="http://schemas.openxmlformats.org/officeDocument/2006/relationships/chart" Target="charts/chart7.xml"/><Relationship Id="rId47" Type="http://schemas.openxmlformats.org/officeDocument/2006/relationships/chart" Target="charts/chart11.xml"/><Relationship Id="rId50" Type="http://schemas.openxmlformats.org/officeDocument/2006/relationships/chart" Target="charts/chart14.xml"/><Relationship Id="rId55"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D:\Carpetas%20personales\Descargas\TFG_Lourdes_Ruiz_Ortega%20(5).docx" TargetMode="External"/><Relationship Id="rId25" Type="http://schemas.openxmlformats.org/officeDocument/2006/relationships/hyperlink" Target="file:///D:\Carpetas%20personales\Descargas\TFG_Lourdes_Ruiz_Ortega%20(5).docx" TargetMode="External"/><Relationship Id="rId33" Type="http://schemas.openxmlformats.org/officeDocument/2006/relationships/hyperlink" Target="file:///D:\Carpetas%20personales\Descargas\TFG_Lourdes_Ruiz_Ortega%20(5).docx" TargetMode="External"/><Relationship Id="rId38" Type="http://schemas.openxmlformats.org/officeDocument/2006/relationships/chart" Target="charts/chart3.xm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D:\Carpetas%20personales\Descargas\TFG_Lourdes_Ruiz_Ortega%20(5).docx" TargetMode="External"/><Relationship Id="rId20" Type="http://schemas.openxmlformats.org/officeDocument/2006/relationships/hyperlink" Target="file:///D:\Carpetas%20personales\Descargas\TFG_Lourdes_Ruiz_Ortega%20(5).docx" TargetMode="External"/><Relationship Id="rId29" Type="http://schemas.openxmlformats.org/officeDocument/2006/relationships/hyperlink" Target="file:///D:\Carpetas%20personales\Descargas\TFG_Lourdes_Ruiz_Ortega%20(5).docx" TargetMode="External"/><Relationship Id="rId41" Type="http://schemas.openxmlformats.org/officeDocument/2006/relationships/chart" Target="charts/chart6.xml"/><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D:\Carpetas%20personales\Descargas\TFG_Lourdes_Ruiz_Ortega%20(5).docx" TargetMode="External"/><Relationship Id="rId32" Type="http://schemas.openxmlformats.org/officeDocument/2006/relationships/hyperlink" Target="file:///D:\Carpetas%20personales\Descargas\TFG_Lourdes_Ruiz_Ortega%20(5).docx" TargetMode="External"/><Relationship Id="rId37" Type="http://schemas.openxmlformats.org/officeDocument/2006/relationships/chart" Target="charts/chart2.xml"/><Relationship Id="rId40" Type="http://schemas.openxmlformats.org/officeDocument/2006/relationships/chart" Target="charts/chart5.xml"/><Relationship Id="rId45" Type="http://schemas.openxmlformats.org/officeDocument/2006/relationships/chart" Target="charts/chart10.xml"/><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D:\Carpetas%20personales\Descargas\TFG_Lourdes_Ruiz_Ortega%20(5).docx" TargetMode="External"/><Relationship Id="rId23" Type="http://schemas.openxmlformats.org/officeDocument/2006/relationships/hyperlink" Target="file:///D:\Carpetas%20personales\Descargas\TFG_Lourdes_Ruiz_Ortega%20(5).docx" TargetMode="External"/><Relationship Id="rId28" Type="http://schemas.openxmlformats.org/officeDocument/2006/relationships/hyperlink" Target="file:///D:\Carpetas%20personales\Descargas\TFG_Lourdes_Ruiz_Ortega%20(5).docx" TargetMode="External"/><Relationship Id="rId36" Type="http://schemas.openxmlformats.org/officeDocument/2006/relationships/chart" Target="charts/chart1.xml"/><Relationship Id="rId49" Type="http://schemas.openxmlformats.org/officeDocument/2006/relationships/chart" Target="charts/chart13.xml"/><Relationship Id="rId57"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file:///D:\Carpetas%20personales\Descargas\TFG_Lourdes_Ruiz_Ortega%20(5).docx" TargetMode="External"/><Relationship Id="rId31" Type="http://schemas.openxmlformats.org/officeDocument/2006/relationships/hyperlink" Target="file:///D:\Carpetas%20personales\Descargas\TFG_Lourdes_Ruiz_Ortega%20(5).docx" TargetMode="External"/><Relationship Id="rId44" Type="http://schemas.openxmlformats.org/officeDocument/2006/relationships/chart" Target="charts/chart9.xml"/><Relationship Id="rId52"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yperlink" Target="file:///D:\Carpetas%20personales\Descargas\TFG_Lourdes_Ruiz_Ortega%20(5).docx" TargetMode="External"/><Relationship Id="rId27" Type="http://schemas.openxmlformats.org/officeDocument/2006/relationships/hyperlink" Target="file:///D:\Carpetas%20personales\Descargas\TFG_Lourdes_Ruiz_Ortega%20(5).docx" TargetMode="External"/><Relationship Id="rId30" Type="http://schemas.openxmlformats.org/officeDocument/2006/relationships/hyperlink" Target="file:///D:\Carpetas%20personales\Descargas\TFG_Lourdes_Ruiz_Ortega%20(5).docx" TargetMode="External"/><Relationship Id="rId35" Type="http://schemas.openxmlformats.org/officeDocument/2006/relationships/image" Target="media/image3.jpeg"/><Relationship Id="rId43" Type="http://schemas.openxmlformats.org/officeDocument/2006/relationships/chart" Target="charts/chart8.xml"/><Relationship Id="rId48" Type="http://schemas.openxmlformats.org/officeDocument/2006/relationships/chart" Target="charts/chart12.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15.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package" Target="../embeddings/Hoja_de_c_lculo_de_Microsoft_Excel10.xlsx"/></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package" Target="../embeddings/Hoja_de_c_lculo_de_Microsoft_Excel11.xlsx"/></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package" Target="../embeddings/Hoja_de_c_lculo_de_Microsoft_Excel12.xlsx"/></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package" Target="../embeddings/Hoja_de_c_lculo_de_Microsoft_Excel13.xlsx"/></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package" Target="../embeddings/Hoja_de_c_lculo_de_Microsoft_Excel14.xlsx"/></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package" Target="../embeddings/Hoja_de_c_lculo_de_Microsoft_Excel15.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51237589866484079"/>
          <c:y val="6.1403628894214309E-2"/>
        </c:manualLayout>
      </c:layout>
      <c:overlay val="0"/>
      <c:txPr>
        <a:bodyPr/>
        <a:lstStyle/>
        <a:p>
          <a:pPr>
            <a:defRPr sz="1400"/>
          </a:pPr>
          <a:endParaRPr lang="es-ES"/>
        </a:p>
      </c:txPr>
    </c:title>
    <c:autoTitleDeleted val="0"/>
    <c:plotArea>
      <c:layout>
        <c:manualLayout>
          <c:layoutTarget val="inner"/>
          <c:xMode val="edge"/>
          <c:yMode val="edge"/>
          <c:x val="6.7723382403286542E-2"/>
          <c:y val="0.13684745928498068"/>
          <c:w val="0.48152383126022291"/>
          <c:h val="0.82546942501752496"/>
        </c:manualLayout>
      </c:layout>
      <c:doughnutChart>
        <c:varyColors val="1"/>
        <c:ser>
          <c:idx val="0"/>
          <c:order val="0"/>
          <c:tx>
            <c:strRef>
              <c:f>Hoja1!$B$1</c:f>
              <c:strCache>
                <c:ptCount val="1"/>
                <c:pt idx="0">
                  <c:v>Edad</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Mayores de 60 años</c:v>
                </c:pt>
                <c:pt idx="1">
                  <c:v>Menor o igual a 60 años</c:v>
                </c:pt>
              </c:strCache>
            </c:strRef>
          </c:cat>
          <c:val>
            <c:numRef>
              <c:f>Hoja1!$B$2:$B$3</c:f>
              <c:numCache>
                <c:formatCode>0.00%</c:formatCode>
                <c:ptCount val="2"/>
                <c:pt idx="0">
                  <c:v>0.433</c:v>
                </c:pt>
                <c:pt idx="1">
                  <c:v>0.56699999999999995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074214861073401"/>
          <c:y val="0.28000552562508635"/>
          <c:w val="0.40912902511227017"/>
          <c:h val="0.5197257908550905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200"/>
            </a:pPr>
            <a:r>
              <a:rPr lang="es-ES" sz="1200"/>
              <a:t>Edad y comorbilidades</a:t>
            </a:r>
          </a:p>
        </c:rich>
      </c:tx>
      <c:layout>
        <c:manualLayout>
          <c:xMode val="edge"/>
          <c:yMode val="edge"/>
          <c:x val="0.2536309523809524"/>
          <c:y val="7.0900026385590703E-2"/>
        </c:manualLayout>
      </c:layout>
      <c:overlay val="0"/>
    </c:title>
    <c:autoTitleDeleted val="0"/>
    <c:view3D>
      <c:rotX val="15"/>
      <c:rotY val="20"/>
      <c:rAngAx val="1"/>
    </c:view3D>
    <c:floor>
      <c:thickness val="0"/>
      <c:spPr>
        <a:noFill/>
        <a:ln w="9525">
          <a:noFill/>
        </a:ln>
      </c:spPr>
    </c:floor>
    <c:sideWall>
      <c:thickness val="0"/>
      <c:spPr>
        <a:noFill/>
      </c:spPr>
    </c:sideWall>
    <c:backWall>
      <c:thickness val="0"/>
      <c:spPr>
        <a:noFill/>
        <a:ln w="25400">
          <a:noFill/>
        </a:ln>
      </c:spPr>
    </c:backWall>
    <c:plotArea>
      <c:layout>
        <c:manualLayout>
          <c:layoutTarget val="inner"/>
          <c:xMode val="edge"/>
          <c:yMode val="edge"/>
          <c:x val="0.27244563179602549"/>
          <c:y val="0.40174311544390284"/>
          <c:w val="0.71743448658352371"/>
          <c:h val="0.46292491216375731"/>
        </c:manualLayout>
      </c:layout>
      <c:bar3DChart>
        <c:barDir val="col"/>
        <c:grouping val="clustered"/>
        <c:varyColors val="0"/>
        <c:ser>
          <c:idx val="0"/>
          <c:order val="0"/>
          <c:tx>
            <c:strRef>
              <c:f>Hoja1!$B$1</c:f>
              <c:strCache>
                <c:ptCount val="1"/>
                <c:pt idx="0">
                  <c:v>Ausencia de comorbilidades</c:v>
                </c:pt>
              </c:strCache>
            </c:strRef>
          </c:tx>
          <c:invertIfNegative val="0"/>
          <c:dLbls>
            <c:dLbl>
              <c:idx val="0"/>
              <c:layout>
                <c:manualLayout>
                  <c:x val="-6.0233408323959507E-2"/>
                  <c:y val="0.16358566290324819"/>
                </c:manualLayout>
              </c:layout>
              <c:showLegendKey val="0"/>
              <c:showVal val="1"/>
              <c:showCatName val="0"/>
              <c:showSerName val="0"/>
              <c:showPercent val="0"/>
              <c:showBubbleSize val="0"/>
            </c:dLbl>
            <c:dLbl>
              <c:idx val="1"/>
              <c:layout>
                <c:manualLayout>
                  <c:x val="-3.2996420901932715E-2"/>
                  <c:y val="-1.5686892079666514E-2"/>
                </c:manualLayout>
              </c:layout>
              <c:showLegendKey val="0"/>
              <c:showVal val="1"/>
              <c:showCatName val="0"/>
              <c:showSerName val="0"/>
              <c:showPercent val="0"/>
              <c:showBubbleSize val="0"/>
            </c:dLbl>
            <c:spPr>
              <a:solidFill>
                <a:schemeClr val="tx1"/>
              </a:solidFill>
            </c:spPr>
            <c:txPr>
              <a:bodyPr/>
              <a:lstStyle/>
              <a:p>
                <a:pPr>
                  <a:defRPr sz="800" baseline="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Hoja1!$B$2:$B$3</c:f>
              <c:numCache>
                <c:formatCode>0.00%</c:formatCode>
                <c:ptCount val="2"/>
                <c:pt idx="0">
                  <c:v>0.47099999999999997</c:v>
                </c:pt>
                <c:pt idx="1">
                  <c:v>7.6999999999999999E-2</c:v>
                </c:pt>
              </c:numCache>
            </c:numRef>
          </c:val>
        </c:ser>
        <c:ser>
          <c:idx val="1"/>
          <c:order val="1"/>
          <c:tx>
            <c:strRef>
              <c:f>Hoja1!$C$1</c:f>
              <c:strCache>
                <c:ptCount val="1"/>
                <c:pt idx="0">
                  <c:v>Presencia de comorbilidades</c:v>
                </c:pt>
              </c:strCache>
            </c:strRef>
          </c:tx>
          <c:invertIfNegative val="0"/>
          <c:dLbls>
            <c:dLbl>
              <c:idx val="0"/>
              <c:layout>
                <c:manualLayout>
                  <c:x val="1.2458124552612741E-2"/>
                  <c:y val="-1.5312644742936544E-2"/>
                </c:manualLayout>
              </c:layout>
              <c:showLegendKey val="0"/>
              <c:showVal val="1"/>
              <c:showCatName val="0"/>
              <c:showSerName val="0"/>
              <c:showPercent val="0"/>
              <c:showBubbleSize val="0"/>
            </c:dLbl>
            <c:dLbl>
              <c:idx val="1"/>
              <c:layout>
                <c:manualLayout>
                  <c:x val="8.4175137198759242E-2"/>
                  <c:y val="0.20130739539910453"/>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Hoja1!$C$2:$C$3</c:f>
              <c:numCache>
                <c:formatCode>0.00%</c:formatCode>
                <c:ptCount val="2"/>
                <c:pt idx="0">
                  <c:v>0.52900000000000003</c:v>
                </c:pt>
                <c:pt idx="1">
                  <c:v>0.92300000000000004</c:v>
                </c:pt>
              </c:numCache>
            </c:numRef>
          </c:val>
        </c:ser>
        <c:dLbls>
          <c:showLegendKey val="0"/>
          <c:showVal val="0"/>
          <c:showCatName val="0"/>
          <c:showSerName val="0"/>
          <c:showPercent val="0"/>
          <c:showBubbleSize val="0"/>
        </c:dLbls>
        <c:gapWidth val="150"/>
        <c:shape val="pyramid"/>
        <c:axId val="325973888"/>
        <c:axId val="326166016"/>
        <c:axId val="0"/>
      </c:bar3DChart>
      <c:catAx>
        <c:axId val="325973888"/>
        <c:scaling>
          <c:orientation val="minMax"/>
        </c:scaling>
        <c:delete val="0"/>
        <c:axPos val="b"/>
        <c:majorTickMark val="out"/>
        <c:minorTickMark val="none"/>
        <c:tickLblPos val="nextTo"/>
        <c:txPr>
          <a:bodyPr/>
          <a:lstStyle/>
          <a:p>
            <a:pPr>
              <a:defRPr sz="900"/>
            </a:pPr>
            <a:endParaRPr lang="es-ES"/>
          </a:p>
        </c:txPr>
        <c:crossAx val="326166016"/>
        <c:crosses val="autoZero"/>
        <c:auto val="1"/>
        <c:lblAlgn val="ctr"/>
        <c:lblOffset val="100"/>
        <c:noMultiLvlLbl val="0"/>
      </c:catAx>
      <c:valAx>
        <c:axId val="326166016"/>
        <c:scaling>
          <c:orientation val="minMax"/>
        </c:scaling>
        <c:delete val="0"/>
        <c:axPos val="l"/>
        <c:majorGridlines/>
        <c:numFmt formatCode="0.00%" sourceLinked="1"/>
        <c:majorTickMark val="out"/>
        <c:minorTickMark val="none"/>
        <c:tickLblPos val="nextTo"/>
        <c:crossAx val="325973888"/>
        <c:crosses val="autoZero"/>
        <c:crossBetween val="between"/>
      </c:valAx>
      <c:spPr>
        <a:ln w="25400">
          <a:noFill/>
        </a:ln>
      </c:spPr>
    </c:plotArea>
    <c:legend>
      <c:legendPos val="t"/>
      <c:layout>
        <c:manualLayout>
          <c:xMode val="edge"/>
          <c:yMode val="edge"/>
          <c:x val="3.3689538807649043E-2"/>
          <c:y val="0.22118179671985447"/>
          <c:w val="0.9600343593414461"/>
          <c:h val="0.1799536822603057"/>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lumMod val="75000"/>
            </a:schemeClr>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s-ES" sz="1200"/>
              <a:t>Alcohol y clínica neurológica</a:t>
            </a:r>
          </a:p>
        </c:rich>
      </c:tx>
      <c:layout>
        <c:manualLayout>
          <c:xMode val="edge"/>
          <c:yMode val="edge"/>
          <c:x val="0.27299240619833554"/>
          <c:y val="6.5722812800174764E-3"/>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4653540171277873"/>
          <c:y val="0.17440024261066403"/>
          <c:w val="0.52421105724773731"/>
          <c:h val="0.68236970378702666"/>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4.6109510086455328E-2"/>
                  <c:y val="0.11822660098522167"/>
                </c:manualLayout>
              </c:layout>
              <c:showLegendKey val="0"/>
              <c:showVal val="1"/>
              <c:showCatName val="0"/>
              <c:showSerName val="0"/>
              <c:showPercent val="0"/>
              <c:showBubbleSize val="0"/>
            </c:dLbl>
            <c:dLbl>
              <c:idx val="1"/>
              <c:layout>
                <c:manualLayout>
                  <c:x val="-7.684918347742555E-3"/>
                  <c:y val="0.19047619047619041"/>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Hoja1!$B$2:$B$3</c:f>
              <c:numCache>
                <c:formatCode>0.00%</c:formatCode>
                <c:ptCount val="2"/>
                <c:pt idx="0" formatCode="0%">
                  <c:v>0.4</c:v>
                </c:pt>
                <c:pt idx="1">
                  <c:v>0.82599999999999996</c:v>
                </c:pt>
              </c:numCache>
            </c:numRef>
          </c:val>
        </c:ser>
        <c:ser>
          <c:idx val="1"/>
          <c:order val="1"/>
          <c:tx>
            <c:strRef>
              <c:f>Hoja1!$C$1</c:f>
              <c:strCache>
                <c:ptCount val="1"/>
                <c:pt idx="0">
                  <c:v>Ausencia de clínica neurológica al diagnóstico</c:v>
                </c:pt>
              </c:strCache>
            </c:strRef>
          </c:tx>
          <c:invertIfNegative val="0"/>
          <c:dLbls>
            <c:dLbl>
              <c:idx val="0"/>
              <c:layout>
                <c:manualLayout>
                  <c:x val="3.4582132564841501E-2"/>
                  <c:y val="0.19047619047619047"/>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dLbl>
              <c:idx val="1"/>
              <c:layout>
                <c:manualLayout>
                  <c:x val="6.147934678194051E-2"/>
                  <c:y val="0"/>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Hoja1!$C$2:$C$3</c:f>
              <c:numCache>
                <c:formatCode>0.00%</c:formatCode>
                <c:ptCount val="2"/>
                <c:pt idx="0" formatCode="0%">
                  <c:v>0.6</c:v>
                </c:pt>
                <c:pt idx="1">
                  <c:v>0.17399999999999999</c:v>
                </c:pt>
              </c:numCache>
            </c:numRef>
          </c:val>
        </c:ser>
        <c:dLbls>
          <c:showLegendKey val="0"/>
          <c:showVal val="0"/>
          <c:showCatName val="0"/>
          <c:showSerName val="0"/>
          <c:showPercent val="0"/>
          <c:showBubbleSize val="0"/>
        </c:dLbls>
        <c:gapWidth val="150"/>
        <c:shape val="pyramid"/>
        <c:axId val="327160960"/>
        <c:axId val="327163264"/>
        <c:axId val="0"/>
      </c:bar3DChart>
      <c:catAx>
        <c:axId val="327160960"/>
        <c:scaling>
          <c:orientation val="minMax"/>
        </c:scaling>
        <c:delete val="0"/>
        <c:axPos val="b"/>
        <c:majorTickMark val="out"/>
        <c:minorTickMark val="none"/>
        <c:tickLblPos val="nextTo"/>
        <c:txPr>
          <a:bodyPr/>
          <a:lstStyle/>
          <a:p>
            <a:pPr>
              <a:defRPr sz="900"/>
            </a:pPr>
            <a:endParaRPr lang="es-ES"/>
          </a:p>
        </c:txPr>
        <c:crossAx val="327163264"/>
        <c:crosses val="autoZero"/>
        <c:auto val="1"/>
        <c:lblAlgn val="ctr"/>
        <c:lblOffset val="100"/>
        <c:noMultiLvlLbl val="0"/>
      </c:catAx>
      <c:valAx>
        <c:axId val="327163264"/>
        <c:scaling>
          <c:orientation val="minMax"/>
        </c:scaling>
        <c:delete val="0"/>
        <c:axPos val="l"/>
        <c:majorGridlines/>
        <c:numFmt formatCode="0%" sourceLinked="1"/>
        <c:majorTickMark val="out"/>
        <c:minorTickMark val="none"/>
        <c:tickLblPos val="nextTo"/>
        <c:crossAx val="327160960"/>
        <c:crosses val="autoZero"/>
        <c:crossBetween val="between"/>
      </c:valAx>
    </c:plotArea>
    <c:legend>
      <c:legendPos val="r"/>
      <c:layout>
        <c:manualLayout>
          <c:xMode val="edge"/>
          <c:yMode val="edge"/>
          <c:x val="0.687220267679306"/>
          <c:y val="0.2032923628448883"/>
          <c:w val="0.30650955864559482"/>
          <c:h val="0.63053709749695919"/>
        </c:manualLayout>
      </c:layout>
      <c:overlay val="0"/>
      <c:txPr>
        <a:bodyPr/>
        <a:lstStyle/>
        <a:p>
          <a:pPr>
            <a:defRPr sz="900"/>
          </a:pPr>
          <a:endParaRPr lang="es-ES"/>
        </a:p>
      </c:txPr>
    </c:legend>
    <c:plotVisOnly val="1"/>
    <c:dispBlanksAs val="gap"/>
    <c:showDLblsOverMax val="0"/>
  </c:chart>
  <c:spPr>
    <a:ln>
      <a:gradFill flip="none" rotWithShape="1">
        <a:gsLst>
          <a:gs pos="100000">
            <a:schemeClr val="accent6"/>
          </a:gs>
          <a:gs pos="50000">
            <a:schemeClr val="accent1"/>
          </a:gs>
          <a:gs pos="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a:t>
            </a:r>
            <a:r>
              <a:rPr lang="es-ES" sz="1200" baseline="0"/>
              <a:t> y consumo de alcohol</a:t>
            </a:r>
            <a:endParaRPr lang="es-ES" sz="1200"/>
          </a:p>
        </c:rich>
      </c:tx>
      <c:layout>
        <c:manualLayout>
          <c:xMode val="edge"/>
          <c:yMode val="edge"/>
          <c:x val="0.28938951333373403"/>
          <c:y val="4.878048780487805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6485485956046539"/>
          <c:y val="0.19067025158440562"/>
          <c:w val="0.55185294002428797"/>
          <c:h val="0.64095896549516673"/>
        </c:manualLayout>
      </c:layout>
      <c:bar3DChart>
        <c:barDir val="col"/>
        <c:grouping val="clustered"/>
        <c:varyColors val="0"/>
        <c:ser>
          <c:idx val="0"/>
          <c:order val="0"/>
          <c:tx>
            <c:strRef>
              <c:f>Hoja1!$B$1</c:f>
              <c:strCache>
                <c:ptCount val="1"/>
                <c:pt idx="0">
                  <c:v>Consumo de alcohol</c:v>
                </c:pt>
              </c:strCache>
            </c:strRef>
          </c:tx>
          <c:invertIfNegative val="0"/>
          <c:dLbls>
            <c:dLbl>
              <c:idx val="0"/>
              <c:layout>
                <c:manualLayout>
                  <c:x val="-3.6882851475626616E-2"/>
                  <c:y val="0.26225270920889487"/>
                </c:manualLayout>
              </c:layout>
              <c:showLegendKey val="0"/>
              <c:showVal val="1"/>
              <c:showCatName val="0"/>
              <c:showSerName val="0"/>
              <c:showPercent val="0"/>
              <c:showBubbleSize val="0"/>
            </c:dLbl>
            <c:dLbl>
              <c:idx val="1"/>
              <c:layout>
                <c:manualLayout>
                  <c:x val="-8.9158702490432975E-3"/>
                  <c:y val="-6.357180812521134E-4"/>
                </c:manualLayout>
              </c:layout>
              <c:tx>
                <c:rich>
                  <a:bodyPr/>
                  <a:lstStyle/>
                  <a:p>
                    <a:r>
                      <a:rPr lang="en-US"/>
                      <a:t>17,9%</a:t>
                    </a:r>
                  </a:p>
                </c:rich>
              </c:tx>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Hoja1!$B$2:$B$3</c:f>
              <c:numCache>
                <c:formatCode>0.00%</c:formatCode>
                <c:ptCount val="2"/>
                <c:pt idx="0" formatCode="0%">
                  <c:v>0.5</c:v>
                </c:pt>
                <c:pt idx="1">
                  <c:v>0.17899999999999999</c:v>
                </c:pt>
              </c:numCache>
            </c:numRef>
          </c:val>
        </c:ser>
        <c:ser>
          <c:idx val="1"/>
          <c:order val="1"/>
          <c:tx>
            <c:strRef>
              <c:f>Hoja1!$C$1</c:f>
              <c:strCache>
                <c:ptCount val="1"/>
                <c:pt idx="0">
                  <c:v>No consumo de alcohol</c:v>
                </c:pt>
              </c:strCache>
            </c:strRef>
          </c:tx>
          <c:invertIfNegative val="0"/>
          <c:dLbls>
            <c:dLbl>
              <c:idx val="0"/>
              <c:layout>
                <c:manualLayout>
                  <c:x val="4.5209673218328625E-2"/>
                  <c:y val="0.26462425325668654"/>
                </c:manualLayout>
              </c:layout>
              <c:showLegendKey val="0"/>
              <c:showVal val="1"/>
              <c:showCatName val="0"/>
              <c:showSerName val="0"/>
              <c:showPercent val="0"/>
              <c:showBubbleSize val="0"/>
            </c:dLbl>
            <c:dLbl>
              <c:idx val="1"/>
              <c:layout>
                <c:manualLayout>
                  <c:x val="3.8745366752820018E-2"/>
                  <c:y val="0.30264818124728282"/>
                </c:manualLayout>
              </c:layout>
              <c:tx>
                <c:rich>
                  <a:bodyPr/>
                  <a:lstStyle/>
                  <a:p>
                    <a:r>
                      <a:rPr lang="en-US"/>
                      <a:t>82,1%</a:t>
                    </a:r>
                  </a:p>
                </c:rich>
              </c:tx>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Hoja1!$C$2:$C$3</c:f>
              <c:numCache>
                <c:formatCode>0.00%</c:formatCode>
                <c:ptCount val="2"/>
                <c:pt idx="0" formatCode="0%">
                  <c:v>0.5</c:v>
                </c:pt>
                <c:pt idx="1">
                  <c:v>0.82099999999999995</c:v>
                </c:pt>
              </c:numCache>
            </c:numRef>
          </c:val>
        </c:ser>
        <c:dLbls>
          <c:showLegendKey val="0"/>
          <c:showVal val="0"/>
          <c:showCatName val="0"/>
          <c:showSerName val="0"/>
          <c:showPercent val="0"/>
          <c:showBubbleSize val="0"/>
        </c:dLbls>
        <c:gapWidth val="150"/>
        <c:shape val="pyramid"/>
        <c:axId val="331128832"/>
        <c:axId val="331131520"/>
        <c:axId val="0"/>
      </c:bar3DChart>
      <c:catAx>
        <c:axId val="331128832"/>
        <c:scaling>
          <c:orientation val="minMax"/>
        </c:scaling>
        <c:delete val="0"/>
        <c:axPos val="b"/>
        <c:majorTickMark val="out"/>
        <c:minorTickMark val="none"/>
        <c:tickLblPos val="nextTo"/>
        <c:txPr>
          <a:bodyPr/>
          <a:lstStyle/>
          <a:p>
            <a:pPr>
              <a:defRPr sz="900"/>
            </a:pPr>
            <a:endParaRPr lang="es-ES"/>
          </a:p>
        </c:txPr>
        <c:crossAx val="331131520"/>
        <c:crosses val="autoZero"/>
        <c:auto val="1"/>
        <c:lblAlgn val="ctr"/>
        <c:lblOffset val="100"/>
        <c:noMultiLvlLbl val="0"/>
      </c:catAx>
      <c:valAx>
        <c:axId val="331131520"/>
        <c:scaling>
          <c:orientation val="minMax"/>
        </c:scaling>
        <c:delete val="0"/>
        <c:axPos val="l"/>
        <c:majorGridlines/>
        <c:numFmt formatCode="0%" sourceLinked="1"/>
        <c:majorTickMark val="out"/>
        <c:minorTickMark val="none"/>
        <c:tickLblPos val="nextTo"/>
        <c:txPr>
          <a:bodyPr/>
          <a:lstStyle/>
          <a:p>
            <a:pPr>
              <a:defRPr sz="1000"/>
            </a:pPr>
            <a:endParaRPr lang="es-ES"/>
          </a:p>
        </c:txPr>
        <c:crossAx val="331128832"/>
        <c:crosses val="autoZero"/>
        <c:crossBetween val="between"/>
      </c:valAx>
    </c:plotArea>
    <c:legend>
      <c:legendPos val="r"/>
      <c:layout>
        <c:manualLayout>
          <c:xMode val="edge"/>
          <c:yMode val="edge"/>
          <c:x val="0.72337094057272688"/>
          <c:y val="0.22037252326699386"/>
          <c:w val="0.26867208443864304"/>
          <c:h val="0.55255661904537379"/>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 y clínica neurológica</a:t>
            </a:r>
          </a:p>
        </c:rich>
      </c:tx>
      <c:layout>
        <c:manualLayout>
          <c:xMode val="edge"/>
          <c:yMode val="edge"/>
          <c:x val="0.28264410009247065"/>
          <c:y val="5.0606875360092181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9303232697051118"/>
          <c:y val="0.21338198578836182"/>
          <c:w val="0.50552861589479403"/>
          <c:h val="0.6386646181422444"/>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5.0447568399499799E-2"/>
                  <c:y val="0.17371844214540447"/>
                </c:manualLayout>
              </c:layout>
              <c:tx>
                <c:rich>
                  <a:bodyPr/>
                  <a:lstStyle/>
                  <a:p>
                    <a:r>
                      <a:rPr lang="en-US"/>
                      <a:t>44,4%</a:t>
                    </a:r>
                  </a:p>
                </c:rich>
              </c:tx>
              <c:showLegendKey val="0"/>
              <c:showVal val="1"/>
              <c:showCatName val="0"/>
              <c:showSerName val="0"/>
              <c:showPercent val="0"/>
              <c:showBubbleSize val="0"/>
            </c:dLbl>
            <c:dLbl>
              <c:idx val="1"/>
              <c:layout>
                <c:manualLayout>
                  <c:x val="-1.1525001682481998E-3"/>
                  <c:y val="0.23602969232370183"/>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Hoja1!$B$2:$B$3</c:f>
              <c:numCache>
                <c:formatCode>0%</c:formatCode>
                <c:ptCount val="2"/>
                <c:pt idx="0" formatCode="0.00%">
                  <c:v>0.44400000000000001</c:v>
                </c:pt>
                <c:pt idx="1">
                  <c:v>0.81</c:v>
                </c:pt>
              </c:numCache>
            </c:numRef>
          </c:val>
        </c:ser>
        <c:ser>
          <c:idx val="1"/>
          <c:order val="1"/>
          <c:tx>
            <c:strRef>
              <c:f>Hoja1!$C$1</c:f>
              <c:strCache>
                <c:ptCount val="1"/>
                <c:pt idx="0">
                  <c:v>Ausencia de clínica neurológica</c:v>
                </c:pt>
              </c:strCache>
            </c:strRef>
          </c:tx>
          <c:invertIfNegative val="0"/>
          <c:dLbls>
            <c:dLbl>
              <c:idx val="0"/>
              <c:layout>
                <c:manualLayout>
                  <c:x val="3.8837723818554097E-2"/>
                  <c:y val="0.22438708614338007"/>
                </c:manualLayout>
              </c:layout>
              <c:tx>
                <c:rich>
                  <a:bodyPr/>
                  <a:lstStyle/>
                  <a:p>
                    <a:r>
                      <a:rPr lang="en-US"/>
                      <a:t>55,6%</a:t>
                    </a:r>
                  </a:p>
                </c:rich>
              </c:tx>
              <c:showLegendKey val="0"/>
              <c:showVal val="1"/>
              <c:showCatName val="0"/>
              <c:showSerName val="0"/>
              <c:showPercent val="0"/>
              <c:showBubbleSize val="0"/>
            </c:dLbl>
            <c:dLbl>
              <c:idx val="1"/>
              <c:layout>
                <c:manualLayout>
                  <c:x val="6.1120179471820871E-2"/>
                  <c:y val="2.6474106288379994E-2"/>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Hoja1!$C$2:$C$3</c:f>
              <c:numCache>
                <c:formatCode>0%</c:formatCode>
                <c:ptCount val="2"/>
                <c:pt idx="0" formatCode="0.00%">
                  <c:v>0.55600000000000005</c:v>
                </c:pt>
                <c:pt idx="1">
                  <c:v>0.19</c:v>
                </c:pt>
              </c:numCache>
            </c:numRef>
          </c:val>
        </c:ser>
        <c:dLbls>
          <c:showLegendKey val="0"/>
          <c:showVal val="0"/>
          <c:showCatName val="0"/>
          <c:showSerName val="0"/>
          <c:showPercent val="0"/>
          <c:showBubbleSize val="0"/>
        </c:dLbls>
        <c:gapWidth val="150"/>
        <c:shape val="pyramid"/>
        <c:axId val="345479808"/>
        <c:axId val="345528576"/>
        <c:axId val="0"/>
      </c:bar3DChart>
      <c:catAx>
        <c:axId val="345479808"/>
        <c:scaling>
          <c:orientation val="minMax"/>
        </c:scaling>
        <c:delete val="0"/>
        <c:axPos val="b"/>
        <c:majorTickMark val="out"/>
        <c:minorTickMark val="none"/>
        <c:tickLblPos val="nextTo"/>
        <c:txPr>
          <a:bodyPr/>
          <a:lstStyle/>
          <a:p>
            <a:pPr>
              <a:defRPr sz="900"/>
            </a:pPr>
            <a:endParaRPr lang="es-ES"/>
          </a:p>
        </c:txPr>
        <c:crossAx val="345528576"/>
        <c:crosses val="autoZero"/>
        <c:auto val="1"/>
        <c:lblAlgn val="ctr"/>
        <c:lblOffset val="100"/>
        <c:noMultiLvlLbl val="0"/>
      </c:catAx>
      <c:valAx>
        <c:axId val="345528576"/>
        <c:scaling>
          <c:orientation val="minMax"/>
        </c:scaling>
        <c:delete val="0"/>
        <c:axPos val="l"/>
        <c:majorGridlines/>
        <c:numFmt formatCode="0.0%" sourceLinked="0"/>
        <c:majorTickMark val="out"/>
        <c:minorTickMark val="none"/>
        <c:tickLblPos val="nextTo"/>
        <c:crossAx val="345479808"/>
        <c:crosses val="autoZero"/>
        <c:crossBetween val="between"/>
      </c:valAx>
    </c:plotArea>
    <c:legend>
      <c:legendPos val="r"/>
      <c:layout>
        <c:manualLayout>
          <c:xMode val="edge"/>
          <c:yMode val="edge"/>
          <c:x val="0.66096583196249159"/>
          <c:y val="0.24079956468856026"/>
          <c:w val="0.33198553638242029"/>
          <c:h val="0.58989181230394983"/>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s-ES"/>
              <a:t>Tamaño y localización</a:t>
            </a:r>
          </a:p>
        </c:rich>
      </c:tx>
      <c:overlay val="0"/>
    </c:title>
    <c:autoTitleDeleted val="0"/>
    <c:plotArea>
      <c:layout>
        <c:manualLayout>
          <c:layoutTarget val="inner"/>
          <c:xMode val="edge"/>
          <c:yMode val="edge"/>
          <c:x val="5.7665497959681573E-2"/>
          <c:y val="0.21271714453414842"/>
          <c:w val="0.93407122082712624"/>
          <c:h val="0.60581060278857546"/>
        </c:manualLayout>
      </c:layout>
      <c:lineChart>
        <c:grouping val="standard"/>
        <c:varyColors val="0"/>
        <c:ser>
          <c:idx val="0"/>
          <c:order val="0"/>
          <c:tx>
            <c:strRef>
              <c:f>Hoja1!$B$1</c:f>
              <c:strCache>
                <c:ptCount val="1"/>
                <c:pt idx="0">
                  <c:v>Menor o igual a 5mm</c:v>
                </c:pt>
              </c:strCache>
            </c:strRef>
          </c:tx>
          <c:spPr>
            <a:ln>
              <a:solidFill>
                <a:schemeClr val="accent1"/>
              </a:solidFill>
            </a:ln>
          </c:spPr>
          <c:marker>
            <c:symbol val="none"/>
          </c:marker>
          <c:dLbls>
            <c:dLbl>
              <c:idx val="1"/>
              <c:layout>
                <c:manualLayout>
                  <c:x val="0"/>
                  <c:y val="-4.7789725209080045E-3"/>
                </c:manualLayout>
              </c:layout>
              <c:showLegendKey val="0"/>
              <c:showVal val="1"/>
              <c:showCatName val="0"/>
              <c:showSerName val="0"/>
              <c:showPercent val="0"/>
              <c:showBubbleSize val="0"/>
            </c:dLbl>
            <c:dLbl>
              <c:idx val="2"/>
              <c:layout>
                <c:manualLayout>
                  <c:x val="-3.7037037037037035E-2"/>
                  <c:y val="-5.7347670250896057E-2"/>
                </c:manualLayout>
              </c:layout>
              <c:showLegendKey val="0"/>
              <c:showVal val="1"/>
              <c:showCatName val="0"/>
              <c:showSerName val="0"/>
              <c:showPercent val="0"/>
              <c:showBubbleSize val="0"/>
            </c:dLbl>
            <c:dLbl>
              <c:idx val="3"/>
              <c:layout>
                <c:manualLayout>
                  <c:x val="-8.6419753086419748E-2"/>
                  <c:y val="1.4336917562723928E-2"/>
                </c:manualLayout>
              </c:layout>
              <c:showLegendKey val="0"/>
              <c:showVal val="1"/>
              <c:showCatName val="0"/>
              <c:showSerName val="0"/>
              <c:showPercent val="0"/>
              <c:showBubbleSize val="0"/>
            </c:dLbl>
            <c:dLbl>
              <c:idx val="4"/>
              <c:layout>
                <c:manualLayout>
                  <c:x val="-3.7037037037037035E-2"/>
                  <c:y val="-6.2126642771804151E-2"/>
                </c:manualLayout>
              </c:layout>
              <c:showLegendKey val="0"/>
              <c:showVal val="1"/>
              <c:showCatName val="0"/>
              <c:showSerName val="0"/>
              <c:showPercent val="0"/>
              <c:showBubbleSize val="0"/>
            </c:dLbl>
            <c:dLbl>
              <c:idx val="5"/>
              <c:layout>
                <c:manualLayout>
                  <c:x val="-2.6748971193415638E-2"/>
                  <c:y val="-6.6905615292712148E-2"/>
                </c:manualLayout>
              </c:layout>
              <c:showLegendKey val="0"/>
              <c:showVal val="1"/>
              <c:showCatName val="0"/>
              <c:showSerName val="0"/>
              <c:showPercent val="0"/>
              <c:showBubbleSize val="0"/>
            </c:dLbl>
            <c:spPr>
              <a:solidFill>
                <a:schemeClr val="tx1"/>
              </a:solidFill>
              <a:ln w="28575">
                <a:solidFill>
                  <a:schemeClr val="accent1"/>
                </a:solidFill>
              </a:ln>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Hoja1!$A$2:$A$7</c:f>
              <c:strCache>
                <c:ptCount val="6"/>
                <c:pt idx="0">
                  <c:v>Comunicante anterior</c:v>
                </c:pt>
                <c:pt idx="1">
                  <c:v>Cerebral media</c:v>
                </c:pt>
                <c:pt idx="2">
                  <c:v>ACI</c:v>
                </c:pt>
                <c:pt idx="3">
                  <c:v>Basilar</c:v>
                </c:pt>
                <c:pt idx="4">
                  <c:v>Comunicante posterior</c:v>
                </c:pt>
                <c:pt idx="5">
                  <c:v>Corioidea anterior</c:v>
                </c:pt>
              </c:strCache>
            </c:strRef>
          </c:cat>
          <c:val>
            <c:numRef>
              <c:f>Hoja1!$B$2:$B$7</c:f>
              <c:numCache>
                <c:formatCode>0%</c:formatCode>
                <c:ptCount val="6"/>
                <c:pt idx="0">
                  <c:v>0.5</c:v>
                </c:pt>
                <c:pt idx="1">
                  <c:v>0</c:v>
                </c:pt>
                <c:pt idx="2" formatCode="0.00%">
                  <c:v>0.214</c:v>
                </c:pt>
                <c:pt idx="3" formatCode="0.00%">
                  <c:v>7.0999999999999994E-2</c:v>
                </c:pt>
                <c:pt idx="4" formatCode="0.00%">
                  <c:v>7.0999999999999994E-2</c:v>
                </c:pt>
                <c:pt idx="5" formatCode="0.00%">
                  <c:v>0.14299999999999999</c:v>
                </c:pt>
              </c:numCache>
            </c:numRef>
          </c:val>
          <c:smooth val="0"/>
        </c:ser>
        <c:ser>
          <c:idx val="1"/>
          <c:order val="1"/>
          <c:tx>
            <c:strRef>
              <c:f>Hoja1!$C$1</c:f>
              <c:strCache>
                <c:ptCount val="1"/>
                <c:pt idx="0">
                  <c:v>Mayor a 5mm</c:v>
                </c:pt>
              </c:strCache>
            </c:strRef>
          </c:tx>
          <c:marker>
            <c:symbol val="none"/>
          </c:marker>
          <c:dLbls>
            <c:dLbl>
              <c:idx val="3"/>
              <c:layout>
                <c:manualLayout>
                  <c:x val="-1.2345679012345678E-2"/>
                  <c:y val="-6.212701906885295E-2"/>
                </c:manualLayout>
              </c:layout>
              <c:showLegendKey val="0"/>
              <c:showVal val="1"/>
              <c:showCatName val="0"/>
              <c:showSerName val="0"/>
              <c:showPercent val="0"/>
              <c:showBubbleSize val="0"/>
            </c:dLbl>
            <c:spPr>
              <a:solidFill>
                <a:schemeClr val="tx1"/>
              </a:solidFill>
              <a:ln w="28575">
                <a:solidFill>
                  <a:schemeClr val="accent4">
                    <a:lumMod val="50000"/>
                  </a:schemeClr>
                </a:solidFill>
              </a:ln>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Hoja1!$A$2:$A$7</c:f>
              <c:strCache>
                <c:ptCount val="6"/>
                <c:pt idx="0">
                  <c:v>Comunicante anterior</c:v>
                </c:pt>
                <c:pt idx="1">
                  <c:v>Cerebral media</c:v>
                </c:pt>
                <c:pt idx="2">
                  <c:v>ACI</c:v>
                </c:pt>
                <c:pt idx="3">
                  <c:v>Basilar</c:v>
                </c:pt>
                <c:pt idx="4">
                  <c:v>Comunicante posterior</c:v>
                </c:pt>
                <c:pt idx="5">
                  <c:v>Corioidea anterior</c:v>
                </c:pt>
              </c:strCache>
            </c:strRef>
          </c:cat>
          <c:val>
            <c:numRef>
              <c:f>Hoja1!$C$2:$C$7</c:f>
              <c:numCache>
                <c:formatCode>0.00%</c:formatCode>
                <c:ptCount val="6"/>
                <c:pt idx="0" formatCode="0%">
                  <c:v>0</c:v>
                </c:pt>
                <c:pt idx="1">
                  <c:v>0.214</c:v>
                </c:pt>
                <c:pt idx="2">
                  <c:v>0.64300000000000002</c:v>
                </c:pt>
                <c:pt idx="3">
                  <c:v>7.0999999999999994E-2</c:v>
                </c:pt>
                <c:pt idx="4" formatCode="0%">
                  <c:v>0</c:v>
                </c:pt>
                <c:pt idx="5">
                  <c:v>7.0999999999999994E-2</c:v>
                </c:pt>
              </c:numCache>
            </c:numRef>
          </c:val>
          <c:smooth val="0"/>
        </c:ser>
        <c:dLbls>
          <c:showLegendKey val="0"/>
          <c:showVal val="0"/>
          <c:showCatName val="0"/>
          <c:showSerName val="0"/>
          <c:showPercent val="0"/>
          <c:showBubbleSize val="0"/>
        </c:dLbls>
        <c:marker val="1"/>
        <c:smooth val="0"/>
        <c:axId val="363360640"/>
        <c:axId val="363966464"/>
      </c:lineChart>
      <c:catAx>
        <c:axId val="363360640"/>
        <c:scaling>
          <c:orientation val="minMax"/>
        </c:scaling>
        <c:delete val="0"/>
        <c:axPos val="b"/>
        <c:majorTickMark val="none"/>
        <c:minorTickMark val="none"/>
        <c:tickLblPos val="nextTo"/>
        <c:crossAx val="363966464"/>
        <c:crosses val="autoZero"/>
        <c:auto val="1"/>
        <c:lblAlgn val="ctr"/>
        <c:lblOffset val="100"/>
        <c:noMultiLvlLbl val="0"/>
      </c:catAx>
      <c:valAx>
        <c:axId val="363966464"/>
        <c:scaling>
          <c:orientation val="minMax"/>
        </c:scaling>
        <c:delete val="0"/>
        <c:axPos val="l"/>
        <c:majorGridlines/>
        <c:numFmt formatCode="0%" sourceLinked="1"/>
        <c:majorTickMark val="none"/>
        <c:minorTickMark val="none"/>
        <c:tickLblPos val="nextTo"/>
        <c:crossAx val="363360640"/>
        <c:crosses val="autoZero"/>
        <c:crossBetween val="between"/>
      </c:valAx>
    </c:plotArea>
    <c:legend>
      <c:legendPos val="r"/>
      <c:layout>
        <c:manualLayout>
          <c:xMode val="edge"/>
          <c:yMode val="edge"/>
          <c:x val="0.74478322154175169"/>
          <c:y val="3.2530879876574575E-2"/>
          <c:w val="0.24081348627717833"/>
          <c:h val="0.17283549233765133"/>
        </c:manualLayout>
      </c:layout>
      <c:overlay val="0"/>
    </c:legend>
    <c:plotVisOnly val="1"/>
    <c:dispBlanksAs val="zero"/>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4"/>
    </mc:Choice>
    <mc:Fallback>
      <c:style val="14"/>
    </mc:Fallback>
  </mc:AlternateContent>
  <c:chart>
    <c:title>
      <c:tx>
        <c:rich>
          <a:bodyPr/>
          <a:lstStyle/>
          <a:p>
            <a:pPr>
              <a:defRPr sz="1600"/>
            </a:pPr>
            <a:r>
              <a:rPr lang="es-ES" sz="1600"/>
              <a:t>Nº de aneurismas y HSA</a:t>
            </a:r>
          </a:p>
        </c:rich>
      </c:tx>
      <c:layout>
        <c:manualLayout>
          <c:xMode val="edge"/>
          <c:yMode val="edge"/>
          <c:x val="0.20558132228483908"/>
          <c:y val="9.9155169706350826E-2"/>
        </c:manualLayout>
      </c:layout>
      <c:overlay val="0"/>
    </c:title>
    <c:autoTitleDeleted val="0"/>
    <c:plotArea>
      <c:layout>
        <c:manualLayout>
          <c:layoutTarget val="inner"/>
          <c:xMode val="edge"/>
          <c:yMode val="edge"/>
          <c:x val="0.2117929795474337"/>
          <c:y val="0.32312492989658342"/>
          <c:w val="0.71769909713666746"/>
          <c:h val="0.56262063395921669"/>
        </c:manualLayout>
      </c:layout>
      <c:lineChart>
        <c:grouping val="standard"/>
        <c:varyColors val="0"/>
        <c:ser>
          <c:idx val="0"/>
          <c:order val="0"/>
          <c:tx>
            <c:strRef>
              <c:f>Hoja1!$B$1</c:f>
              <c:strCache>
                <c:ptCount val="1"/>
                <c:pt idx="0">
                  <c:v>HSA</c:v>
                </c:pt>
              </c:strCache>
            </c:strRef>
          </c:tx>
          <c:spPr>
            <a:ln>
              <a:solidFill>
                <a:schemeClr val="accent1"/>
              </a:solidFill>
            </a:ln>
          </c:spPr>
          <c:marker>
            <c:symbol val="none"/>
          </c:marker>
          <c:dLbls>
            <c:dLbl>
              <c:idx val="0"/>
              <c:layout>
                <c:manualLayout>
                  <c:x val="-7.2562358276643993E-2"/>
                  <c:y val="-4.6692607003891051E-2"/>
                </c:manualLayout>
              </c:layout>
              <c:tx>
                <c:rich>
                  <a:bodyPr/>
                  <a:lstStyle/>
                  <a:p>
                    <a:r>
                      <a:rPr lang="en-US"/>
                      <a:t>0%</a:t>
                    </a:r>
                  </a:p>
                </c:rich>
              </c:tx>
              <c:showLegendKey val="0"/>
              <c:showVal val="1"/>
              <c:showCatName val="0"/>
              <c:showSerName val="0"/>
              <c:showPercent val="0"/>
              <c:showBubbleSize val="0"/>
            </c:dLbl>
            <c:dLbl>
              <c:idx val="1"/>
              <c:layout>
                <c:manualLayout>
                  <c:x val="-9.9773242630385492E-2"/>
                  <c:y val="-8.3009079118028531E-2"/>
                </c:manualLayout>
              </c:layout>
              <c:showLegendKey val="0"/>
              <c:showVal val="1"/>
              <c:showCatName val="0"/>
              <c:showSerName val="0"/>
              <c:showPercent val="0"/>
              <c:showBubbleSize val="0"/>
            </c:dLbl>
            <c:dLbl>
              <c:idx val="3"/>
              <c:layout>
                <c:manualLayout>
                  <c:x val="-2.1164021164021163E-2"/>
                  <c:y val="-8.3009079118028531E-2"/>
                </c:manualLayout>
              </c:layout>
              <c:showLegendKey val="0"/>
              <c:showVal val="1"/>
              <c:showCatName val="0"/>
              <c:showSerName val="0"/>
              <c:showPercent val="0"/>
              <c:showBubbleSize val="0"/>
            </c:dLbl>
            <c:spPr>
              <a:solidFill>
                <a:schemeClr val="tx1"/>
              </a:solidFill>
              <a:ln w="28575">
                <a:solidFill>
                  <a:schemeClr val="accent1"/>
                </a:solidFill>
              </a:ln>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Hoja1!$A$2:$A$5</c:f>
              <c:strCache>
                <c:ptCount val="4"/>
                <c:pt idx="0">
                  <c:v>1 aneurisma</c:v>
                </c:pt>
                <c:pt idx="1">
                  <c:v>2 aneurismas</c:v>
                </c:pt>
                <c:pt idx="2">
                  <c:v>3 aneurismas</c:v>
                </c:pt>
                <c:pt idx="3">
                  <c:v>5 aneurismas</c:v>
                </c:pt>
              </c:strCache>
            </c:strRef>
          </c:cat>
          <c:val>
            <c:numRef>
              <c:f>Hoja1!$B$2:$B$5</c:f>
              <c:numCache>
                <c:formatCode>0.00%</c:formatCode>
                <c:ptCount val="4"/>
                <c:pt idx="0" formatCode="General">
                  <c:v>0</c:v>
                </c:pt>
                <c:pt idx="1">
                  <c:v>0.14299999999999999</c:v>
                </c:pt>
                <c:pt idx="2">
                  <c:v>0.66700000000000004</c:v>
                </c:pt>
                <c:pt idx="3" formatCode="0%">
                  <c:v>0.9</c:v>
                </c:pt>
              </c:numCache>
            </c:numRef>
          </c:val>
          <c:smooth val="0"/>
        </c:ser>
        <c:ser>
          <c:idx val="1"/>
          <c:order val="1"/>
          <c:tx>
            <c:strRef>
              <c:f>Hoja1!$C$1</c:f>
              <c:strCache>
                <c:ptCount val="1"/>
                <c:pt idx="0">
                  <c:v>No HSA</c:v>
                </c:pt>
              </c:strCache>
            </c:strRef>
          </c:tx>
          <c:spPr>
            <a:ln>
              <a:solidFill>
                <a:schemeClr val="accent2"/>
              </a:solidFill>
            </a:ln>
          </c:spPr>
          <c:marker>
            <c:symbol val="none"/>
          </c:marker>
          <c:dLbls>
            <c:dLbl>
              <c:idx val="0"/>
              <c:layout>
                <c:manualLayout>
                  <c:x val="6.0468631897203327E-3"/>
                  <c:y val="-1.556420233463035E-2"/>
                </c:manualLayout>
              </c:layout>
              <c:showLegendKey val="0"/>
              <c:showVal val="1"/>
              <c:showCatName val="0"/>
              <c:showSerName val="0"/>
              <c:showPercent val="0"/>
              <c:showBubbleSize val="0"/>
            </c:dLbl>
            <c:dLbl>
              <c:idx val="1"/>
              <c:layout>
                <c:manualLayout>
                  <c:x val="-3.0234315948601664E-3"/>
                  <c:y val="5.1880674448768309E-3"/>
                </c:manualLayout>
              </c:layout>
              <c:showLegendKey val="0"/>
              <c:showVal val="1"/>
              <c:showCatName val="0"/>
              <c:showSerName val="0"/>
              <c:showPercent val="0"/>
              <c:showBubbleSize val="0"/>
            </c:dLbl>
            <c:dLbl>
              <c:idx val="2"/>
              <c:layout>
                <c:manualLayout>
                  <c:x val="-6.6515495086923657E-2"/>
                  <c:y val="7.2632944228274973E-2"/>
                </c:manualLayout>
              </c:layout>
              <c:showLegendKey val="0"/>
              <c:showVal val="1"/>
              <c:showCatName val="0"/>
              <c:showSerName val="0"/>
              <c:showPercent val="0"/>
              <c:showBubbleSize val="0"/>
            </c:dLbl>
            <c:dLbl>
              <c:idx val="3"/>
              <c:layout>
                <c:manualLayout>
                  <c:x val="-9.0702947845804991E-3"/>
                  <c:y val="-6.744487678339818E-2"/>
                </c:manualLayout>
              </c:layout>
              <c:showLegendKey val="0"/>
              <c:showVal val="1"/>
              <c:showCatName val="0"/>
              <c:showSerName val="0"/>
              <c:showPercent val="0"/>
              <c:showBubbleSize val="0"/>
            </c:dLbl>
            <c:spPr>
              <a:solidFill>
                <a:schemeClr val="tx1"/>
              </a:solidFill>
              <a:ln w="28575">
                <a:solidFill>
                  <a:schemeClr val="accent2"/>
                </a:solidFill>
              </a:ln>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Hoja1!$A$2:$A$5</c:f>
              <c:strCache>
                <c:ptCount val="4"/>
                <c:pt idx="0">
                  <c:v>1 aneurisma</c:v>
                </c:pt>
                <c:pt idx="1">
                  <c:v>2 aneurismas</c:v>
                </c:pt>
                <c:pt idx="2">
                  <c:v>3 aneurismas</c:v>
                </c:pt>
                <c:pt idx="3">
                  <c:v>5 aneurismas</c:v>
                </c:pt>
              </c:strCache>
            </c:strRef>
          </c:cat>
          <c:val>
            <c:numRef>
              <c:f>Hoja1!$C$2:$C$5</c:f>
              <c:numCache>
                <c:formatCode>0.00%</c:formatCode>
                <c:ptCount val="4"/>
                <c:pt idx="0" formatCode="0%">
                  <c:v>1</c:v>
                </c:pt>
                <c:pt idx="1">
                  <c:v>0.85699999999999998</c:v>
                </c:pt>
                <c:pt idx="2">
                  <c:v>0.33300000000000002</c:v>
                </c:pt>
                <c:pt idx="3" formatCode="0%">
                  <c:v>0.1</c:v>
                </c:pt>
              </c:numCache>
            </c:numRef>
          </c:val>
          <c:smooth val="0"/>
        </c:ser>
        <c:dLbls>
          <c:showLegendKey val="0"/>
          <c:showVal val="0"/>
          <c:showCatName val="0"/>
          <c:showSerName val="0"/>
          <c:showPercent val="0"/>
          <c:showBubbleSize val="0"/>
        </c:dLbls>
        <c:marker val="1"/>
        <c:smooth val="0"/>
        <c:axId val="364748800"/>
        <c:axId val="364831872"/>
      </c:lineChart>
      <c:catAx>
        <c:axId val="364748800"/>
        <c:scaling>
          <c:orientation val="minMax"/>
        </c:scaling>
        <c:delete val="0"/>
        <c:axPos val="b"/>
        <c:majorTickMark val="none"/>
        <c:minorTickMark val="none"/>
        <c:tickLblPos val="nextTo"/>
        <c:crossAx val="364831872"/>
        <c:crosses val="autoZero"/>
        <c:auto val="1"/>
        <c:lblAlgn val="ctr"/>
        <c:lblOffset val="100"/>
        <c:noMultiLvlLbl val="0"/>
      </c:catAx>
      <c:valAx>
        <c:axId val="364831872"/>
        <c:scaling>
          <c:orientation val="minMax"/>
        </c:scaling>
        <c:delete val="0"/>
        <c:axPos val="l"/>
        <c:majorGridlines/>
        <c:numFmt formatCode="0.00%" sourceLinked="0"/>
        <c:majorTickMark val="none"/>
        <c:minorTickMark val="none"/>
        <c:tickLblPos val="nextTo"/>
        <c:crossAx val="364748800"/>
        <c:crosses val="autoZero"/>
        <c:crossBetween val="between"/>
      </c:valAx>
    </c:plotArea>
    <c:legend>
      <c:legendPos val="r"/>
      <c:layout>
        <c:manualLayout>
          <c:xMode val="edge"/>
          <c:yMode val="edge"/>
          <c:x val="0.77715841629521998"/>
          <c:y val="3.0114184444893139E-3"/>
          <c:w val="0.21954016375651486"/>
          <c:h val="0.29019494358077036"/>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6945435456931522"/>
          <c:y val="4.414991604310331E-2"/>
        </c:manualLayout>
      </c:layout>
      <c:overlay val="0"/>
      <c:txPr>
        <a:bodyPr/>
        <a:lstStyle/>
        <a:p>
          <a:pPr>
            <a:defRPr sz="1300"/>
          </a:pPr>
          <a:endParaRPr lang="es-ES"/>
        </a:p>
      </c:txPr>
    </c:title>
    <c:autoTitleDeleted val="0"/>
    <c:plotArea>
      <c:layout>
        <c:manualLayout>
          <c:layoutTarget val="inner"/>
          <c:xMode val="edge"/>
          <c:yMode val="edge"/>
          <c:x val="5.4327463612502985E-2"/>
          <c:y val="0.11930291322280367"/>
          <c:w val="0.4856242424242424"/>
          <c:h val="0.82948240165631471"/>
        </c:manualLayout>
      </c:layout>
      <c:doughnutChart>
        <c:varyColors val="1"/>
        <c:ser>
          <c:idx val="0"/>
          <c:order val="0"/>
          <c:tx>
            <c:strRef>
              <c:f>Hoja1!$B$1</c:f>
              <c:strCache>
                <c:ptCount val="1"/>
                <c:pt idx="0">
                  <c:v>Comorbilidad</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Presencia de comorbilidades</c:v>
                </c:pt>
                <c:pt idx="1">
                  <c:v>Ausencia de comorbilidades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49246136960152709"/>
          <c:y val="0.17258799603691921"/>
          <c:w val="0.50753863039847291"/>
          <c:h val="0.6379579704854774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a:pPr>
            <a:r>
              <a:rPr lang="en-US" sz="1400"/>
              <a:t>Sexo</a:t>
            </a:r>
            <a:endParaRPr lang="en-US" sz="2000"/>
          </a:p>
        </c:rich>
      </c:tx>
      <c:layout>
        <c:manualLayout>
          <c:xMode val="edge"/>
          <c:yMode val="edge"/>
          <c:x val="0.50202543912780129"/>
          <c:y val="5.2631578947368418E-2"/>
        </c:manualLayout>
      </c:layout>
      <c:overlay val="0"/>
    </c:title>
    <c:autoTitleDeleted val="0"/>
    <c:plotArea>
      <c:layout>
        <c:manualLayout>
          <c:layoutTarget val="inner"/>
          <c:xMode val="edge"/>
          <c:yMode val="edge"/>
          <c:x val="0.10735079933190171"/>
          <c:y val="0.15706949674768914"/>
          <c:w val="0.47721835618005376"/>
          <c:h val="0.81611255114849779"/>
        </c:manualLayout>
      </c:layout>
      <c:doughnutChart>
        <c:varyColors val="1"/>
        <c:ser>
          <c:idx val="0"/>
          <c:order val="0"/>
          <c:tx>
            <c:strRef>
              <c:f>Hoja1!$B$1</c:f>
              <c:strCache>
                <c:ptCount val="1"/>
                <c:pt idx="0">
                  <c:v>Sexo</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Mujeres</c:v>
                </c:pt>
                <c:pt idx="1">
                  <c:v>Hombres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69177104784978805"/>
          <c:y val="0.19264953722889899"/>
          <c:w val="0.26200796934281517"/>
          <c:h val="0.29950995256027779"/>
        </c:manualLayout>
      </c:layout>
      <c:overlay val="0"/>
    </c:legend>
    <c:plotVisOnly val="1"/>
    <c:dispBlanksAs val="gap"/>
    <c:showDLblsOverMax val="0"/>
  </c:chart>
  <c:spPr>
    <a:ln>
      <a:gradFill flip="none" rotWithShape="1">
        <a:gsLst>
          <a:gs pos="0">
            <a:schemeClr val="tx2"/>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es-ES"/>
        </a:p>
      </c:txPr>
    </c:title>
    <c:autoTitleDeleted val="0"/>
    <c:plotArea>
      <c:layout>
        <c:manualLayout>
          <c:layoutTarget val="inner"/>
          <c:xMode val="edge"/>
          <c:yMode val="edge"/>
          <c:x val="0.11528678355073819"/>
          <c:y val="0.20344086021505375"/>
          <c:w val="0.43944605771066098"/>
          <c:h val="0.75442678756064585"/>
        </c:manualLayout>
      </c:layout>
      <c:doughnutChart>
        <c:varyColors val="1"/>
        <c:ser>
          <c:idx val="0"/>
          <c:order val="0"/>
          <c:tx>
            <c:strRef>
              <c:f>Hoja1!$B$1</c:f>
              <c:strCache>
                <c:ptCount val="1"/>
                <c:pt idx="0">
                  <c:v>Consumo de alcohol</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Bebedores</c:v>
                </c:pt>
                <c:pt idx="1">
                  <c:v>No bebedores</c:v>
                </c:pt>
              </c:strCache>
            </c:strRef>
          </c:cat>
          <c:val>
            <c:numRef>
              <c:f>Hoja1!$B$2:$B$3</c:f>
              <c:numCache>
                <c:formatCode>0.00%</c:formatCode>
                <c:ptCount val="2"/>
                <c:pt idx="0">
                  <c:v>0.17899999999999999</c:v>
                </c:pt>
                <c:pt idx="1">
                  <c:v>0.82099999999999995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7127937955124031"/>
          <c:y val="0.26481009228685121"/>
          <c:w val="0.39814650202516927"/>
          <c:h val="0.33833680467360933"/>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10130491639075"/>
          <c:y val="5.1467257164973634E-2"/>
        </c:manualLayout>
      </c:layout>
      <c:overlay val="0"/>
      <c:txPr>
        <a:bodyPr/>
        <a:lstStyle/>
        <a:p>
          <a:pPr>
            <a:defRPr sz="1200"/>
          </a:pPr>
          <a:endParaRPr lang="es-ES"/>
        </a:p>
      </c:txPr>
    </c:title>
    <c:autoTitleDeleted val="0"/>
    <c:plotArea>
      <c:layout>
        <c:manualLayout>
          <c:layoutTarget val="inner"/>
          <c:xMode val="edge"/>
          <c:yMode val="edge"/>
          <c:x val="5.1375427128212747E-2"/>
          <c:y val="0.19138362543391754"/>
          <c:w val="0.43733889115191593"/>
          <c:h val="0.74902514605029213"/>
        </c:manualLayout>
      </c:layout>
      <c:doughnutChart>
        <c:varyColors val="1"/>
        <c:ser>
          <c:idx val="0"/>
          <c:order val="0"/>
          <c:tx>
            <c:strRef>
              <c:f>Hoja1!$B$1</c:f>
              <c:strCache>
                <c:ptCount val="1"/>
                <c:pt idx="0">
                  <c:v>Clínica neurológica al diagnóstico</c:v>
                </c:pt>
              </c:strCache>
            </c:strRef>
          </c:tx>
          <c:explosion val="1"/>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Ausencia</c:v>
                </c:pt>
                <c:pt idx="1">
                  <c:v>Presencia</c:v>
                </c:pt>
              </c:strCache>
            </c:strRef>
          </c:cat>
          <c:val>
            <c:numRef>
              <c:f>Hoja1!$B$2:$B$3</c:f>
              <c:numCache>
                <c:formatCode>0%</c:formatCode>
                <c:ptCount val="2"/>
                <c:pt idx="0">
                  <c:v>0.3</c:v>
                </c:pt>
                <c:pt idx="1">
                  <c:v>0.7</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77311682096996"/>
          <c:y val="0.3801466429599526"/>
          <c:w val="0.28159078055976305"/>
          <c:h val="0.31110388620777241"/>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defRPr sz="1200"/>
            </a:pPr>
            <a:r>
              <a:rPr lang="en-US" sz="1250"/>
              <a:t>Oclusión del aneurisma</a:t>
            </a:r>
          </a:p>
        </c:rich>
      </c:tx>
      <c:layout>
        <c:manualLayout>
          <c:xMode val="edge"/>
          <c:yMode val="edge"/>
          <c:x val="0.13314984709480121"/>
          <c:y val="0.13642090193271297"/>
        </c:manualLayout>
      </c:layout>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4607992549318433"/>
          <c:y val="0.30115545215938916"/>
          <c:w val="0.72166200999068664"/>
          <c:h val="0.54693808160343593"/>
        </c:manualLayout>
      </c:layout>
      <c:bar3DChart>
        <c:barDir val="col"/>
        <c:grouping val="clustered"/>
        <c:varyColors val="0"/>
        <c:ser>
          <c:idx val="0"/>
          <c:order val="0"/>
          <c:tx>
            <c:strRef>
              <c:f>Hoja1!$B$1</c:f>
              <c:strCache>
                <c:ptCount val="1"/>
                <c:pt idx="0">
                  <c:v>Oclusión del aneurisma</c:v>
                </c:pt>
              </c:strCache>
            </c:strRef>
          </c:tx>
          <c:invertIfNegative val="0"/>
          <c:dLbls>
            <c:dLbl>
              <c:idx val="0"/>
              <c:layout>
                <c:manualLayout>
                  <c:x val="1.6662091550482795E-2"/>
                  <c:y val="0.23484788833214029"/>
                </c:manualLayout>
              </c:layout>
              <c:showLegendKey val="0"/>
              <c:showVal val="1"/>
              <c:showCatName val="0"/>
              <c:showSerName val="0"/>
              <c:showPercent val="0"/>
              <c:showBubbleSize val="0"/>
            </c:dLbl>
            <c:dLbl>
              <c:idx val="1"/>
              <c:layout>
                <c:manualLayout>
                  <c:x val="1.771871539313408E-2"/>
                  <c:y val="-6.8181818181818177E-2"/>
                </c:manualLayout>
              </c:layout>
              <c:showLegendKey val="0"/>
              <c:showVal val="1"/>
              <c:showCatName val="0"/>
              <c:showSerName val="0"/>
              <c:showPercent val="0"/>
              <c:showBubbleSize val="0"/>
            </c:dLbl>
            <c:numFmt formatCode="0.00%" sourceLinked="0"/>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Completa</c:v>
                </c:pt>
                <c:pt idx="1">
                  <c:v>Parcial</c:v>
                </c:pt>
              </c:strCache>
            </c:strRef>
          </c:cat>
          <c:val>
            <c:numRef>
              <c:f>Hoja1!$B$2:$B$3</c:f>
              <c:numCache>
                <c:formatCode>0.00%</c:formatCode>
                <c:ptCount val="2"/>
                <c:pt idx="0">
                  <c:v>0.86699999999999999</c:v>
                </c:pt>
                <c:pt idx="1">
                  <c:v>0.13300000000000001</c:v>
                </c:pt>
              </c:numCache>
            </c:numRef>
          </c:val>
        </c:ser>
        <c:dLbls>
          <c:showLegendKey val="0"/>
          <c:showVal val="0"/>
          <c:showCatName val="0"/>
          <c:showSerName val="0"/>
          <c:showPercent val="0"/>
          <c:showBubbleSize val="0"/>
        </c:dLbls>
        <c:gapWidth val="100"/>
        <c:shape val="cylinder"/>
        <c:axId val="304578560"/>
        <c:axId val="304580096"/>
        <c:axId val="0"/>
      </c:bar3DChart>
      <c:catAx>
        <c:axId val="304578560"/>
        <c:scaling>
          <c:orientation val="minMax"/>
        </c:scaling>
        <c:delete val="0"/>
        <c:axPos val="b"/>
        <c:majorTickMark val="out"/>
        <c:minorTickMark val="none"/>
        <c:tickLblPos val="nextTo"/>
        <c:crossAx val="304580096"/>
        <c:crosses val="autoZero"/>
        <c:auto val="1"/>
        <c:lblAlgn val="ctr"/>
        <c:lblOffset val="100"/>
        <c:noMultiLvlLbl val="0"/>
      </c:catAx>
      <c:valAx>
        <c:axId val="304580096"/>
        <c:scaling>
          <c:orientation val="minMax"/>
        </c:scaling>
        <c:delete val="0"/>
        <c:axPos val="l"/>
        <c:majorGridlines/>
        <c:numFmt formatCode="0.00%" sourceLinked="1"/>
        <c:majorTickMark val="out"/>
        <c:minorTickMark val="none"/>
        <c:tickLblPos val="nextTo"/>
        <c:crossAx val="304578560"/>
        <c:crosses val="autoZero"/>
        <c:crossBetween val="between"/>
      </c:valAx>
    </c:plotArea>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Localización</a:t>
            </a:r>
          </a:p>
        </c:rich>
      </c:tx>
      <c:layout>
        <c:manualLayout>
          <c:xMode val="edge"/>
          <c:yMode val="edge"/>
          <c:x val="0.36119367637184885"/>
          <c:y val="2.6498392397156241E-2"/>
        </c:manualLayout>
      </c:layout>
      <c:overlay val="0"/>
    </c:title>
    <c:autoTitleDeleted val="0"/>
    <c:plotArea>
      <c:layout>
        <c:manualLayout>
          <c:layoutTarget val="inner"/>
          <c:xMode val="edge"/>
          <c:yMode val="edge"/>
          <c:x val="7.3087224562046027E-2"/>
          <c:y val="0"/>
          <c:w val="0.88181676127693343"/>
          <c:h val="1"/>
        </c:manualLayout>
      </c:layout>
      <c:ofPieChart>
        <c:ofPieType val="pie"/>
        <c:varyColors val="1"/>
        <c:ser>
          <c:idx val="0"/>
          <c:order val="0"/>
          <c:tx>
            <c:strRef>
              <c:f>Hoja1!$B$1</c:f>
              <c:strCache>
                <c:ptCount val="1"/>
                <c:pt idx="0">
                  <c:v>Localización</c:v>
                </c:pt>
              </c:strCache>
            </c:strRef>
          </c:tx>
          <c:spPr>
            <a:ln>
              <a:solidFill>
                <a:schemeClr val="tx1"/>
              </a:solidFill>
            </a:ln>
          </c:spPr>
          <c:dLbls>
            <c:dLbl>
              <c:idx val="0"/>
              <c:layout>
                <c:manualLayout>
                  <c:x val="1.1040954402479259E-2"/>
                  <c:y val="-0.24637899705507635"/>
                </c:manualLayout>
              </c:layout>
              <c:tx>
                <c:rich>
                  <a:bodyPr/>
                  <a:lstStyle/>
                  <a:p>
                    <a:r>
                      <a:rPr lang="en-US">
                        <a:solidFill>
                          <a:schemeClr val="bg1"/>
                        </a:solidFill>
                      </a:rPr>
                      <a:t>Circulación</a:t>
                    </a:r>
                  </a:p>
                  <a:p>
                    <a:r>
                      <a:rPr lang="en-US">
                        <a:solidFill>
                          <a:schemeClr val="bg1"/>
                        </a:solidFill>
                      </a:rPr>
                      <a:t>Posterior</a:t>
                    </a:r>
                  </a:p>
                  <a:p>
                    <a:r>
                      <a:rPr lang="en-US">
                        <a:solidFill>
                          <a:schemeClr val="bg1"/>
                        </a:solidFill>
                      </a:rPr>
                      <a:t>13,40%</a:t>
                    </a:r>
                    <a:endParaRPr lang="en-US"/>
                  </a:p>
                </c:rich>
              </c:tx>
              <c:dLblPos val="bestFit"/>
              <c:showLegendKey val="1"/>
              <c:showVal val="1"/>
              <c:showCatName val="0"/>
              <c:showSerName val="0"/>
              <c:showPercent val="0"/>
              <c:showBubbleSize val="0"/>
              <c:separator>, </c:separator>
            </c:dLbl>
            <c:dLbl>
              <c:idx val="1"/>
              <c:layout>
                <c:manualLayout>
                  <c:x val="7.5143136177745221E-2"/>
                  <c:y val="-9.7357551421610143E-3"/>
                </c:manualLayout>
              </c:layout>
              <c:dLblPos val="bestFit"/>
              <c:showLegendKey val="0"/>
              <c:showVal val="1"/>
              <c:showCatName val="0"/>
              <c:showSerName val="0"/>
              <c:showPercent val="0"/>
              <c:showBubbleSize val="0"/>
            </c:dLbl>
            <c:dLbl>
              <c:idx val="3"/>
              <c:layout>
                <c:manualLayout>
                  <c:x val="-3.8074101202466085E-2"/>
                  <c:y val="7.8393407995315328E-2"/>
                </c:manualLayout>
              </c:layout>
              <c:dLblPos val="bestFit"/>
              <c:showLegendKey val="0"/>
              <c:showVal val="1"/>
              <c:showCatName val="0"/>
              <c:showSerName val="0"/>
              <c:showPercent val="0"/>
              <c:showBubbleSize val="0"/>
            </c:dLbl>
            <c:dLbl>
              <c:idx val="5"/>
              <c:tx>
                <c:rich>
                  <a:bodyPr/>
                  <a:lstStyle/>
                  <a:p>
                    <a:r>
                      <a:rPr lang="en-US">
                        <a:solidFill>
                          <a:schemeClr val="bg1"/>
                        </a:solidFill>
                      </a:rPr>
                      <a:t>Circulación</a:t>
                    </a:r>
                  </a:p>
                  <a:p>
                    <a:r>
                      <a:rPr lang="en-US">
                        <a:solidFill>
                          <a:schemeClr val="bg1"/>
                        </a:solidFill>
                      </a:rPr>
                      <a:t>Anterior</a:t>
                    </a:r>
                  </a:p>
                  <a:p>
                    <a:r>
                      <a:rPr lang="en-US">
                        <a:solidFill>
                          <a:schemeClr val="bg1"/>
                        </a:solidFill>
                      </a:rPr>
                      <a:t>86,60%</a:t>
                    </a:r>
                    <a:endParaRPr lang="en-US"/>
                  </a:p>
                </c:rich>
              </c:tx>
              <c:dLblPos val="bestFit"/>
              <c:showLegendKey val="0"/>
              <c:showVal val="1"/>
              <c:showCatName val="0"/>
              <c:showSerName val="0"/>
              <c:showPercent val="0"/>
              <c:showBubbleSize val="0"/>
            </c:dLbl>
            <c:numFmt formatCode="0.00%" sourceLinked="0"/>
            <c:spPr>
              <a:solidFill>
                <a:schemeClr val="tx1"/>
              </a:solidFill>
            </c:spPr>
            <c:txPr>
              <a:bodyPr/>
              <a:lstStyle/>
              <a:p>
                <a:pPr>
                  <a:defRPr>
                    <a:solidFill>
                      <a:schemeClr val="bg1"/>
                    </a:solidFill>
                  </a:defRPr>
                </a:pPr>
                <a:endParaRPr lang="es-ES"/>
              </a:p>
            </c:txPr>
            <c:dLblPos val="bestFit"/>
            <c:showLegendKey val="0"/>
            <c:showVal val="1"/>
            <c:showCatName val="0"/>
            <c:showSerName val="0"/>
            <c:showPercent val="0"/>
            <c:showBubbleSize val="0"/>
            <c:showLeaderLines val="1"/>
          </c:dLbls>
          <c:cat>
            <c:strRef>
              <c:f>Hoja1!$A$2:$A$6</c:f>
              <c:strCache>
                <c:ptCount val="5"/>
                <c:pt idx="0">
                  <c:v>Circulación Posterior</c:v>
                </c:pt>
                <c:pt idx="1">
                  <c:v>Coroidea Anterior</c:v>
                </c:pt>
                <c:pt idx="2">
                  <c:v>ACoA</c:v>
                </c:pt>
                <c:pt idx="3">
                  <c:v>Cerebral Media</c:v>
                </c:pt>
                <c:pt idx="4">
                  <c:v>ACI</c:v>
                </c:pt>
              </c:strCache>
            </c:strRef>
          </c:cat>
          <c:val>
            <c:numRef>
              <c:f>Hoja1!$B$2:$B$6</c:f>
              <c:numCache>
                <c:formatCode>0%</c:formatCode>
                <c:ptCount val="5"/>
                <c:pt idx="0" formatCode="0.00%">
                  <c:v>0.13400000000000001</c:v>
                </c:pt>
                <c:pt idx="1">
                  <c:v>0.1</c:v>
                </c:pt>
                <c:pt idx="2" formatCode="0.00%">
                  <c:v>0.23300000000000001</c:v>
                </c:pt>
                <c:pt idx="3">
                  <c:v>0.1</c:v>
                </c:pt>
                <c:pt idx="4" formatCode="0.00%">
                  <c:v>0.433</c:v>
                </c:pt>
              </c:numCache>
            </c:numRef>
          </c:val>
        </c:ser>
        <c:dLbls>
          <c:dLblPos val="bestFit"/>
          <c:showLegendKey val="0"/>
          <c:showVal val="0"/>
          <c:showCatName val="0"/>
          <c:showSerName val="0"/>
          <c:showPercent val="1"/>
          <c:showBubbleSize val="0"/>
          <c:showLeaderLines val="1"/>
        </c:dLbls>
        <c:gapWidth val="100"/>
        <c:splitType val="pos"/>
        <c:splitPos val="4"/>
        <c:secondPieSize val="75"/>
        <c:serLines>
          <c:spPr>
            <a:ln>
              <a:solidFill>
                <a:schemeClr val="accent1"/>
              </a:solidFill>
            </a:ln>
          </c:spPr>
        </c:serLines>
      </c:ofPieChart>
    </c:plotArea>
    <c:legend>
      <c:legendPos val="b"/>
      <c:legendEntry>
        <c:idx val="0"/>
        <c:delete val="1"/>
      </c:legendEntry>
      <c:layout>
        <c:manualLayout>
          <c:xMode val="edge"/>
          <c:yMode val="edge"/>
          <c:x val="0"/>
          <c:y val="0.79290127195639015"/>
          <c:w val="1"/>
          <c:h val="0.18414781817611445"/>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986463207612175E-2"/>
          <c:y val="3.2706459525756335E-2"/>
        </c:manualLayout>
      </c:layout>
      <c:overlay val="0"/>
      <c:txPr>
        <a:bodyPr/>
        <a:lstStyle/>
        <a:p>
          <a:pPr>
            <a:defRPr sz="1600"/>
          </a:pPr>
          <a:endParaRPr lang="es-ES"/>
        </a:p>
      </c:txPr>
    </c:title>
    <c:autoTitleDeleted val="0"/>
    <c:plotArea>
      <c:layout/>
      <c:lineChart>
        <c:grouping val="stacked"/>
        <c:varyColors val="0"/>
        <c:ser>
          <c:idx val="0"/>
          <c:order val="0"/>
          <c:tx>
            <c:strRef>
              <c:f>Hoja1!$B$1</c:f>
              <c:strCache>
                <c:ptCount val="1"/>
                <c:pt idx="0">
                  <c:v>Tamaño de los aneurismas</c:v>
                </c:pt>
              </c:strCache>
            </c:strRef>
          </c:tx>
          <c:marker>
            <c:symbol val="none"/>
          </c:marker>
          <c:cat>
            <c:strRef>
              <c:f>Hoja1!$A$2:$A$14</c:f>
              <c:strCache>
                <c:ptCount val="13"/>
                <c:pt idx="0">
                  <c:v>2.0 mm</c:v>
                </c:pt>
                <c:pt idx="1">
                  <c:v>3,0mm</c:v>
                </c:pt>
                <c:pt idx="2">
                  <c:v>3,2mm</c:v>
                </c:pt>
                <c:pt idx="3">
                  <c:v>3,5mm</c:v>
                </c:pt>
                <c:pt idx="4">
                  <c:v>3,7mm</c:v>
                </c:pt>
                <c:pt idx="5">
                  <c:v>4mm</c:v>
                </c:pt>
                <c:pt idx="6">
                  <c:v>5mm</c:v>
                </c:pt>
                <c:pt idx="7">
                  <c:v>6mm</c:v>
                </c:pt>
                <c:pt idx="8">
                  <c:v>6,5mm</c:v>
                </c:pt>
                <c:pt idx="9">
                  <c:v>7,0mm</c:v>
                </c:pt>
                <c:pt idx="10">
                  <c:v>8,0mm</c:v>
                </c:pt>
                <c:pt idx="11">
                  <c:v>8,6mm</c:v>
                </c:pt>
                <c:pt idx="12">
                  <c:v>Perdidos</c:v>
                </c:pt>
              </c:strCache>
            </c:strRef>
          </c:cat>
          <c:val>
            <c:numRef>
              <c:f>Hoja1!$B$2:$B$14</c:f>
              <c:numCache>
                <c:formatCode>0.00%</c:formatCode>
                <c:ptCount val="13"/>
                <c:pt idx="0" formatCode="0%">
                  <c:v>3.3000000000000002E-2</c:v>
                </c:pt>
                <c:pt idx="1">
                  <c:v>0.1</c:v>
                </c:pt>
                <c:pt idx="2">
                  <c:v>3.3000000000000002E-2</c:v>
                </c:pt>
                <c:pt idx="3" formatCode="0%">
                  <c:v>6.7000000000000004E-2</c:v>
                </c:pt>
                <c:pt idx="4">
                  <c:v>3.3000000000000002E-2</c:v>
                </c:pt>
                <c:pt idx="5">
                  <c:v>6.7000000000000004E-2</c:v>
                </c:pt>
                <c:pt idx="6">
                  <c:v>0.13300000000000001</c:v>
                </c:pt>
                <c:pt idx="7" formatCode="0%">
                  <c:v>0.2</c:v>
                </c:pt>
                <c:pt idx="8">
                  <c:v>3.3000000000000002E-2</c:v>
                </c:pt>
                <c:pt idx="9">
                  <c:v>0.13300000000000001</c:v>
                </c:pt>
                <c:pt idx="10">
                  <c:v>6.7000000000000004E-2</c:v>
                </c:pt>
                <c:pt idx="11">
                  <c:v>3.3000000000000002E-2</c:v>
                </c:pt>
                <c:pt idx="12">
                  <c:v>6.7000000000000004E-2</c:v>
                </c:pt>
              </c:numCache>
            </c:numRef>
          </c:val>
          <c:smooth val="0"/>
        </c:ser>
        <c:dLbls>
          <c:showLegendKey val="0"/>
          <c:showVal val="0"/>
          <c:showCatName val="0"/>
          <c:showSerName val="0"/>
          <c:showPercent val="0"/>
          <c:showBubbleSize val="0"/>
        </c:dLbls>
        <c:marker val="1"/>
        <c:smooth val="0"/>
        <c:axId val="307654016"/>
        <c:axId val="311492992"/>
      </c:lineChart>
      <c:catAx>
        <c:axId val="307654016"/>
        <c:scaling>
          <c:orientation val="minMax"/>
        </c:scaling>
        <c:delete val="0"/>
        <c:axPos val="b"/>
        <c:majorTickMark val="out"/>
        <c:minorTickMark val="none"/>
        <c:tickLblPos val="nextTo"/>
        <c:crossAx val="311492992"/>
        <c:crosses val="autoZero"/>
        <c:auto val="1"/>
        <c:lblAlgn val="ctr"/>
        <c:lblOffset val="100"/>
        <c:noMultiLvlLbl val="0"/>
      </c:catAx>
      <c:valAx>
        <c:axId val="311492992"/>
        <c:scaling>
          <c:orientation val="minMax"/>
        </c:scaling>
        <c:delete val="0"/>
        <c:axPos val="l"/>
        <c:majorGridlines/>
        <c:numFmt formatCode="0%" sourceLinked="1"/>
        <c:majorTickMark val="out"/>
        <c:minorTickMark val="none"/>
        <c:tickLblPos val="nextTo"/>
        <c:crossAx val="307654016"/>
        <c:crosses val="autoZero"/>
        <c:crossBetween val="between"/>
      </c:valAx>
    </c:plotArea>
    <c:plotVisOnly val="1"/>
    <c:dispBlanksAs val="zero"/>
    <c:showDLblsOverMax val="0"/>
  </c:chart>
  <c:spPr>
    <a:ln>
      <a:gradFill>
        <a:gsLst>
          <a:gs pos="0">
            <a:schemeClr val="accent6"/>
          </a:gs>
          <a:gs pos="50000">
            <a:schemeClr val="accent1"/>
          </a:gs>
          <a:gs pos="100000">
            <a:schemeClr val="accent6">
              <a:lumMod val="60000"/>
              <a:lumOff val="40000"/>
            </a:schemeClr>
          </a:gs>
        </a:gsLst>
        <a:lin ang="5400000" scaled="0"/>
      </a:grad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382749570096843"/>
          <c:y val="3.9385772654706823E-2"/>
        </c:manualLayout>
      </c:layout>
      <c:overlay val="0"/>
      <c:txPr>
        <a:bodyPr/>
        <a:lstStyle/>
        <a:p>
          <a:pPr>
            <a:defRPr sz="1400"/>
          </a:pPr>
          <a:endParaRPr lang="es-ES"/>
        </a:p>
      </c:txPr>
    </c:title>
    <c:autoTitleDeleted val="0"/>
    <c:plotArea>
      <c:layout>
        <c:manualLayout>
          <c:layoutTarget val="inner"/>
          <c:xMode val="edge"/>
          <c:yMode val="edge"/>
          <c:x val="4.085003167707485E-2"/>
          <c:y val="0.23902373028113755"/>
          <c:w val="0.47659770114942529"/>
          <c:h val="0.71243986254295533"/>
        </c:manualLayout>
      </c:layout>
      <c:doughnutChart>
        <c:varyColors val="1"/>
        <c:ser>
          <c:idx val="0"/>
          <c:order val="0"/>
          <c:tx>
            <c:strRef>
              <c:f>Hoja1!$B$1</c:f>
              <c:strCache>
                <c:ptCount val="1"/>
                <c:pt idx="0">
                  <c:v>Complicaciones</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No tuvieron complicaciones</c:v>
                </c:pt>
                <c:pt idx="1">
                  <c:v>Tuvieron algún tipo de complicación</c:v>
                </c:pt>
              </c:strCache>
            </c:strRef>
          </c:cat>
          <c:val>
            <c:numRef>
              <c:f>Hoja1!$B$2:$B$3</c:f>
              <c:numCache>
                <c:formatCode>0%</c:formatCode>
                <c:ptCount val="2"/>
                <c:pt idx="0">
                  <c:v>0.6</c:v>
                </c:pt>
                <c:pt idx="1">
                  <c:v>0.4</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2471354873744225"/>
          <c:y val="0.25117677300646696"/>
          <c:w val="0.44310254321658071"/>
          <c:h val="0.42266309494818305"/>
        </c:manualLayout>
      </c:layout>
      <c:overlay val="0"/>
    </c:legend>
    <c:plotVisOnly val="1"/>
    <c:dispBlanksAs val="gap"/>
    <c:showDLblsOverMax val="0"/>
  </c:chart>
  <c:spPr>
    <a:ln>
      <a:gradFill flip="none" rotWithShape="1">
        <a:gsLst>
          <a:gs pos="54000">
            <a:schemeClr val="accent1"/>
          </a:gs>
          <a:gs pos="0">
            <a:schemeClr val="accent6"/>
          </a:gs>
          <a:gs pos="100000">
            <a:schemeClr val="accent6">
              <a:lumMod val="60000"/>
              <a:lumOff val="40000"/>
            </a:schemeClr>
          </a:gs>
        </a:gsLst>
        <a:lin ang="5400000" scaled="0"/>
        <a:tileRect r="-100000" b="-100000"/>
      </a:gra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0.49872</cdr:x>
      <cdr:y>0.83553</cdr:y>
    </cdr:from>
    <cdr:to>
      <cdr:x>0.99361</cdr:x>
      <cdr:y>0.99342</cdr:y>
    </cdr:to>
    <cdr:sp macro="" textlink="">
      <cdr:nvSpPr>
        <cdr:cNvPr id="2" name="1 Cuadro de texto"/>
        <cdr:cNvSpPr txBox="1"/>
      </cdr:nvSpPr>
      <cdr:spPr>
        <a:xfrm xmlns:a="http://schemas.openxmlformats.org/drawingml/2006/main">
          <a:off x="1238250" y="1209675"/>
          <a:ext cx="12287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0.68966</cdr:x>
      <cdr:y>0.76316</cdr:y>
    </cdr:from>
    <cdr:to>
      <cdr:x>1</cdr:x>
      <cdr:y>0.95395</cdr:y>
    </cdr:to>
    <cdr:sp macro="" textlink="">
      <cdr:nvSpPr>
        <cdr:cNvPr id="3" name="2 Cuadro de texto"/>
        <cdr:cNvSpPr txBox="1"/>
      </cdr:nvSpPr>
      <cdr:spPr>
        <a:xfrm xmlns:a="http://schemas.openxmlformats.org/drawingml/2006/main">
          <a:off x="1714500" y="1104899"/>
          <a:ext cx="7715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3.</a:t>
          </a:r>
        </a:p>
        <a:p xmlns:a="http://schemas.openxmlformats.org/drawingml/2006/main">
          <a:endParaRPr lang="es-ES" sz="1100" b="1" i="1"/>
        </a:p>
      </cdr:txBody>
    </cdr:sp>
  </cdr:relSizeAnchor>
</c:userShapes>
</file>

<file path=word/drawings/drawing10.xml><?xml version="1.0" encoding="utf-8"?>
<c:userShapes xmlns:c="http://schemas.openxmlformats.org/drawingml/2006/chart">
  <cdr:relSizeAnchor xmlns:cdr="http://schemas.openxmlformats.org/drawingml/2006/chartDrawing">
    <cdr:from>
      <cdr:x>0</cdr:x>
      <cdr:y>0.04233</cdr:y>
    </cdr:from>
    <cdr:to>
      <cdr:x>0.27679</cdr:x>
      <cdr:y>0.32804</cdr:y>
    </cdr:to>
    <cdr:sp macro="" textlink="">
      <cdr:nvSpPr>
        <cdr:cNvPr id="2" name="1 Cuadro de texto"/>
        <cdr:cNvSpPr txBox="1"/>
      </cdr:nvSpPr>
      <cdr:spPr>
        <a:xfrm xmlns:a="http://schemas.openxmlformats.org/drawingml/2006/main">
          <a:off x="0" y="76200"/>
          <a:ext cx="590549" cy="514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s-ES" sz="1100" b="1" i="1"/>
            <a:t>Figura</a:t>
          </a:r>
        </a:p>
        <a:p xmlns:a="http://schemas.openxmlformats.org/drawingml/2006/main">
          <a:pPr algn="ctr"/>
          <a:r>
            <a:rPr lang="es-ES" sz="1100" b="1" i="1"/>
            <a:t>11</a:t>
          </a:r>
        </a:p>
      </cdr:txBody>
    </cdr:sp>
  </cdr:relSizeAnchor>
</c:userShapes>
</file>

<file path=word/drawings/drawing11.xml><?xml version="1.0" encoding="utf-8"?>
<c:userShapes xmlns:c="http://schemas.openxmlformats.org/drawingml/2006/chart">
  <cdr:relSizeAnchor xmlns:cdr="http://schemas.openxmlformats.org/drawingml/2006/chartDrawing">
    <cdr:from>
      <cdr:x>0</cdr:x>
      <cdr:y>0</cdr:y>
    </cdr:from>
    <cdr:to>
      <cdr:x>0.2847</cdr:x>
      <cdr:y>0.15244</cdr:y>
    </cdr:to>
    <cdr:sp macro="" textlink="">
      <cdr:nvSpPr>
        <cdr:cNvPr id="2" name="1 Cuadro de texto"/>
        <cdr:cNvSpPr txBox="1"/>
      </cdr:nvSpPr>
      <cdr:spPr>
        <a:xfrm xmlns:a="http://schemas.openxmlformats.org/drawingml/2006/main">
          <a:off x="0" y="0"/>
          <a:ext cx="762000" cy="23725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13</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a:p xmlns:a="http://schemas.openxmlformats.org/drawingml/2006/main">
          <a:endParaRPr lang="es-ES" sz="1100"/>
        </a:p>
      </cdr:txBody>
    </cdr:sp>
  </cdr:relSizeAnchor>
</c:userShapes>
</file>

<file path=word/drawings/drawing12.xml><?xml version="1.0" encoding="utf-8"?>
<c:userShapes xmlns:c="http://schemas.openxmlformats.org/drawingml/2006/chart">
  <cdr:relSizeAnchor xmlns:cdr="http://schemas.openxmlformats.org/drawingml/2006/chartDrawing">
    <cdr:from>
      <cdr:x>0</cdr:x>
      <cdr:y>0</cdr:y>
    </cdr:from>
    <cdr:to>
      <cdr:x>0.31716</cdr:x>
      <cdr:y>0.14964</cdr:y>
    </cdr:to>
    <cdr:sp macro="" textlink="">
      <cdr:nvSpPr>
        <cdr:cNvPr id="2" name="1 Cuadro de texto"/>
        <cdr:cNvSpPr txBox="1"/>
      </cdr:nvSpPr>
      <cdr:spPr>
        <a:xfrm xmlns:a="http://schemas.openxmlformats.org/drawingml/2006/main">
          <a:off x="-3619500" y="0"/>
          <a:ext cx="791489" cy="23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14</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cdr:txBody>
    </cdr:sp>
  </cdr:relSizeAnchor>
</c:userShapes>
</file>

<file path=word/drawings/drawing13.xml><?xml version="1.0" encoding="utf-8"?>
<c:userShapes xmlns:c="http://schemas.openxmlformats.org/drawingml/2006/chart">
  <cdr:relSizeAnchor xmlns:cdr="http://schemas.openxmlformats.org/drawingml/2006/chartDrawing">
    <cdr:from>
      <cdr:x>0</cdr:x>
      <cdr:y>0.00496</cdr:y>
    </cdr:from>
    <cdr:to>
      <cdr:x>0.3308</cdr:x>
      <cdr:y>0.19326</cdr:y>
    </cdr:to>
    <cdr:sp macro="" textlink="">
      <cdr:nvSpPr>
        <cdr:cNvPr id="2" name="1 Cuadro de texto"/>
        <cdr:cNvSpPr txBox="1"/>
      </cdr:nvSpPr>
      <cdr:spPr>
        <a:xfrm xmlns:a="http://schemas.openxmlformats.org/drawingml/2006/main">
          <a:off x="0" y="7748"/>
          <a:ext cx="885825" cy="2941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12</a:t>
          </a:r>
        </a:p>
      </cdr:txBody>
    </cdr:sp>
  </cdr:relSizeAnchor>
</c:userShapes>
</file>

<file path=word/drawings/drawing14.xml><?xml version="1.0" encoding="utf-8"?>
<c:userShapes xmlns:c="http://schemas.openxmlformats.org/drawingml/2006/chart">
  <cdr:relSizeAnchor xmlns:cdr="http://schemas.openxmlformats.org/drawingml/2006/chartDrawing">
    <cdr:from>
      <cdr:x>0.02099</cdr:x>
      <cdr:y>0.04219</cdr:y>
    </cdr:from>
    <cdr:to>
      <cdr:x>0.14243</cdr:x>
      <cdr:y>0.16034</cdr:y>
    </cdr:to>
    <cdr:sp macro="" textlink="">
      <cdr:nvSpPr>
        <cdr:cNvPr id="2" name="1 Cuadro de texto"/>
        <cdr:cNvSpPr txBox="1"/>
      </cdr:nvSpPr>
      <cdr:spPr>
        <a:xfrm xmlns:a="http://schemas.openxmlformats.org/drawingml/2006/main">
          <a:off x="133350" y="95250"/>
          <a:ext cx="7715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15</a:t>
          </a:r>
        </a:p>
      </cdr:txBody>
    </cdr:sp>
  </cdr:relSizeAnchor>
</c:userShapes>
</file>

<file path=word/drawings/drawing15.xml><?xml version="1.0" encoding="utf-8"?>
<c:userShapes xmlns:c="http://schemas.openxmlformats.org/drawingml/2006/chart">
  <cdr:relSizeAnchor xmlns:cdr="http://schemas.openxmlformats.org/drawingml/2006/chartDrawing">
    <cdr:from>
      <cdr:x>0</cdr:x>
      <cdr:y>0</cdr:y>
    </cdr:from>
    <cdr:to>
      <cdr:x>0.2441</cdr:x>
      <cdr:y>0.12821</cdr:y>
    </cdr:to>
    <cdr:sp macro="" textlink="">
      <cdr:nvSpPr>
        <cdr:cNvPr id="2" name="1 Cuadro de texto"/>
        <cdr:cNvSpPr txBox="1"/>
      </cdr:nvSpPr>
      <cdr:spPr>
        <a:xfrm xmlns:a="http://schemas.openxmlformats.org/drawingml/2006/main">
          <a:off x="0" y="0"/>
          <a:ext cx="933450"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16.</a:t>
          </a:r>
          <a:endParaRPr lang="es-ES" sz="1100" b="1" i="1"/>
        </a:p>
      </cdr:txBody>
    </cdr:sp>
  </cdr:relSizeAnchor>
</c:userShapes>
</file>

<file path=word/drawings/drawing2.xml><?xml version="1.0" encoding="utf-8"?>
<c:userShapes xmlns:c="http://schemas.openxmlformats.org/drawingml/2006/chart">
  <cdr:relSizeAnchor xmlns:cdr="http://schemas.openxmlformats.org/drawingml/2006/chartDrawing">
    <cdr:from>
      <cdr:x>0.55273</cdr:x>
      <cdr:y>0.74172</cdr:y>
    </cdr:from>
    <cdr:to>
      <cdr:x>0.99273</cdr:x>
      <cdr:y>0.97351</cdr:y>
    </cdr:to>
    <cdr:sp macro="" textlink="">
      <cdr:nvSpPr>
        <cdr:cNvPr id="3" name="2 Cuadro de texto"/>
        <cdr:cNvSpPr txBox="1"/>
      </cdr:nvSpPr>
      <cdr:spPr>
        <a:xfrm xmlns:a="http://schemas.openxmlformats.org/drawingml/2006/main">
          <a:off x="1447800" y="1066800"/>
          <a:ext cx="1152525"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0.69454</cdr:x>
      <cdr:y>0.77484</cdr:y>
    </cdr:from>
    <cdr:to>
      <cdr:x>0.97091</cdr:x>
      <cdr:y>1</cdr:y>
    </cdr:to>
    <cdr:sp macro="" textlink="">
      <cdr:nvSpPr>
        <cdr:cNvPr id="4" name="3 Cuadro de texto"/>
        <cdr:cNvSpPr txBox="1"/>
      </cdr:nvSpPr>
      <cdr:spPr>
        <a:xfrm xmlns:a="http://schemas.openxmlformats.org/drawingml/2006/main">
          <a:off x="1819273" y="1114426"/>
          <a:ext cx="723902" cy="32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4.</a:t>
          </a:r>
        </a:p>
        <a:p xmlns:a="http://schemas.openxmlformats.org/drawingml/2006/main">
          <a:endParaRPr lang="es-ES" sz="1100" b="1" i="1"/>
        </a:p>
      </cdr:txBody>
    </cdr:sp>
  </cdr:relSizeAnchor>
</c:userShapes>
</file>

<file path=word/drawings/drawing3.xml><?xml version="1.0" encoding="utf-8"?>
<c:userShapes xmlns:c="http://schemas.openxmlformats.org/drawingml/2006/chart">
  <cdr:relSizeAnchor xmlns:cdr="http://schemas.openxmlformats.org/drawingml/2006/chartDrawing">
    <cdr:from>
      <cdr:x>0.67122</cdr:x>
      <cdr:y>0.73905</cdr:y>
    </cdr:from>
    <cdr:to>
      <cdr:x>0.9661</cdr:x>
      <cdr:y>0.96273</cdr:y>
    </cdr:to>
    <cdr:sp macro="" textlink="">
      <cdr:nvSpPr>
        <cdr:cNvPr id="2" name="1 Cuadro de texto"/>
        <cdr:cNvSpPr txBox="1"/>
      </cdr:nvSpPr>
      <cdr:spPr>
        <a:xfrm xmlns:a="http://schemas.openxmlformats.org/drawingml/2006/main">
          <a:off x="1760314" y="1133351"/>
          <a:ext cx="773338" cy="3430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2.</a:t>
          </a:r>
        </a:p>
      </cdr:txBody>
    </cdr:sp>
  </cdr:relSizeAnchor>
</c:userShapes>
</file>

<file path=word/drawings/drawing4.xml><?xml version="1.0" encoding="utf-8"?>
<c:userShapes xmlns:c="http://schemas.openxmlformats.org/drawingml/2006/chart">
  <cdr:relSizeAnchor xmlns:cdr="http://schemas.openxmlformats.org/drawingml/2006/chartDrawing">
    <cdr:from>
      <cdr:x>0.6884</cdr:x>
      <cdr:y>0.78182</cdr:y>
    </cdr:from>
    <cdr:to>
      <cdr:x>0.99906</cdr:x>
      <cdr:y>0.93939</cdr:y>
    </cdr:to>
    <cdr:sp macro="" textlink="">
      <cdr:nvSpPr>
        <cdr:cNvPr id="2" name="1 Cuadro de texto"/>
        <cdr:cNvSpPr txBox="1"/>
      </cdr:nvSpPr>
      <cdr:spPr>
        <a:xfrm xmlns:a="http://schemas.openxmlformats.org/drawingml/2006/main">
          <a:off x="1857375" y="1228725"/>
          <a:ext cx="8382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6</a:t>
          </a:r>
        </a:p>
      </cdr:txBody>
    </cdr:sp>
  </cdr:relSizeAnchor>
</c:userShapes>
</file>

<file path=word/drawings/drawing5.xml><?xml version="1.0" encoding="utf-8"?>
<c:userShapes xmlns:c="http://schemas.openxmlformats.org/drawingml/2006/chart">
  <cdr:relSizeAnchor xmlns:cdr="http://schemas.openxmlformats.org/drawingml/2006/chartDrawing">
    <cdr:from>
      <cdr:x>0.68905</cdr:x>
      <cdr:y>0.76753</cdr:y>
    </cdr:from>
    <cdr:to>
      <cdr:x>0.96466</cdr:x>
      <cdr:y>0.95487</cdr:y>
    </cdr:to>
    <cdr:sp macro="" textlink="">
      <cdr:nvSpPr>
        <cdr:cNvPr id="2" name="1 Cuadro de texto"/>
        <cdr:cNvSpPr txBox="1"/>
      </cdr:nvSpPr>
      <cdr:spPr>
        <a:xfrm xmlns:a="http://schemas.openxmlformats.org/drawingml/2006/main">
          <a:off x="1857376" y="1209674"/>
          <a:ext cx="742950" cy="295275"/>
        </a:xfrm>
        <a:prstGeom xmlns:a="http://schemas.openxmlformats.org/drawingml/2006/main" prst="rect">
          <a:avLst/>
        </a:prstGeom>
        <a:noFill xmlns:a="http://schemas.openxmlformats.org/drawingml/2006/main"/>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5</a:t>
          </a:r>
        </a:p>
      </cdr:txBody>
    </cdr:sp>
  </cdr:relSizeAnchor>
</c:userShapes>
</file>

<file path=word/drawings/drawing6.xml><?xml version="1.0" encoding="utf-8"?>
<c:userShapes xmlns:c="http://schemas.openxmlformats.org/drawingml/2006/chart">
  <cdr:relSizeAnchor xmlns:cdr="http://schemas.openxmlformats.org/drawingml/2006/chartDrawing">
    <cdr:from>
      <cdr:x>0</cdr:x>
      <cdr:y>0</cdr:y>
    </cdr:from>
    <cdr:to>
      <cdr:x>0.35321</cdr:x>
      <cdr:y>0.16478</cdr:y>
    </cdr:to>
    <cdr:sp macro="" textlink="">
      <cdr:nvSpPr>
        <cdr:cNvPr id="2" name="1 Cuadro de texto"/>
        <cdr:cNvSpPr txBox="1"/>
      </cdr:nvSpPr>
      <cdr:spPr>
        <a:xfrm xmlns:a="http://schemas.openxmlformats.org/drawingml/2006/main">
          <a:off x="0" y="0"/>
          <a:ext cx="733425" cy="27623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 Figura 8.</a:t>
          </a:r>
        </a:p>
        <a:p xmlns:a="http://schemas.openxmlformats.org/drawingml/2006/main">
          <a:endParaRPr lang="es-ES" sz="1100" b="1" i="1"/>
        </a:p>
      </cdr:txBody>
    </cdr:sp>
  </cdr:relSizeAnchor>
</c:userShapes>
</file>

<file path=word/drawings/drawing7.xml><?xml version="1.0" encoding="utf-8"?>
<c:userShapes xmlns:c="http://schemas.openxmlformats.org/drawingml/2006/chart">
  <cdr:relSizeAnchor xmlns:cdr="http://schemas.openxmlformats.org/drawingml/2006/chartDrawing">
    <cdr:from>
      <cdr:x>0.73953</cdr:x>
      <cdr:y>0.04378</cdr:y>
    </cdr:from>
    <cdr:to>
      <cdr:x>0.9814</cdr:x>
      <cdr:y>0.15123</cdr:y>
    </cdr:to>
    <cdr:sp macro="" textlink="">
      <cdr:nvSpPr>
        <cdr:cNvPr id="2" name="1 Cuadro de texto"/>
        <cdr:cNvSpPr txBox="1"/>
      </cdr:nvSpPr>
      <cdr:spPr>
        <a:xfrm xmlns:a="http://schemas.openxmlformats.org/drawingml/2006/main">
          <a:off x="3028950" y="104775"/>
          <a:ext cx="99060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9.</a:t>
          </a:r>
        </a:p>
      </cdr:txBody>
    </cdr:sp>
  </cdr:relSizeAnchor>
</c:userShapes>
</file>

<file path=word/drawings/drawing8.xml><?xml version="1.0" encoding="utf-8"?>
<c:userShapes xmlns:c="http://schemas.openxmlformats.org/drawingml/2006/chart">
  <cdr:relSizeAnchor xmlns:cdr="http://schemas.openxmlformats.org/drawingml/2006/chartDrawing">
    <cdr:from>
      <cdr:x>0.75083</cdr:x>
      <cdr:y>0.05687</cdr:y>
    </cdr:from>
    <cdr:to>
      <cdr:x>0.98546</cdr:x>
      <cdr:y>0.18957</cdr:y>
    </cdr:to>
    <cdr:sp macro="" textlink="">
      <cdr:nvSpPr>
        <cdr:cNvPr id="2" name="1 Cuadro de texto"/>
        <cdr:cNvSpPr txBox="1"/>
      </cdr:nvSpPr>
      <cdr:spPr>
        <a:xfrm xmlns:a="http://schemas.openxmlformats.org/drawingml/2006/main">
          <a:off x="2590800" y="114300"/>
          <a:ext cx="8096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7.</a:t>
          </a:r>
        </a:p>
      </cdr:txBody>
    </cdr:sp>
  </cdr:relSizeAnchor>
</c:userShapes>
</file>

<file path=word/drawings/drawing9.xml><?xml version="1.0" encoding="utf-8"?>
<c:userShapes xmlns:c="http://schemas.openxmlformats.org/drawingml/2006/chart">
  <cdr:relSizeAnchor xmlns:cdr="http://schemas.openxmlformats.org/drawingml/2006/chartDrawing">
    <cdr:from>
      <cdr:x>0.5931</cdr:x>
      <cdr:y>0.75773</cdr:y>
    </cdr:from>
    <cdr:to>
      <cdr:x>1</cdr:x>
      <cdr:y>0.93299</cdr:y>
    </cdr:to>
    <cdr:sp macro="" textlink="">
      <cdr:nvSpPr>
        <cdr:cNvPr id="2" name="1 Cuadro de texto"/>
        <cdr:cNvSpPr txBox="1"/>
      </cdr:nvSpPr>
      <cdr:spPr>
        <a:xfrm xmlns:a="http://schemas.openxmlformats.org/drawingml/2006/main">
          <a:off x="1638300" y="1400175"/>
          <a:ext cx="11239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10.</a:t>
          </a:r>
        </a:p>
        <a:p xmlns:a="http://schemas.openxmlformats.org/drawingml/2006/main">
          <a:endParaRPr lang="es-ES" sz="1100" b="1" i="1"/>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0A69E4"/>
    <w:rsid w:val="0010115D"/>
    <w:rsid w:val="00154469"/>
    <w:rsid w:val="00174B35"/>
    <w:rsid w:val="00190A60"/>
    <w:rsid w:val="001B0CA4"/>
    <w:rsid w:val="001F293E"/>
    <w:rsid w:val="00234696"/>
    <w:rsid w:val="00277410"/>
    <w:rsid w:val="00294117"/>
    <w:rsid w:val="002A047B"/>
    <w:rsid w:val="002B6689"/>
    <w:rsid w:val="00356D5C"/>
    <w:rsid w:val="0039172F"/>
    <w:rsid w:val="003E40C2"/>
    <w:rsid w:val="003F1154"/>
    <w:rsid w:val="003F6E28"/>
    <w:rsid w:val="004109CA"/>
    <w:rsid w:val="00474E71"/>
    <w:rsid w:val="0049471B"/>
    <w:rsid w:val="004E10E9"/>
    <w:rsid w:val="00504F62"/>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84BE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37262"/>
    <w:rsid w:val="00E65607"/>
    <w:rsid w:val="00EA380F"/>
    <w:rsid w:val="00F25492"/>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 w:type="paragraph" w:customStyle="1" w:styleId="C46844ABE8CD4B7286CAD97DDEFA2BC1">
    <w:name w:val="C46844ABE8CD4B7286CAD97DDEFA2BC1"/>
    <w:rsid w:val="00234696"/>
  </w:style>
  <w:style w:type="paragraph" w:customStyle="1" w:styleId="D776426195AD45F28155DF79579B361D">
    <w:name w:val="D776426195AD45F28155DF79579B361D"/>
    <w:rsid w:val="00EA380F"/>
  </w:style>
  <w:style w:type="paragraph" w:customStyle="1" w:styleId="8DBE6360506C4802A0C9DC1C077240FF">
    <w:name w:val="8DBE6360506C4802A0C9DC1C077240FF"/>
    <w:rsid w:val="00EA380F"/>
  </w:style>
  <w:style w:type="paragraph" w:customStyle="1" w:styleId="17D7942827B74F56B33115B190659930">
    <w:name w:val="17D7942827B74F56B33115B190659930"/>
    <w:rsid w:val="00EA380F"/>
  </w:style>
  <w:style w:type="paragraph" w:customStyle="1" w:styleId="03F48E255FF5401689F23BE25317AEDF">
    <w:name w:val="03F48E255FF5401689F23BE25317AEDF"/>
    <w:rsid w:val="00EA380F"/>
  </w:style>
  <w:style w:type="paragraph" w:customStyle="1" w:styleId="F6BF7BD3461A41EE93BF3E260FB0A1E4">
    <w:name w:val="F6BF7BD3461A41EE93BF3E260FB0A1E4"/>
    <w:rsid w:val="00EA38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BC5A8-B2F7-4FC2-8E5E-67FCFFFB9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25307</Words>
  <Characters>139191</Characters>
  <Application>Microsoft Office Word</Application>
  <DocSecurity>0</DocSecurity>
  <Lines>1159</Lines>
  <Paragraphs>328</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164170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2</cp:revision>
  <dcterms:created xsi:type="dcterms:W3CDTF">2018-06-06T15:55:00Z</dcterms:created>
  <dcterms:modified xsi:type="dcterms:W3CDTF">2018-06-06T15:55:00Z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id="NQet9bID"/&gt;&lt;style id="http://www.zotero.org/styles/vancouver" locale="es-ES"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