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74" w:rsidRDefault="007B2621" w:rsidP="007B2621">
      <w:pPr>
        <w:pStyle w:val="Ttulo"/>
      </w:pPr>
      <w:r>
        <w:t>Agradeci</w:t>
      </w:r>
      <w:r w:rsidR="00171FF3">
        <w:t>mientos</w:t>
      </w:r>
    </w:p>
    <w:p w:rsidR="00E61AE2" w:rsidRPr="00171FF3" w:rsidRDefault="00905974" w:rsidP="00171FF3">
      <w:pPr>
        <w:rPr>
          <w:rFonts w:asciiTheme="majorHAnsi" w:eastAsiaTheme="majorEastAsia" w:hAnsiTheme="majorHAnsi" w:cstheme="majorBidi"/>
          <w:color w:val="232323" w:themeColor="text2" w:themeShade="BF"/>
          <w:spacing w:val="5"/>
          <w:kern w:val="28"/>
          <w:sz w:val="52"/>
          <w:szCs w:val="52"/>
        </w:rPr>
        <w:sectPr w:rsidR="00E61AE2" w:rsidRPr="00171FF3"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br w:type="page"/>
      </w: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F308D9"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738928" w:history="1">
        <w:r w:rsidR="00F308D9" w:rsidRPr="00AC6906">
          <w:rPr>
            <w:rStyle w:val="Hipervnculo"/>
            <w:noProof/>
          </w:rPr>
          <w:t>Introducción</w:t>
        </w:r>
        <w:r w:rsidR="00F308D9">
          <w:rPr>
            <w:noProof/>
            <w:webHidden/>
          </w:rPr>
          <w:tab/>
        </w:r>
        <w:r w:rsidR="00F308D9">
          <w:rPr>
            <w:noProof/>
            <w:webHidden/>
          </w:rPr>
          <w:fldChar w:fldCharType="begin"/>
        </w:r>
        <w:r w:rsidR="00F308D9">
          <w:rPr>
            <w:noProof/>
            <w:webHidden/>
          </w:rPr>
          <w:instrText xml:space="preserve"> PAGEREF _Toc508738928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502005">
      <w:pPr>
        <w:pStyle w:val="TDC2"/>
        <w:rPr>
          <w:rFonts w:eastAsiaTheme="minorEastAsia"/>
          <w:smallCaps w:val="0"/>
          <w:noProof/>
          <w:sz w:val="22"/>
          <w:szCs w:val="22"/>
          <w:lang w:eastAsia="es-ES"/>
        </w:rPr>
      </w:pPr>
      <w:hyperlink w:anchor="_Toc508738929" w:history="1">
        <w:r w:rsidR="00F308D9" w:rsidRPr="00AC6906">
          <w:rPr>
            <w:rStyle w:val="Hipervnculo"/>
            <w:noProof/>
          </w:rPr>
          <w:t>Definición de aneurisma incidental</w:t>
        </w:r>
        <w:r w:rsidR="00F308D9">
          <w:rPr>
            <w:noProof/>
            <w:webHidden/>
          </w:rPr>
          <w:tab/>
        </w:r>
        <w:r w:rsidR="00F308D9">
          <w:rPr>
            <w:noProof/>
            <w:webHidden/>
          </w:rPr>
          <w:fldChar w:fldCharType="begin"/>
        </w:r>
        <w:r w:rsidR="00F308D9">
          <w:rPr>
            <w:noProof/>
            <w:webHidden/>
          </w:rPr>
          <w:instrText xml:space="preserve"> PAGEREF _Toc508738929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502005">
      <w:pPr>
        <w:pStyle w:val="TDC2"/>
        <w:rPr>
          <w:rFonts w:eastAsiaTheme="minorEastAsia"/>
          <w:smallCaps w:val="0"/>
          <w:noProof/>
          <w:sz w:val="22"/>
          <w:szCs w:val="22"/>
          <w:lang w:eastAsia="es-ES"/>
        </w:rPr>
      </w:pPr>
      <w:hyperlink w:anchor="_Toc508738930" w:history="1">
        <w:r w:rsidR="00F308D9" w:rsidRPr="00AC6906">
          <w:rPr>
            <w:rStyle w:val="Hipervnculo"/>
            <w:noProof/>
          </w:rPr>
          <w:t>Epidemiología</w:t>
        </w:r>
        <w:r w:rsidR="00F308D9">
          <w:rPr>
            <w:noProof/>
            <w:webHidden/>
          </w:rPr>
          <w:tab/>
        </w:r>
        <w:r w:rsidR="00F308D9">
          <w:rPr>
            <w:noProof/>
            <w:webHidden/>
          </w:rPr>
          <w:fldChar w:fldCharType="begin"/>
        </w:r>
        <w:r w:rsidR="00F308D9">
          <w:rPr>
            <w:noProof/>
            <w:webHidden/>
          </w:rPr>
          <w:instrText xml:space="preserve"> PAGEREF _Toc508738930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502005">
      <w:pPr>
        <w:pStyle w:val="TDC2"/>
        <w:rPr>
          <w:rFonts w:eastAsiaTheme="minorEastAsia"/>
          <w:smallCaps w:val="0"/>
          <w:noProof/>
          <w:sz w:val="22"/>
          <w:szCs w:val="22"/>
          <w:lang w:eastAsia="es-ES"/>
        </w:rPr>
      </w:pPr>
      <w:hyperlink w:anchor="_Toc508738931" w:history="1">
        <w:r w:rsidR="00F308D9" w:rsidRPr="00AC6906">
          <w:rPr>
            <w:rStyle w:val="Hipervnculo"/>
            <w:noProof/>
          </w:rPr>
          <w:t>Historia natural del aneurisma</w:t>
        </w:r>
        <w:r w:rsidR="00F308D9">
          <w:rPr>
            <w:noProof/>
            <w:webHidden/>
          </w:rPr>
          <w:tab/>
        </w:r>
        <w:r w:rsidR="00F308D9">
          <w:rPr>
            <w:noProof/>
            <w:webHidden/>
          </w:rPr>
          <w:fldChar w:fldCharType="begin"/>
        </w:r>
        <w:r w:rsidR="00F308D9">
          <w:rPr>
            <w:noProof/>
            <w:webHidden/>
          </w:rPr>
          <w:instrText xml:space="preserve"> PAGEREF _Toc508738931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502005">
      <w:pPr>
        <w:pStyle w:val="TDC3"/>
        <w:tabs>
          <w:tab w:val="right" w:leader="dot" w:pos="8494"/>
        </w:tabs>
        <w:rPr>
          <w:rFonts w:eastAsiaTheme="minorEastAsia"/>
          <w:i w:val="0"/>
          <w:iCs w:val="0"/>
          <w:noProof/>
          <w:sz w:val="22"/>
          <w:szCs w:val="22"/>
          <w:lang w:eastAsia="es-ES"/>
        </w:rPr>
      </w:pPr>
      <w:hyperlink w:anchor="_Toc508738932" w:history="1">
        <w:r w:rsidR="00F308D9" w:rsidRPr="00AC6906">
          <w:rPr>
            <w:rStyle w:val="Hipervnculo"/>
            <w:noProof/>
          </w:rPr>
          <w:t>Hemorragia Subaracnoidea (HSA)</w:t>
        </w:r>
        <w:r w:rsidR="00F308D9">
          <w:rPr>
            <w:noProof/>
            <w:webHidden/>
          </w:rPr>
          <w:tab/>
        </w:r>
        <w:r w:rsidR="00F308D9">
          <w:rPr>
            <w:noProof/>
            <w:webHidden/>
          </w:rPr>
          <w:fldChar w:fldCharType="begin"/>
        </w:r>
        <w:r w:rsidR="00F308D9">
          <w:rPr>
            <w:noProof/>
            <w:webHidden/>
          </w:rPr>
          <w:instrText xml:space="preserve"> PAGEREF _Toc508738932 \h </w:instrText>
        </w:r>
        <w:r w:rsidR="00F308D9">
          <w:rPr>
            <w:noProof/>
            <w:webHidden/>
          </w:rPr>
        </w:r>
        <w:r w:rsidR="00F308D9">
          <w:rPr>
            <w:noProof/>
            <w:webHidden/>
          </w:rPr>
          <w:fldChar w:fldCharType="separate"/>
        </w:r>
        <w:r w:rsidR="00F308D9">
          <w:rPr>
            <w:noProof/>
            <w:webHidden/>
          </w:rPr>
          <w:t>13</w:t>
        </w:r>
        <w:r w:rsidR="00F308D9">
          <w:rPr>
            <w:noProof/>
            <w:webHidden/>
          </w:rPr>
          <w:fldChar w:fldCharType="end"/>
        </w:r>
      </w:hyperlink>
    </w:p>
    <w:p w:rsidR="00F308D9" w:rsidRDefault="00502005">
      <w:pPr>
        <w:pStyle w:val="TDC3"/>
        <w:tabs>
          <w:tab w:val="right" w:leader="dot" w:pos="8494"/>
        </w:tabs>
        <w:rPr>
          <w:rFonts w:eastAsiaTheme="minorEastAsia"/>
          <w:i w:val="0"/>
          <w:iCs w:val="0"/>
          <w:noProof/>
          <w:sz w:val="22"/>
          <w:szCs w:val="22"/>
          <w:lang w:eastAsia="es-ES"/>
        </w:rPr>
      </w:pPr>
      <w:hyperlink w:anchor="_Toc508738933" w:history="1">
        <w:r w:rsidR="00F308D9" w:rsidRPr="00AC6906">
          <w:rPr>
            <w:rStyle w:val="Hipervnculo"/>
            <w:noProof/>
          </w:rPr>
          <w:t>Factores pronósticos y factores de riesgo de ruptura aneurismática</w:t>
        </w:r>
        <w:r w:rsidR="00F308D9">
          <w:rPr>
            <w:noProof/>
            <w:webHidden/>
          </w:rPr>
          <w:tab/>
        </w:r>
        <w:r w:rsidR="00F308D9">
          <w:rPr>
            <w:noProof/>
            <w:webHidden/>
          </w:rPr>
          <w:fldChar w:fldCharType="begin"/>
        </w:r>
        <w:r w:rsidR="00F308D9">
          <w:rPr>
            <w:noProof/>
            <w:webHidden/>
          </w:rPr>
          <w:instrText xml:space="preserve"> PAGEREF _Toc508738933 \h </w:instrText>
        </w:r>
        <w:r w:rsidR="00F308D9">
          <w:rPr>
            <w:noProof/>
            <w:webHidden/>
          </w:rPr>
        </w:r>
        <w:r w:rsidR="00F308D9">
          <w:rPr>
            <w:noProof/>
            <w:webHidden/>
          </w:rPr>
          <w:fldChar w:fldCharType="separate"/>
        </w:r>
        <w:r w:rsidR="00F308D9">
          <w:rPr>
            <w:noProof/>
            <w:webHidden/>
          </w:rPr>
          <w:t>14</w:t>
        </w:r>
        <w:r w:rsidR="00F308D9">
          <w:rPr>
            <w:noProof/>
            <w:webHidden/>
          </w:rPr>
          <w:fldChar w:fldCharType="end"/>
        </w:r>
      </w:hyperlink>
    </w:p>
    <w:p w:rsidR="00F308D9" w:rsidRDefault="00502005">
      <w:pPr>
        <w:pStyle w:val="TDC2"/>
        <w:rPr>
          <w:rFonts w:eastAsiaTheme="minorEastAsia"/>
          <w:smallCaps w:val="0"/>
          <w:noProof/>
          <w:sz w:val="22"/>
          <w:szCs w:val="22"/>
          <w:lang w:eastAsia="es-ES"/>
        </w:rPr>
      </w:pPr>
      <w:hyperlink w:anchor="_Toc508738934" w:history="1">
        <w:r w:rsidR="00F308D9" w:rsidRPr="00AC6906">
          <w:rPr>
            <w:rStyle w:val="Hipervnculo"/>
            <w:noProof/>
          </w:rPr>
          <w:t>Tratamiento de los aneurismas incidentales</w:t>
        </w:r>
        <w:r w:rsidR="00F308D9">
          <w:rPr>
            <w:noProof/>
            <w:webHidden/>
          </w:rPr>
          <w:tab/>
        </w:r>
        <w:r w:rsidR="00F308D9">
          <w:rPr>
            <w:noProof/>
            <w:webHidden/>
          </w:rPr>
          <w:fldChar w:fldCharType="begin"/>
        </w:r>
        <w:r w:rsidR="00F308D9">
          <w:rPr>
            <w:noProof/>
            <w:webHidden/>
          </w:rPr>
          <w:instrText xml:space="preserve"> PAGEREF _Toc508738934 \h </w:instrText>
        </w:r>
        <w:r w:rsidR="00F308D9">
          <w:rPr>
            <w:noProof/>
            <w:webHidden/>
          </w:rPr>
        </w:r>
        <w:r w:rsidR="00F308D9">
          <w:rPr>
            <w:noProof/>
            <w:webHidden/>
          </w:rPr>
          <w:fldChar w:fldCharType="separate"/>
        </w:r>
        <w:r w:rsidR="00F308D9">
          <w:rPr>
            <w:noProof/>
            <w:webHidden/>
          </w:rPr>
          <w:t>15</w:t>
        </w:r>
        <w:r w:rsidR="00F308D9">
          <w:rPr>
            <w:noProof/>
            <w:webHidden/>
          </w:rPr>
          <w:fldChar w:fldCharType="end"/>
        </w:r>
      </w:hyperlink>
    </w:p>
    <w:p w:rsidR="00F308D9" w:rsidRDefault="00502005">
      <w:pPr>
        <w:pStyle w:val="TDC3"/>
        <w:tabs>
          <w:tab w:val="right" w:leader="dot" w:pos="8494"/>
        </w:tabs>
        <w:rPr>
          <w:rFonts w:eastAsiaTheme="minorEastAsia"/>
          <w:i w:val="0"/>
          <w:iCs w:val="0"/>
          <w:noProof/>
          <w:sz w:val="22"/>
          <w:szCs w:val="22"/>
          <w:lang w:eastAsia="es-ES"/>
        </w:rPr>
      </w:pPr>
      <w:hyperlink w:anchor="_Toc508738935" w:history="1">
        <w:r w:rsidR="00F308D9" w:rsidRPr="00AC6906">
          <w:rPr>
            <w:rStyle w:val="Hipervnculo"/>
            <w:noProof/>
          </w:rPr>
          <w:t>Tratamiento quirúrgico</w:t>
        </w:r>
        <w:r w:rsidR="00F308D9">
          <w:rPr>
            <w:noProof/>
            <w:webHidden/>
          </w:rPr>
          <w:tab/>
        </w:r>
        <w:r w:rsidR="00F308D9">
          <w:rPr>
            <w:noProof/>
            <w:webHidden/>
          </w:rPr>
          <w:fldChar w:fldCharType="begin"/>
        </w:r>
        <w:r w:rsidR="00F308D9">
          <w:rPr>
            <w:noProof/>
            <w:webHidden/>
          </w:rPr>
          <w:instrText xml:space="preserve"> PAGEREF _Toc508738935 \h </w:instrText>
        </w:r>
        <w:r w:rsidR="00F308D9">
          <w:rPr>
            <w:noProof/>
            <w:webHidden/>
          </w:rPr>
        </w:r>
        <w:r w:rsidR="00F308D9">
          <w:rPr>
            <w:noProof/>
            <w:webHidden/>
          </w:rPr>
          <w:fldChar w:fldCharType="separate"/>
        </w:r>
        <w:r w:rsidR="00F308D9">
          <w:rPr>
            <w:noProof/>
            <w:webHidden/>
          </w:rPr>
          <w:t>15</w:t>
        </w:r>
        <w:r w:rsidR="00F308D9">
          <w:rPr>
            <w:noProof/>
            <w:webHidden/>
          </w:rPr>
          <w:fldChar w:fldCharType="end"/>
        </w:r>
      </w:hyperlink>
    </w:p>
    <w:p w:rsidR="00F308D9" w:rsidRDefault="00502005">
      <w:pPr>
        <w:pStyle w:val="TDC3"/>
        <w:tabs>
          <w:tab w:val="right" w:leader="dot" w:pos="8494"/>
        </w:tabs>
        <w:rPr>
          <w:rFonts w:eastAsiaTheme="minorEastAsia"/>
          <w:i w:val="0"/>
          <w:iCs w:val="0"/>
          <w:noProof/>
          <w:sz w:val="22"/>
          <w:szCs w:val="22"/>
          <w:lang w:eastAsia="es-ES"/>
        </w:rPr>
      </w:pPr>
      <w:hyperlink w:anchor="_Toc508738936" w:history="1">
        <w:r w:rsidR="00F308D9" w:rsidRPr="00AC6906">
          <w:rPr>
            <w:rStyle w:val="Hipervnculo"/>
            <w:noProof/>
          </w:rPr>
          <w:t>Tratamiento endovascular</w:t>
        </w:r>
        <w:r w:rsidR="00F308D9">
          <w:rPr>
            <w:noProof/>
            <w:webHidden/>
          </w:rPr>
          <w:tab/>
        </w:r>
        <w:r w:rsidR="00F308D9">
          <w:rPr>
            <w:noProof/>
            <w:webHidden/>
          </w:rPr>
          <w:fldChar w:fldCharType="begin"/>
        </w:r>
        <w:r w:rsidR="00F308D9">
          <w:rPr>
            <w:noProof/>
            <w:webHidden/>
          </w:rPr>
          <w:instrText xml:space="preserve"> PAGEREF _Toc508738936 \h </w:instrText>
        </w:r>
        <w:r w:rsidR="00F308D9">
          <w:rPr>
            <w:noProof/>
            <w:webHidden/>
          </w:rPr>
        </w:r>
        <w:r w:rsidR="00F308D9">
          <w:rPr>
            <w:noProof/>
            <w:webHidden/>
          </w:rPr>
          <w:fldChar w:fldCharType="separate"/>
        </w:r>
        <w:r w:rsidR="00F308D9">
          <w:rPr>
            <w:noProof/>
            <w:webHidden/>
          </w:rPr>
          <w:t>16</w:t>
        </w:r>
        <w:r w:rsidR="00F308D9">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8738928"/>
      <w:r>
        <w:lastRenderedPageBreak/>
        <w:t>Introducción</w:t>
      </w:r>
      <w:bookmarkEnd w:id="0"/>
    </w:p>
    <w:p w:rsidR="00F308D9" w:rsidRDefault="00F308D9" w:rsidP="00F308D9">
      <w:pPr>
        <w:pStyle w:val="Ttulo2"/>
        <w:numPr>
          <w:ilvl w:val="1"/>
          <w:numId w:val="0"/>
        </w:numPr>
        <w:ind w:left="576" w:hanging="576"/>
      </w:pPr>
      <w:bookmarkStart w:id="1" w:name="_Toc508738929"/>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08738930"/>
      <w:r>
        <w:t>Epidemiología</w:t>
      </w:r>
      <w:bookmarkEnd w:id="2"/>
    </w:p>
    <w:p w:rsidR="00171FF3" w:rsidRPr="00171FF3" w:rsidRDefault="00171FF3" w:rsidP="00171FF3">
      <w:r>
        <w:t>(No me gusta mucho este apartado, prefiero ir metiendo estos datos en los demás apartados)</w:t>
      </w:r>
    </w:p>
    <w:p w:rsidR="00F308D9" w:rsidRPr="007A1932" w:rsidRDefault="00F308D9" w:rsidP="00F308D9">
      <w:pPr>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w:t>
      </w:r>
      <w:r w:rsidR="00121126" w:rsidRPr="00121126">
        <w:rPr>
          <w:rFonts w:ascii="Calibri" w:hAnsi="Calibri" w:cs="Calibri"/>
          <w:i/>
        </w:rPr>
        <w:t>(3)</w:t>
      </w:r>
      <w:proofErr w:type="spellStart"/>
      <w:r w:rsidRPr="007A1932">
        <w:rPr>
          <w:i/>
        </w:rPr>
        <w:t>úmero</w:t>
      </w:r>
      <w:proofErr w:type="spellEnd"/>
      <w:r w:rsidRPr="007A1932">
        <w:rPr>
          <w:i/>
        </w:rPr>
        <w:t xml:space="preserve">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separate"/>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00121126">
        <w:rPr>
          <w:i/>
        </w:rPr>
        <w:fldChar w:fldCharType="begin"/>
      </w:r>
      <w:r w:rsidR="00121126">
        <w:rPr>
          <w:i/>
        </w:rPr>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rPr>
          <w:i/>
        </w:rPr>
        <w:fldChar w:fldCharType="separate"/>
      </w:r>
      <w:r w:rsidR="00121126" w:rsidRPr="00121126">
        <w:rPr>
          <w:rFonts w:ascii="Calibri" w:hAnsi="Calibri" w:cs="Calibri"/>
        </w:rPr>
        <w:t>(3)</w:t>
      </w:r>
      <w:r w:rsidR="00121126">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pPr>
      <w:bookmarkStart w:id="3" w:name="_Toc508738931"/>
      <w:r>
        <w:t>Historia natural del aneurisma</w:t>
      </w:r>
      <w:bookmarkEnd w:id="3"/>
    </w:p>
    <w:p w:rsidR="00F308D9" w:rsidRDefault="00F308D9" w:rsidP="00F308D9">
      <w:r>
        <w:t xml:space="preserve">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w:t>
      </w:r>
      <w:r>
        <w:lastRenderedPageBreak/>
        <w:t>que los aneurismas que sí son tratados</w:t>
      </w:r>
      <w:r w:rsidR="00121126">
        <w:t xml:space="preserve">. </w:t>
      </w:r>
      <w:r>
        <w:t>Lo que hace no podamos predecir cuál es el riesgo ruptura de una manera clara, si no que según el contexto que le acompañe se decidirá una vía de actuación. La evolución natural del aneurisma es su ruptura,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08738932"/>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F308D9">
      <w:pPr>
        <w:pStyle w:val="Prrafodelista"/>
        <w:numPr>
          <w:ilvl w:val="0"/>
          <w:numId w:val="54"/>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pPr>
      <w:r>
        <w:t>Crisis comiciales</w:t>
      </w:r>
    </w:p>
    <w:p w:rsidR="00F308D9" w:rsidRDefault="00F308D9" w:rsidP="00F308D9">
      <w:pPr>
        <w:pStyle w:val="Prrafodelista"/>
        <w:numPr>
          <w:ilvl w:val="0"/>
          <w:numId w:val="54"/>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08738933"/>
      <w:r>
        <w:t>Factores pronósticos y factores de riesgo de ruptura aneurismática</w:t>
      </w:r>
      <w:bookmarkEnd w:id="5"/>
    </w:p>
    <w:p w:rsidR="00F308D9" w:rsidRDefault="00F308D9" w:rsidP="00F308D9">
      <w:pPr>
        <w:pStyle w:val="Prrafodelista"/>
        <w:numPr>
          <w:ilvl w:val="0"/>
          <w:numId w:val="55"/>
        </w:numPr>
      </w:pPr>
      <w:r>
        <w:t>Factores dependientes del aneurisma:</w:t>
      </w:r>
    </w:p>
    <w:p w:rsidR="00F308D9" w:rsidRDefault="00F308D9" w:rsidP="00F308D9">
      <w:pPr>
        <w:pStyle w:val="Prrafodelista"/>
        <w:numPr>
          <w:ilvl w:val="1"/>
          <w:numId w:val="55"/>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F308D9">
      <w:pPr>
        <w:pStyle w:val="Prrafodelista"/>
        <w:numPr>
          <w:ilvl w:val="1"/>
          <w:numId w:val="55"/>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F308D9">
      <w:pPr>
        <w:pStyle w:val="Prrafodelista"/>
        <w:numPr>
          <w:ilvl w:val="1"/>
          <w:numId w:val="55"/>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F308D9">
      <w:pPr>
        <w:pStyle w:val="Prrafodelista"/>
        <w:numPr>
          <w:ilvl w:val="1"/>
          <w:numId w:val="55"/>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F308D9">
      <w:pPr>
        <w:pStyle w:val="Prrafodelista"/>
        <w:numPr>
          <w:ilvl w:val="0"/>
          <w:numId w:val="55"/>
        </w:numPr>
      </w:pPr>
      <w:r>
        <w:t>Características del paciente:</w:t>
      </w:r>
    </w:p>
    <w:p w:rsidR="00F308D9" w:rsidRDefault="00F308D9" w:rsidP="00F308D9">
      <w:pPr>
        <w:pStyle w:val="Prrafodelista"/>
        <w:numPr>
          <w:ilvl w:val="1"/>
          <w:numId w:val="55"/>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F308D9">
      <w:pPr>
        <w:pStyle w:val="Prrafodelista"/>
        <w:numPr>
          <w:ilvl w:val="1"/>
          <w:numId w:val="55"/>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F308D9">
      <w:pPr>
        <w:pStyle w:val="Prrafodelista"/>
        <w:numPr>
          <w:ilvl w:val="1"/>
          <w:numId w:val="55"/>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F308D9">
      <w:pPr>
        <w:pStyle w:val="Prrafodelista"/>
        <w:numPr>
          <w:ilvl w:val="1"/>
          <w:numId w:val="55"/>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F308D9">
      <w:pPr>
        <w:pStyle w:val="Prrafodelista"/>
        <w:numPr>
          <w:ilvl w:val="1"/>
          <w:numId w:val="55"/>
        </w:numPr>
        <w:rPr>
          <w:rFonts w:ascii="Calibri Light" w:hAnsi="Calibri Light"/>
        </w:rPr>
      </w:pPr>
      <w:r>
        <w:t>Hábitos tóxicos: el consumo de tabaco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08738934"/>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08738935"/>
      <w:r>
        <w:t>Tratamiento quirúrgico</w:t>
      </w:r>
      <w:bookmarkEnd w:id="7"/>
    </w:p>
    <w:p w:rsidR="00731971" w:rsidRPr="00731971" w:rsidRDefault="00731971" w:rsidP="00731971">
      <w:r w:rsidRPr="00731971">
        <w:rPr>
          <w:u w:val="single"/>
        </w:rPr>
        <w:t>Técnica:</w:t>
      </w:r>
      <w:r>
        <w:rPr>
          <w:color w:val="560000" w:themeColor="accent1" w:themeShade="80"/>
        </w:rPr>
        <w:t xml:space="preserve"> </w:t>
      </w:r>
      <w:r w:rsidRPr="00731971">
        <w:t>Es relativamente sencilla.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endovascular puesto que, probablemente, ésta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w:t>
      </w:r>
      <w:r>
        <w:lastRenderedPageBreak/>
        <w:t>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08738936"/>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bookmarkStart w:id="9" w:name="_GoBack"/>
      <w:bookmarkEnd w:id="9"/>
    </w:p>
    <w:sectPr w:rsidR="008443CD"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005" w:rsidRDefault="00502005" w:rsidP="00B07406">
      <w:pPr>
        <w:spacing w:after="0" w:line="240" w:lineRule="auto"/>
      </w:pPr>
      <w:r>
        <w:separator/>
      </w:r>
    </w:p>
  </w:endnote>
  <w:endnote w:type="continuationSeparator" w:id="0">
    <w:p w:rsidR="00502005" w:rsidRDefault="00502005"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1568">
      <w:tc>
        <w:tcPr>
          <w:tcW w:w="500" w:type="pct"/>
          <w:tcBorders>
            <w:top w:val="single" w:sz="4" w:space="0" w:color="554740" w:themeColor="accent2" w:themeShade="BF"/>
          </w:tcBorders>
          <w:shd w:val="clear" w:color="auto" w:fill="554740" w:themeFill="accent2" w:themeFillShade="BF"/>
        </w:tcPr>
        <w:p w:rsidR="00921568" w:rsidRDefault="0087418A">
          <w:pPr>
            <w:pStyle w:val="Piedepgina"/>
            <w:jc w:val="right"/>
            <w:rPr>
              <w:b/>
              <w:color w:val="FFFFFF" w:themeColor="background1"/>
            </w:rPr>
          </w:pPr>
          <w:r>
            <w:fldChar w:fldCharType="begin"/>
          </w:r>
          <w:r>
            <w:instrText xml:space="preserve"> PAGE   \* MERGEFORMAT </w:instrText>
          </w:r>
          <w:r>
            <w:fldChar w:fldCharType="separate"/>
          </w:r>
          <w:r w:rsidR="002C6295" w:rsidRPr="002C6295">
            <w:rPr>
              <w:noProof/>
              <w:color w:val="FFFFFF" w:themeColor="background1"/>
            </w:rPr>
            <w:t>16</w:t>
          </w:r>
          <w:r>
            <w:rPr>
              <w:noProof/>
              <w:color w:val="FFFFFF" w:themeColor="background1"/>
            </w:rPr>
            <w:fldChar w:fldCharType="end"/>
          </w:r>
        </w:p>
      </w:tc>
      <w:tc>
        <w:tcPr>
          <w:tcW w:w="4500" w:type="pct"/>
          <w:tcBorders>
            <w:top w:val="single" w:sz="4" w:space="0" w:color="auto"/>
          </w:tcBorders>
        </w:tcPr>
        <w:p w:rsidR="00921568" w:rsidRDefault="00502005">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r w:rsidR="0092156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F308D9">
                <w:rPr>
                  <w:i/>
                </w:rPr>
                <w:t>Grado en Medicina – Facultad de Medicina y Ciencias de la salud - Universidad de Oviedo</w:t>
              </w:r>
            </w:sdtContent>
          </w:sdt>
        </w:p>
      </w:tc>
    </w:tr>
  </w:tbl>
  <w:p w:rsidR="00921568" w:rsidRDefault="00921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502005"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F308D9">
                <w:t>Grado en Medicina – Facultad de Medicina y Ciencias de la salud - Universidad de Oviedo</w:t>
              </w:r>
            </w:sdtContent>
          </w:sdt>
          <w:r w:rsidR="00921568">
            <w:t xml:space="preserve"> |</w:t>
          </w:r>
          <w:r w:rsidR="0092156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2C6295" w:rsidRPr="002C6295">
            <w:rPr>
              <w:noProof/>
              <w:color w:val="FFFFFF" w:themeColor="background1"/>
            </w:rPr>
            <w:t>17</w:t>
          </w:r>
          <w:r>
            <w:rPr>
              <w:noProof/>
              <w:color w:val="FFFFFF" w:themeColor="background1"/>
            </w:rPr>
            <w:fldChar w:fldCharType="end"/>
          </w:r>
        </w:p>
      </w:tc>
    </w:tr>
  </w:tbl>
  <w:p w:rsidR="00921568" w:rsidRDefault="0092156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rsidTr="009D1163">
      <w:tc>
        <w:tcPr>
          <w:tcW w:w="4500" w:type="pct"/>
          <w:tcBorders>
            <w:top w:val="single" w:sz="4" w:space="0" w:color="000000" w:themeColor="text1"/>
          </w:tcBorders>
        </w:tcPr>
        <w:p w:rsidR="00921568" w:rsidRDefault="00502005"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6B4F6F">
                <w:t xml:space="preserve">Grado en </w:t>
              </w:r>
              <w:r w:rsidR="00F308D9">
                <w:t>Medicina –</w:t>
              </w:r>
              <w:r w:rsidR="00075754">
                <w:t xml:space="preserve"> </w:t>
              </w:r>
              <w:r w:rsidR="00F308D9">
                <w:t>Facultad de Medicina y Ciencias de la salud</w:t>
              </w:r>
              <w:r w:rsidR="00075754">
                <w:t xml:space="preserve"> - Universidad de Oviedo</w:t>
              </w:r>
            </w:sdtContent>
          </w:sdt>
          <w:r w:rsidR="00921568">
            <w:t xml:space="preserve"> |</w:t>
          </w:r>
          <w:r w:rsidR="0092156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rsidP="009D1163">
          <w:pPr>
            <w:pStyle w:val="Encabezado"/>
            <w:rPr>
              <w:color w:val="FFFFFF" w:themeColor="background1"/>
            </w:rPr>
          </w:pPr>
          <w:r>
            <w:fldChar w:fldCharType="begin"/>
          </w:r>
          <w:r>
            <w:instrText xml:space="preserve"> PAGE   \* MERGEFORMAT </w:instrText>
          </w:r>
          <w:r>
            <w:fldChar w:fldCharType="separate"/>
          </w:r>
          <w:r w:rsidR="002C6295" w:rsidRPr="002C6295">
            <w:rPr>
              <w:noProof/>
              <w:color w:val="FFFFFF" w:themeColor="background1"/>
            </w:rPr>
            <w:t>11</w:t>
          </w:r>
          <w:r>
            <w:rPr>
              <w:noProof/>
              <w:color w:val="FFFFFF" w:themeColor="background1"/>
            </w:rPr>
            <w:fldChar w:fldCharType="end"/>
          </w:r>
        </w:p>
      </w:tc>
    </w:tr>
  </w:tbl>
  <w:p w:rsidR="00921568" w:rsidRDefault="0092156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005" w:rsidRDefault="00502005" w:rsidP="00B07406">
      <w:pPr>
        <w:spacing w:after="0" w:line="240" w:lineRule="auto"/>
      </w:pPr>
      <w:r>
        <w:separator/>
      </w:r>
    </w:p>
  </w:footnote>
  <w:footnote w:type="continuationSeparator" w:id="0">
    <w:p w:rsidR="00502005" w:rsidRDefault="00502005" w:rsidP="00B07406">
      <w:pPr>
        <w:spacing w:after="0" w:line="240" w:lineRule="auto"/>
      </w:pPr>
      <w:r>
        <w:continuationSeparator/>
      </w:r>
    </w:p>
  </w:footnote>
  <w:footnote w:id="1">
    <w:p w:rsidR="00F308D9" w:rsidRDefault="00F308D9"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rsidR="00D26449">
        <w:t xml:space="preserve"> (ISUIA)</w:t>
      </w:r>
      <w:r>
        <w:t xml:space="preserve">,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EC7595" w:rsidRDefault="00EC7595">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F308D9" w:rsidRDefault="00F308D9"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w:t>
      </w:r>
      <w:r w:rsidR="00D26449">
        <w:t xml:space="preserve"> (ISAT)</w:t>
      </w:r>
      <w:r>
        <w:t xml:space="preserve">,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D26449" w:rsidRDefault="00D26449">
      <w:pPr>
        <w:pStyle w:val="Textonotapie"/>
      </w:pPr>
      <w:r>
        <w:rPr>
          <w:rStyle w:val="Refdenotaalpie"/>
        </w:rPr>
        <w:footnoteRef/>
      </w:r>
      <w:proofErr w:type="spellStart"/>
      <w:r w:rsidR="00554FD5">
        <w:t>Analysis</w:t>
      </w:r>
      <w:proofErr w:type="spellEnd"/>
      <w:r w:rsidR="00554FD5">
        <w:t xml:space="preserve"> of </w:t>
      </w:r>
      <w:proofErr w:type="spellStart"/>
      <w:r w:rsidR="00554FD5">
        <w:t>Treatment</w:t>
      </w:r>
      <w:proofErr w:type="spellEnd"/>
      <w:r w:rsidR="00554FD5">
        <w:t xml:space="preserve"> </w:t>
      </w:r>
      <w:proofErr w:type="spellStart"/>
      <w:r w:rsidR="00554FD5">
        <w:t>by</w:t>
      </w:r>
      <w:proofErr w:type="spellEnd"/>
      <w:r w:rsidR="00554FD5">
        <w:t xml:space="preserve"> Endovascular </w:t>
      </w:r>
      <w:proofErr w:type="spellStart"/>
      <w:r w:rsidR="00554FD5">
        <w:t>approach</w:t>
      </w:r>
      <w:proofErr w:type="spellEnd"/>
      <w:r w:rsidR="00554FD5">
        <w:t xml:space="preserve"> of Non </w:t>
      </w:r>
      <w:proofErr w:type="spellStart"/>
      <w:r w:rsidR="00554FD5">
        <w:t>ruptured</w:t>
      </w:r>
      <w:proofErr w:type="spellEnd"/>
      <w:r w:rsidR="00554FD5">
        <w:t xml:space="preserve"> </w:t>
      </w:r>
      <w:proofErr w:type="spellStart"/>
      <w:r w:rsidR="00554FD5">
        <w:t>Aneurysms</w:t>
      </w:r>
      <w:proofErr w:type="spellEnd"/>
      <w:r w:rsidR="00554FD5">
        <w:t xml:space="preserve"> </w:t>
      </w:r>
      <w:r>
        <w:t>(</w:t>
      </w:r>
      <w:r w:rsidR="00554FD5">
        <w:t>ATENA</w:t>
      </w:r>
      <w:r>
        <w:t>)</w:t>
      </w:r>
      <w:r w:rsidR="00554FD5">
        <w:t>, un</w:t>
      </w:r>
      <w:r>
        <w:t xml:space="preserve"> estudio</w:t>
      </w:r>
      <w:r w:rsidR="00554FD5">
        <w:t xml:space="preserve"> prospectivo </w:t>
      </w:r>
      <w:proofErr w:type="spellStart"/>
      <w:r w:rsidR="00554FD5">
        <w:t>multicéntrico</w:t>
      </w:r>
      <w:proofErr w:type="spellEnd"/>
      <w:r w:rsidR="00554FD5">
        <w:t xml:space="preserve"> realizado en Francia y Canadá para evaluar los resultados y los riesgos del tratamiento endovascular en aneurismas intracraneales no rotos. Fue dirigido por la Sociedad Francesa de </w:t>
      </w:r>
      <w:proofErr w:type="spellStart"/>
      <w:r w:rsidR="00554FD5">
        <w:t>Neurorradiología</w:t>
      </w:r>
      <w:proofErr w:type="spellEnd"/>
      <w:r w:rsidR="00554FD5">
        <w:t xml:space="preserve"> (SFNR) para evaluar los resultados del tratamiento endovascular a corto y largo plazo.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502005"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502005"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502005"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r w:rsidR="00921568">
      <w:rPr>
        <w:rFonts w:asciiTheme="majorHAnsi" w:eastAsiaTheme="majorEastAsia" w:hAnsiTheme="majorHAnsi" w:cstheme="majorBidi"/>
        <w:sz w:val="32"/>
        <w:szCs w:val="32"/>
      </w:rPr>
      <w:t xml:space="preserve"> </w:t>
    </w:r>
    <w:r w:rsidR="00921568">
      <w:t>|</w:t>
    </w:r>
    <w:r w:rsidR="00921568">
      <w:rPr>
        <w:rFonts w:asciiTheme="majorHAnsi" w:eastAsiaTheme="majorEastAsia" w:hAnsiTheme="majorHAnsi" w:cstheme="majorBidi"/>
        <w:sz w:val="32"/>
        <w:szCs w:val="32"/>
      </w:rPr>
      <w:t xml:space="preserve"> </w:t>
    </w:r>
    <w:r w:rsidR="001E752C" w:rsidRPr="0087575A">
      <w:rPr>
        <w:i/>
      </w:rPr>
      <w:fldChar w:fldCharType="begin"/>
    </w:r>
    <w:r w:rsidR="00921568" w:rsidRPr="0087575A">
      <w:rPr>
        <w:i/>
      </w:rPr>
      <w:instrText xml:space="preserve"> STYLEREF  "1"  </w:instrText>
    </w:r>
    <w:r w:rsidR="001E752C" w:rsidRPr="0087575A">
      <w:rPr>
        <w:i/>
      </w:rPr>
      <w:fldChar w:fldCharType="separate"/>
    </w:r>
    <w:r w:rsidR="002C6295">
      <w:rPr>
        <w:i/>
        <w:noProof/>
      </w:rPr>
      <w:t>Introducción</w:t>
    </w:r>
    <w:r w:rsidR="001E752C" w:rsidRPr="0087575A">
      <w:rPr>
        <w:i/>
      </w:rPr>
      <w:fldChar w:fldCharType="end"/>
    </w:r>
  </w:p>
  <w:p w:rsidR="00ED6DDC" w:rsidRDefault="00ED6DD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2C6295">
      <w:rPr>
        <w:i/>
        <w:noProof/>
      </w:rPr>
      <w:t>Introducción</w:t>
    </w:r>
    <w:r w:rsidRPr="003B0263">
      <w:rPr>
        <w:i/>
      </w:rPr>
      <w:fldChar w:fldCharType="end"/>
    </w:r>
    <w:r w:rsidR="00921568">
      <w:rPr>
        <w:i/>
      </w:rPr>
      <w:t xml:space="preserve"> </w:t>
    </w:r>
    <w:r w:rsidR="00921568">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215A22">
      <w:rPr>
        <w:i/>
        <w:noProof/>
      </w:rPr>
      <w:t>Memoria del Proyecto</w:t>
    </w:r>
    <w:r w:rsidRPr="003B0263">
      <w:rPr>
        <w:i/>
      </w:rPr>
      <w:fldChar w:fldCharType="end"/>
    </w:r>
    <w:r w:rsidR="00921568">
      <w:rPr>
        <w:i/>
      </w:rPr>
      <w:t xml:space="preserve"> </w:t>
    </w:r>
    <w:r w:rsidR="00921568">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51"/>
  </w:num>
  <w:num w:numId="34">
    <w:abstractNumId w:val="5"/>
  </w:num>
  <w:num w:numId="35">
    <w:abstractNumId w:val="49"/>
  </w:num>
  <w:num w:numId="36">
    <w:abstractNumId w:val="46"/>
  </w:num>
  <w:num w:numId="37">
    <w:abstractNumId w:val="54"/>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2"/>
  </w:num>
  <w:num w:numId="47">
    <w:abstractNumId w:val="53"/>
  </w:num>
  <w:num w:numId="48">
    <w:abstractNumId w:val="36"/>
  </w:num>
  <w:num w:numId="49">
    <w:abstractNumId w:val="32"/>
  </w:num>
  <w:num w:numId="50">
    <w:abstractNumId w:val="40"/>
  </w:num>
  <w:num w:numId="51">
    <w:abstractNumId w:val="7"/>
  </w:num>
  <w:num w:numId="52">
    <w:abstractNumId w:val="43"/>
  </w:num>
  <w:num w:numId="53">
    <w:abstractNumId w:val="3"/>
  </w:num>
  <w:num w:numId="54">
    <w:abstractNumId w:val="50"/>
  </w:num>
  <w:num w:numId="55">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7D13"/>
    <w:rsid w:val="00156B56"/>
    <w:rsid w:val="00164CEA"/>
    <w:rsid w:val="001650DE"/>
    <w:rsid w:val="00167FD1"/>
    <w:rsid w:val="00171FF3"/>
    <w:rsid w:val="00180199"/>
    <w:rsid w:val="00181C82"/>
    <w:rsid w:val="001A1A17"/>
    <w:rsid w:val="001B694E"/>
    <w:rsid w:val="001C0796"/>
    <w:rsid w:val="001E2631"/>
    <w:rsid w:val="001E3D73"/>
    <w:rsid w:val="001E6977"/>
    <w:rsid w:val="001E6F28"/>
    <w:rsid w:val="001E752C"/>
    <w:rsid w:val="001F0B4B"/>
    <w:rsid w:val="001F557A"/>
    <w:rsid w:val="00210AAD"/>
    <w:rsid w:val="00212745"/>
    <w:rsid w:val="00214244"/>
    <w:rsid w:val="0021485C"/>
    <w:rsid w:val="00215A22"/>
    <w:rsid w:val="002356C8"/>
    <w:rsid w:val="00260B41"/>
    <w:rsid w:val="002676DF"/>
    <w:rsid w:val="00271364"/>
    <w:rsid w:val="002961DD"/>
    <w:rsid w:val="002A60F6"/>
    <w:rsid w:val="002B189A"/>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02005"/>
    <w:rsid w:val="0051698F"/>
    <w:rsid w:val="005202CB"/>
    <w:rsid w:val="00536DAD"/>
    <w:rsid w:val="005544FE"/>
    <w:rsid w:val="00554F55"/>
    <w:rsid w:val="00554FD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C33BF"/>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030F4"/>
    <w:rsid w:val="00811B54"/>
    <w:rsid w:val="00816CDF"/>
    <w:rsid w:val="00824C19"/>
    <w:rsid w:val="00826DE3"/>
    <w:rsid w:val="0083359A"/>
    <w:rsid w:val="00833CD5"/>
    <w:rsid w:val="008404D4"/>
    <w:rsid w:val="00840D43"/>
    <w:rsid w:val="008443CD"/>
    <w:rsid w:val="0084616B"/>
    <w:rsid w:val="008555DE"/>
    <w:rsid w:val="0085785E"/>
    <w:rsid w:val="00862E9D"/>
    <w:rsid w:val="0087324A"/>
    <w:rsid w:val="0087418A"/>
    <w:rsid w:val="0087575A"/>
    <w:rsid w:val="0088359D"/>
    <w:rsid w:val="00892269"/>
    <w:rsid w:val="008A6017"/>
    <w:rsid w:val="008B214A"/>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5DD0"/>
    <w:rsid w:val="00B364B0"/>
    <w:rsid w:val="00B37576"/>
    <w:rsid w:val="00B404E9"/>
    <w:rsid w:val="00B44EA9"/>
    <w:rsid w:val="00B46E83"/>
    <w:rsid w:val="00B54845"/>
    <w:rsid w:val="00B62325"/>
    <w:rsid w:val="00B64A32"/>
    <w:rsid w:val="00B739CE"/>
    <w:rsid w:val="00B76CA6"/>
    <w:rsid w:val="00B8583E"/>
    <w:rsid w:val="00B91EE1"/>
    <w:rsid w:val="00B93BEC"/>
    <w:rsid w:val="00B9452C"/>
    <w:rsid w:val="00B95B21"/>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541A9"/>
    <w:rsid w:val="00C55872"/>
    <w:rsid w:val="00C567E4"/>
    <w:rsid w:val="00C767E1"/>
    <w:rsid w:val="00C822C2"/>
    <w:rsid w:val="00C8582E"/>
    <w:rsid w:val="00C860C6"/>
    <w:rsid w:val="00C86B0A"/>
    <w:rsid w:val="00C873A1"/>
    <w:rsid w:val="00C90F1A"/>
    <w:rsid w:val="00C94049"/>
    <w:rsid w:val="00C94258"/>
    <w:rsid w:val="00C960E7"/>
    <w:rsid w:val="00CA043C"/>
    <w:rsid w:val="00CA6F6B"/>
    <w:rsid w:val="00CB11F7"/>
    <w:rsid w:val="00CC1FAA"/>
    <w:rsid w:val="00CE72B9"/>
    <w:rsid w:val="00CF41C8"/>
    <w:rsid w:val="00D0217A"/>
    <w:rsid w:val="00D02406"/>
    <w:rsid w:val="00D20820"/>
    <w:rsid w:val="00D25404"/>
    <w:rsid w:val="00D25E9F"/>
    <w:rsid w:val="00D26449"/>
    <w:rsid w:val="00D32AFD"/>
    <w:rsid w:val="00D373DB"/>
    <w:rsid w:val="00D42141"/>
    <w:rsid w:val="00D4577F"/>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FF3"/>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3F6E28"/>
    <w:rsid w:val="004109CA"/>
    <w:rsid w:val="00474E71"/>
    <w:rsid w:val="0049471B"/>
    <w:rsid w:val="004E10E9"/>
    <w:rsid w:val="00511067"/>
    <w:rsid w:val="00530061"/>
    <w:rsid w:val="0059510D"/>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A03BC7"/>
    <w:rsid w:val="00A10CF7"/>
    <w:rsid w:val="00AE05D8"/>
    <w:rsid w:val="00B15069"/>
    <w:rsid w:val="00B75F9A"/>
    <w:rsid w:val="00BB22B4"/>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8D192-4EC0-4DA5-BC81-58231E15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17</Pages>
  <Words>9881</Words>
  <Characters>54348</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64101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28</cp:revision>
  <dcterms:created xsi:type="dcterms:W3CDTF">2009-12-19T20:05:00Z</dcterms:created>
  <dcterms:modified xsi:type="dcterms:W3CDTF">2018-03-14T17:36:00Z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id="fQnqm2iy"/&gt;&lt;style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