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Tahsilatlar Anayasası</w:t>
      </w:r>
    </w:p>
    <w:p>
      <w:pPr>
        <w:pStyle w:val="Heading2"/>
      </w:pPr>
      <w:r>
        <w:t>1. Sayfanın Amacı</w:t>
      </w:r>
    </w:p>
    <w:p>
      <w:r>
        <w:t>Tahsilatlar sayfasının amacı; şirketin tüm parasal akışını, alacaklarını, tahsilatlarını, beklenen nakit girişlerini, ödeme planlarını ve finansal risklerini tek bir kurumsal hafızada yönetmek, AI Genel Müdürün doğru finansal muhakeme üretebilmesini sağlamaktır. Bu sayfa muhasebe ekranı değil, yaşayan finansal hafızadır.</w:t>
      </w:r>
    </w:p>
    <w:p>
      <w:pPr>
        <w:pStyle w:val="Heading2"/>
      </w:pPr>
      <w:r>
        <w:t>2. Kullanıcı Burada Ne Yapmak İster?</w:t>
      </w:r>
    </w:p>
    <w:p>
      <w:r>
        <w:t>• Bekleyen alacaklarını görmek</w:t>
        <w:br/>
        <w:t>• Günlük ve aylık nakit girişlerini takip etmek</w:t>
        <w:br/>
        <w:t>• Tahsilat oluşturmak ve yönetmek</w:t>
        <w:br/>
        <w:t>• Kısmi tahsilat yapmak</w:t>
        <w:br/>
        <w:t>• Ödeme planı oluşturmak</w:t>
        <w:br/>
        <w:t>• Geciken müşterileri takip etmek</w:t>
        <w:br/>
        <w:t>• Cari hesap ekstresi ve mutabakat göndermek</w:t>
        <w:br/>
        <w:t>• AI Genel Müdür önerilerinden yararlanmak</w:t>
      </w:r>
    </w:p>
    <w:p>
      <w:pPr>
        <w:pStyle w:val="Heading2"/>
      </w:pPr>
      <w:r>
        <w:t>3. Metrix Burada Ne Görmek İster?</w:t>
      </w:r>
    </w:p>
    <w:p>
      <w:r>
        <w:t>Metrix müşteri ödeme alışkanlıklarını, ödeme sözlerini, banka hareketlerini, çek/senet bilgilerini, vadeleri, risk limitlerini, satış performansını, yaklaşan yükümlülükleri ve şirketin nakit ihtiyacını birlikte değerlendirerek finansal muhakeme oluşturur.</w:t>
      </w:r>
    </w:p>
    <w:p>
      <w:pPr>
        <w:pStyle w:val="Heading2"/>
      </w:pPr>
      <w:r>
        <w:t>4. Sabit Inputlar</w:t>
      </w:r>
    </w:p>
    <w:p>
      <w:r>
        <w:t>Yönetim Alanları:</w:t>
        <w:br/>
        <w:t>• Müşteri</w:t>
        <w:br/>
        <w:t>• Tahsilat Tarihi</w:t>
        <w:br/>
        <w:t>• Tahsilat Tutarı</w:t>
        <w:br/>
        <w:t>• Para Birimi</w:t>
        <w:br/>
        <w:t>• Tahsilat Türü</w:t>
        <w:br/>
        <w:t>• Ödeme Hesabı</w:t>
        <w:br/>
        <w:t>• Açıklama</w:t>
        <w:br/>
        <w:br/>
        <w:t>Ödeme Planı:</w:t>
        <w:br/>
        <w:t>• Vade Tarihi</w:t>
        <w:br/>
        <w:t>• Planlanan Tahsilat</w:t>
        <w:br/>
        <w:t>• Kısmi Tahsilata İzin Ver</w:t>
        <w:br/>
        <w:br/>
        <w:t>Otomatik Alanlar:</w:t>
        <w:br/>
        <w:t>Tahsilat No, Durum, Açık Bakiye, Kalan Tutar, Ortalama Gecikme, Risk Durumu, Oluşturulma, Güncellenme, Kaynak.</w:t>
        <w:br/>
        <w:br/>
        <w:t>Tahsilat Hafızası:</w:t>
        <w:br/>
        <w:t>Kullanıcı ve AI Genel Müdür tarafından geliştirilen yaşayan finansal hafıza.</w:t>
      </w:r>
    </w:p>
    <w:p>
      <w:pPr>
        <w:pStyle w:val="Heading2"/>
      </w:pPr>
      <w:r>
        <w:t>5. Metrix'in Gerektiğinde Oluşturabileceği Dinamik Alanlar</w:t>
      </w:r>
    </w:p>
    <w:p>
      <w:r>
        <w:t>ERP, muhasebe ve banka entegrasyonlarından gelen çek/senet, valör, çek kasası, banka hareketleri, risk limitleri, cari yaşlandırması, finansal skor ve benzeri alanlar ortak veri modelini değiştirmeden sisteme eklenebilir.</w:t>
      </w:r>
    </w:p>
    <w:p>
      <w:pPr>
        <w:pStyle w:val="Heading2"/>
      </w:pPr>
      <w:r>
        <w:t>6. Liste Görünümü</w:t>
      </w:r>
    </w:p>
    <w:p>
      <w:r>
        <w:t>Üst KPI Kartları:</w:t>
        <w:br/>
        <w:t>• Bugün Tahsil Edilmesi Gereken</w:t>
        <w:br/>
        <w:t>• Toplam Bekleyen Alacak</w:t>
        <w:br/>
        <w:t>• Bu Ay Tahsil Edilen</w:t>
        <w:br/>
        <w:t>• Vadesi Yaklaşan Alacaklar</w:t>
        <w:br/>
        <w:t>• Sonraki Ay Beklenen Tahsilat</w:t>
        <w:br/>
        <w:t>• Gecikmiş Alacaklar</w:t>
        <w:br/>
        <w:br/>
        <w:t>Liste:</w:t>
        <w:br/>
        <w:t>Tarih, Müşteri, Tutar, Kalan, Vade, Durum</w:t>
      </w:r>
    </w:p>
    <w:p>
      <w:pPr>
        <w:pStyle w:val="Heading2"/>
      </w:pPr>
      <w:r>
        <w:t>7. Detay Görünümü</w:t>
      </w:r>
    </w:p>
    <w:p>
      <w:r>
        <w:t>Tahsilat özeti, ödeme planı, hareket geçmişi, kısmi tahsilatlar, banka hareketleri, çek/senet bilgileri, tahsilat hafızası, AI Genel Müdür değerlendirmesi, ilgili teklifler, siparişler, faturalar ve müşteri finansal özeti tek noktada görüntülenir.</w:t>
      </w:r>
    </w:p>
    <w:p>
      <w:pPr>
        <w:pStyle w:val="Heading2"/>
      </w:pPr>
      <w:r>
        <w:t>8. AI Genel Müdür Katkısı</w:t>
      </w:r>
    </w:p>
    <w:p>
      <w:r>
        <w:t>• Tahsilat önceliklerini belirler.</w:t>
        <w:br/>
        <w:t>• Risk analizi yapar.</w:t>
        <w:br/>
        <w:t>• Tahsilat iletişimlerini (WhatsApp, e-posta vb.) hazırlar ve kullanıcı onayıyla gönderilmesini sağlar.</w:t>
        <w:br/>
        <w:t>• Cari hesap ekstresi ve mutabakat belgeleri oluşturur.</w:t>
        <w:br/>
        <w:t>• Ödeme sözlerini takip eder, takvim ve günlük ritme hatırlatma ekler.</w:t>
        <w:br/>
        <w:t>• Müşteri geri bildirimlerini ve mutabakat süreçlerini yönetim muhakemesinde kullanır.</w:t>
        <w:br/>
        <w:t>• Satış ekipleri için tahsilat performansını değerlendirir.</w:t>
      </w:r>
    </w:p>
    <w:p>
      <w:pPr>
        <w:pStyle w:val="Heading2"/>
      </w:pPr>
      <w:r>
        <w:t>9. Diğer Sayfalarla İlişkisi</w:t>
      </w:r>
    </w:p>
    <w:p>
      <w:r>
        <w:t>Tahsilatlar; Şirket, Müşteriler, Ürünler, Teklifler, Siparişler, Faturalar, Muhasebe, Belgeler, Günlük Ritim ve AI Genel Müdür ile çift yönlü çalışır. Şirketin parasal yaşam döngüsünün merkezlerinden biridir.</w:t>
      </w:r>
    </w:p>
    <w:p>
      <w:pPr>
        <w:pStyle w:val="Heading2"/>
      </w:pPr>
      <w:r>
        <w:t>10. Sayfanın Çalışma İlkeleri</w:t>
      </w:r>
    </w:p>
    <w:p>
      <w:r>
        <w:t>• Amaç tahsilat kaydı değil, parasal akışı yönetmektir.</w:t>
        <w:br/>
        <w:t>• Tahsilatlar yaşayan finansal kayıtlardır.</w:t>
        <w:br/>
        <w:t>• Beklenen tahsilatlar da yönetilir.</w:t>
        <w:br/>
        <w:t>• Kısmi tahsilatlar ve ödeme planları doğal olarak desteklenir.</w:t>
        <w:br/>
        <w:t>• Ödeme sözleri kurumsal hafızanın parçasıdır.</w:t>
        <w:br/>
        <w:t>• AI Genel Müdür tahsilat iletişimini hazırlayabilir.</w:t>
        <w:br/>
        <w:t>• Dijital mutabakat süreçleri desteklenir.</w:t>
        <w:br/>
        <w:t>• Muhasebe ve ERP entegrasyonları ortak veri modelini değiştirmez.</w:t>
        <w:br/>
        <w:t>• Veri modeli ile kullanıcı deneyimi ayrıdır.</w:t>
        <w:br/>
        <w:t>• Tahsilat kayıtları manuel, doğal dil, sesli komut, belge, görsel veya entegrasyonlarla oluşturulabilir.</w:t>
        <w:br/>
        <w:t>• Parasal hareketler mümkün olduğunca otomatik eşleştirilir.</w:t>
        <w:br/>
        <w:t>• Tahsilat kayıtları silinmez; iptal edilir, pasife alınır veya arşivlenir.</w:t>
        <w:br/>
        <w:t>• AI Genel Müdür, sistemde bulunan tüm finansal verilere erişmede yetkilidir ve bu verileri yönetim muhakemesinde kullanabilir.</w:t>
        <w:br/>
        <w:t>• Veri alanları öncelikle kurumsal hafızanın doğru yapılandırılması içindir.</w:t>
        <w:br/>
        <w:t>• Mutabakat yaşayan finansal süreçtir; müşteri onayı, düzeltme talepleri ve ödeme sözleri kurumsal hafızanın parçasıdır.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