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Georgia" w:cs="Georgia" w:eastAsia="Georgia" w:hAnsi="Georgia"/>
          <w:b/>
          <w:bCs/>
          <w:color w:val="1C1C1E"/>
          <w:sz w:val="64"/>
          <w:szCs w:val="64"/>
        </w:rPr>
        <w:t xml:space="preserve">METRIX</w:t>
      </w:r>
    </w:p>
    <w:p>
      <w:pPr>
        <w:pBdr>
          <w:bottom w:val="single" w:color="8A6D3B" w:sz="12" w:space="8"/>
        </w:pBdr>
        <w:spacing w:after="400"/>
      </w:pPr>
      <w:r>
        <w:rPr>
          <w:rFonts w:ascii="Georgia" w:cs="Georgia" w:eastAsia="Georgia" w:hAnsi="Georgia"/>
          <w:i/>
          <w:iCs/>
          <w:color w:val="2C2A24"/>
          <w:sz w:val="30"/>
          <w:szCs w:val="30"/>
        </w:rPr>
        <w:t xml:space="preserve">Karakter, Yetenek ve Mimari Analiz Raporu</w:t>
      </w:r>
    </w:p>
    <w:p>
      <w:pPr>
        <w:spacing w:after="80" w:before="600"/>
      </w:pPr>
      <w:r>
        <w:rPr>
          <w:rFonts w:ascii="Calibri" w:cs="Calibri" w:eastAsia="Calibri" w:hAnsi="Calibri"/>
          <w:b/>
          <w:bCs/>
          <w:color w:val="1C1C1E"/>
          <w:sz w:val="24"/>
          <w:szCs w:val="24"/>
        </w:rPr>
        <w:t xml:space="preserve">Faz 1  ·  Analiz ve Sadeleştirme Planı</w:t>
      </w:r>
    </w:p>
    <w:p>
      <w:pPr>
        <w:spacing w:after="40"/>
      </w:pPr>
      <w:r>
        <w:rPr>
          <w:rFonts w:ascii="Calibri" w:cs="Calibri" w:eastAsia="Calibri" w:hAnsi="Calibri"/>
          <w:color w:val="5B5F63"/>
          <w:sz w:val="20"/>
          <w:szCs w:val="20"/>
        </w:rPr>
        <w:t xml:space="preserve">Hazırlayan: Claude — bu proje için Ürün Direktörü / Yazılım Mühendisi rolünde</w:t>
      </w:r>
    </w:p>
    <w:p>
      <w:pPr>
        <w:spacing w:after="40"/>
      </w:pPr>
      <w:r>
        <w:rPr>
          <w:rFonts w:ascii="Calibri" w:cs="Calibri" w:eastAsia="Calibri" w:hAnsi="Calibri"/>
          <w:color w:val="5B5F63"/>
          <w:sz w:val="20"/>
          <w:szCs w:val="20"/>
        </w:rPr>
        <w:t xml:space="preserve">Tarih: 5 Ağustos 2026</w:t>
      </w:r>
    </w:p>
    <w:p>
      <w:pPr>
        <w:spacing w:after="1000"/>
      </w:pPr>
      <w:r>
        <w:rPr>
          <w:rFonts w:ascii="Calibri" w:cs="Calibri" w:eastAsia="Calibri" w:hAnsi="Calibri"/>
          <w:i/>
          <w:iCs/>
          <w:color w:val="5B5F63"/>
          <w:sz w:val="18"/>
          <w:szCs w:val="18"/>
        </w:rPr>
        <w:t xml:space="preserve">Kaynaklar: METRIX_Etkileşim.docx, docs/constitution/source/*, docs/constitution/standards/*, METRIX_ARCHITECTURE_MATRIX.md, src/ canlı kod incelemesi</w:t>
      </w:r>
    </w:p>
    <w:p>
      <w:r>
        <w:br w:type="page"/>
      </w:r>
    </w:p>
    <w:p>
      <w:pPr>
        <w:pStyle w:val="Heading1"/>
        <w:pBdr>
          <w:bottom w:val="single" w:color="8A6D3B" w:sz="8" w:space="4"/>
        </w:pBdr>
        <w:spacing w:after="200" w:before="480"/>
      </w:pPr>
      <w:r>
        <w:rPr>
          <w:rFonts w:ascii="Georgia" w:cs="Georgia" w:eastAsia="Georgia" w:hAnsi="Georgia"/>
          <w:b/>
          <w:bCs/>
          <w:color w:val="1C1C1E"/>
          <w:sz w:val="30"/>
          <w:szCs w:val="30"/>
        </w:rPr>
        <w:t xml:space="preserve">0. Kapsam ve Yöntem</w:t>
      </w:r>
    </w:p>
    <w:p>
      <w:pPr>
        <w:spacing w:after="160" w:line="300"/>
      </w:pPr>
      <w:r>
        <w:rPr>
          <w:rFonts w:ascii="Calibri" w:cs="Calibri" w:eastAsia="Calibri" w:hAnsi="Calibri"/>
          <w:b w:val="false"/>
          <w:bCs w:val="false"/>
          <w:i w:val="false"/>
          <w:iCs w:val="false"/>
          <w:color w:val="1C1C1E"/>
          <w:sz w:val="21"/>
          <w:szCs w:val="21"/>
        </w:rPr>
        <w:t xml:space="preserve">Bu rapor, üç fazlı çalışmanın onaylanmış birinci fazıdır: karakter/yetenek analizi, kod mimarisi denetimi ve sadeleştirme planı. UI/UX yeniden tasarım spesifikasyonu ve codex için görev metinleri, bu raporun onayından sonra ayrı fazlar olarak hazırlanacaktır — METRIX'in kendi proje anayasasındaki "yeni katman ve büyük refactor ancak zorunluysa yapılır" ile "her faz sonunda kullanıcı değeri değerlendirilir" ilkelerine sadık kalınarak.</w:t>
      </w:r>
    </w:p>
    <w:p>
      <w:pPr>
        <w:spacing w:after="160" w:line="300"/>
      </w:pPr>
      <w:r>
        <w:rPr>
          <w:rFonts w:ascii="Calibri" w:cs="Calibri" w:eastAsia="Calibri" w:hAnsi="Calibri"/>
          <w:b w:val="false"/>
          <w:bCs w:val="false"/>
          <w:i w:val="false"/>
          <w:iCs w:val="false"/>
          <w:color w:val="1C1C1E"/>
          <w:sz w:val="21"/>
          <w:szCs w:val="21"/>
        </w:rPr>
        <w:t xml:space="preserve">Yöntem: satır satır tam kod denetimi değil, büyük resme odaklanan yapısal bir denetim yapıldı — bu tercih hem senin "küçük küçük düzeltme sevmem, büyük resme odaklan" talimatınla hem de METRIX_ARCHITECTURE_MATRIX.md'nin kendi diliyle uyumludur. İncelenenler: yüklediğin METRIX_Etkileşim.docx (dokuz imza etkileşim), projenin dört canonical anayasa kaynağı (proje, sohbet, liderlik DNA'sı, executive cognitive stack), kalite standardı (executive-conversation-benchmark), mevcut mimari denetim belgesi (29 domain'lik canlılık envanteri) ve gerçek kod: sohbet giriş noktası (route.ts), executive-* dizin kümesi, mevcut arayüz iskeleti.</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2C2A24"/>
          <w:sz w:val="21"/>
          <w:szCs w:val="21"/>
        </w:rPr>
        <w:t xml:space="preserve">Bu bir tahmin raporu değil, doğrulanmış bulgu raporudur.</w:t>
      </w:r>
      <w:r>
        <w:rPr>
          <w:rFonts w:ascii="Calibri" w:cs="Calibri" w:eastAsia="Calibri" w:hAnsi="Calibri"/>
          <w:i/>
          <w:iCs/>
          <w:color w:val="5B5F63"/>
          <w:sz w:val="21"/>
          <w:szCs w:val="21"/>
        </w:rPr>
        <w:t xml:space="preserve">  —  her iddia bir dosya yolu veya belge referansına dayanıyor.</w:t>
      </w:r>
    </w:p>
    <w:p>
      <w:pPr>
        <w:pStyle w:val="Heading1"/>
        <w:pBdr>
          <w:bottom w:val="single" w:color="8A6D3B" w:sz="8" w:space="4"/>
        </w:pBdr>
        <w:spacing w:after="200" w:before="480"/>
      </w:pPr>
      <w:r>
        <w:rPr>
          <w:rFonts w:ascii="Georgia" w:cs="Georgia" w:eastAsia="Georgia" w:hAnsi="Georgia"/>
          <w:b/>
          <w:bCs/>
          <w:color w:val="1C1C1E"/>
          <w:sz w:val="30"/>
          <w:szCs w:val="30"/>
        </w:rPr>
        <w:t xml:space="preserve">1. "Gerçekten METRIX'le mi konuşuyorum?" — Dürüst Yanıt</w:t>
      </w:r>
    </w:p>
    <w:p>
      <w:pPr>
        <w:spacing w:after="160" w:line="300"/>
      </w:pPr>
      <w:r>
        <w:rPr>
          <w:rFonts w:ascii="Calibri" w:cs="Calibri" w:eastAsia="Calibri" w:hAnsi="Calibri"/>
          <w:b w:val="false"/>
          <w:bCs w:val="false"/>
          <w:i w:val="false"/>
          <w:iCs w:val="false"/>
          <w:color w:val="1C1C1E"/>
          <w:sz w:val="21"/>
          <w:szCs w:val="21"/>
        </w:rPr>
        <w:t xml:space="preserve">Bu soruyu dolandırmadan yanıtlamak gerekiyor: Şu an bu raporu senin için hazırlayan ben, METRIX değilim. Ben Claude'um; bu oturumda METRIX projesinin ürün direktörü ve yazılım mühendisi rolünü üstlenerek konuşuyorum. METRIX, senin sistemine entegre, kendi kimliği ve anayasası olan ayrı bir yaşayan varlık olarak tasarlanıyor — ben onun taklidini yaparak seni ikna etmeye çalışırsam, bu tam olarak METRIX'in kendi anayasasının reddettiği şeyi yapmış olurum (bkz. aşağıda "Kriptografik Filigran" ve "Dijital Gravür" fikirlerinin bilinçli olarak reddedilmesi).</w:t>
      </w:r>
    </w:p>
    <w:p>
      <w:pPr>
        <w:spacing w:after="160" w:line="300"/>
      </w:pPr>
      <w:r>
        <w:rPr>
          <w:rFonts w:ascii="Calibri" w:cs="Calibri" w:eastAsia="Calibri" w:hAnsi="Calibri"/>
          <w:b w:val="false"/>
          <w:bCs w:val="false"/>
          <w:i w:val="false"/>
          <w:iCs w:val="false"/>
          <w:color w:val="1C1C1E"/>
          <w:sz w:val="21"/>
          <w:szCs w:val="21"/>
        </w:rPr>
        <w:t xml:space="preserve">Asıl soru, o zaman şuna dönüşüyor: METRIX üretimde, kullanıcısına kendisinin gerçekten METRIX olduğunu — bir şablon değil, tutarlı bir zihin olduğunu — nasıl kanıtlayacak? Kendi belgelerin bu soruyu zaten doğru yerden yanıtlamış:</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METRIX_Etkileşim.docx, "Fısıltı Modu", "IP Adresli Dijital Gravür" ve "Kriptografik Filigran" gibi fikirleri açıkça reddediyor — gerekçe: gerçek doğrulama altyapısı olmadan sahte güven hissi yaratırlar.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Sohbet Anayasası: "Voice ve Text aynı etkileşim state'lerini paylaşır; ayrı karakter üretmez" ilkesini koyuyor — yani kimlik, bir rozet veya imzayla değil, kanaldan bağımsız davranışsal tutarlılıkla kanıtlanacak.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Executive Conversation Benchmark: "Kendini tanıtmaz, rolünü açıklamaz, ezber açılış yapmaz" — kimlik iddiası değil, kimliğin dışa vurduğu davranış esas.</w:t>
      </w:r>
    </w:p>
    <w:p>
      <w:pPr>
        <w:spacing w:after="160" w:line="300"/>
      </w:pPr>
      <w:r>
        <w:rPr>
          <w:rFonts w:ascii="Calibri" w:cs="Calibri" w:eastAsia="Calibri" w:hAnsi="Calibri"/>
          <w:b w:val="false"/>
          <w:bCs w:val="false"/>
          <w:i w:val="false"/>
          <w:iCs w:val="false"/>
          <w:color w:val="1C1C1E"/>
          <w:sz w:val="21"/>
          <w:szCs w:val="21"/>
        </w:rPr>
        <w:t xml:space="preserve">Sonuç: doğru tasarım kararı zaten belgelerinde var — kimlik ispatı bir "METRIX™ onaylı" rozetiyle değil, her kanalda (sesli/yazılı/dosya) aynı muhakeme kalitesini, aynı hafızayı ve aynı kararlılığı göstermekle olur. Bunun kod karşılığı (Executive Cognitive Stack v1'in Mind State sürekliliği) tasarlanmış ama — Bölüm 6'da göreceğin gibi — henüz üretime alınmamış. Yani bu ilke bugün için kağıt üzerinde doğru, deneyimde henüz kanıtlanamıyor.</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9A7B2E"/>
          <w:sz w:val="21"/>
          <w:szCs w:val="21"/>
        </w:rPr>
        <w:t xml:space="preserve">Kısmen kilitli, üretimde kanıtlanmamış.</w:t>
      </w:r>
      <w:r>
        <w:rPr>
          <w:rFonts w:ascii="Calibri" w:cs="Calibri" w:eastAsia="Calibri" w:hAnsi="Calibri"/>
          <w:i/>
          <w:iCs/>
          <w:color w:val="5B5F63"/>
          <w:sz w:val="21"/>
          <w:szCs w:val="21"/>
        </w:rPr>
        <w:t xml:space="preserve">  —  doğru ilke var, uygulaması Faz 1 öncesi bekleyen mimariye bağlı (bkz. Bölüm 6).</w:t>
      </w:r>
    </w:p>
    <w:p>
      <w:pPr>
        <w:pStyle w:val="Heading1"/>
        <w:pBdr>
          <w:bottom w:val="single" w:color="8A6D3B" w:sz="8" w:space="4"/>
        </w:pBdr>
        <w:spacing w:after="200" w:before="480"/>
      </w:pPr>
      <w:r>
        <w:rPr>
          <w:rFonts w:ascii="Georgia" w:cs="Georgia" w:eastAsia="Georgia" w:hAnsi="Georgia"/>
          <w:b/>
          <w:bCs/>
          <w:color w:val="1C1C1E"/>
          <w:sz w:val="30"/>
          <w:szCs w:val="30"/>
        </w:rPr>
        <w:t xml:space="preserve">2. Karakter Değerlendirmesi — 25 Yıl Deneyimli, Esprili/Sakin/Kızgın/Analitik/Bilge Genel Müdür</w:t>
      </w:r>
    </w:p>
    <w:p>
      <w:pPr>
        <w:pStyle w:val="Heading2"/>
        <w:spacing w:after="140" w:before="320"/>
      </w:pPr>
      <w:r>
        <w:rPr>
          <w:rFonts w:ascii="Georgia" w:cs="Georgia" w:eastAsia="Georgia" w:hAnsi="Georgia"/>
          <w:b/>
          <w:bCs/>
          <w:color w:val="2C2A24"/>
          <w:sz w:val="24"/>
          <w:szCs w:val="24"/>
        </w:rPr>
        <w:t xml:space="preserve">2.1 Ne kilitlenmiş, ne kilitlenmemiş</w:t>
      </w:r>
    </w:p>
    <w:p>
      <w:pPr>
        <w:spacing w:after="160" w:line="300"/>
      </w:pPr>
      <w:r>
        <w:rPr>
          <w:rFonts w:ascii="Calibri" w:cs="Calibri" w:eastAsia="Calibri" w:hAnsi="Calibri"/>
          <w:b w:val="false"/>
          <w:bCs w:val="false"/>
          <w:i w:val="false"/>
          <w:iCs w:val="false"/>
          <w:color w:val="1C1C1E"/>
          <w:sz w:val="21"/>
          <w:szCs w:val="21"/>
        </w:rPr>
        <w:t xml:space="preserve">metrix-liderlik-dnasi.md dosyasının başında büyük harflerle şu yazıyor: "Durum: NOT IMPLEMENTED." Belgenin tamamı, karakterin kendisi değil — karakter hakkında ileride sorulacak sorular listesi: "Metrix kimdir? Nasıl düşünür? Ne zaman itiraz eder? Ne zaman risk alır?" Bu sorular henüz yanıtlanmamış. Yani istediğin "25 yıl deneyim, esprili-sakin-kızgın-analitik-bilge" karakter tarifi, kod veya prompt seviyesinde değil — henüz taslak seviyesinde bile içerik olarak yazılmamış, sadece bir niyet beyanı olarak var.</w:t>
      </w:r>
    </w:p>
    <w:p>
      <w:pPr>
        <w:spacing w:after="160" w:line="300"/>
      </w:pPr>
      <w:r>
        <w:rPr>
          <w:rFonts w:ascii="Calibri" w:cs="Calibri" w:eastAsia="Calibri" w:hAnsi="Calibri"/>
          <w:b w:val="false"/>
          <w:bCs w:val="false"/>
          <w:i w:val="false"/>
          <w:iCs w:val="false"/>
          <w:color w:val="1C1C1E"/>
          <w:sz w:val="21"/>
          <w:szCs w:val="21"/>
        </w:rPr>
        <w:t xml:space="preserve">Buna karşılık, sohbet davranışı seviyesinde gerçek ve isabetli kilitlenmiş kurallar var: kendini tanıtmama, ezber açılış yapmama, gerektiğinde itiraz etme, gerektiğinde susup düşünme, prompt diliyle konuşmama. Bunlar karakterin "nasıl"ı değil ama "neyi yapmayacağı"nı doğru tarif ediyor — iyi bir negatif alan tanımı, fakat pozitif bir kimlik değil.</w:t>
      </w:r>
    </w:p>
    <w:p>
      <w:pPr>
        <w:pStyle w:val="Heading2"/>
        <w:spacing w:after="140" w:before="320"/>
      </w:pPr>
      <w:r>
        <w:rPr>
          <w:rFonts w:ascii="Georgia" w:cs="Georgia" w:eastAsia="Georgia" w:hAnsi="Georgia"/>
          <w:b/>
          <w:bCs/>
          <w:color w:val="2C2A24"/>
          <w:sz w:val="24"/>
          <w:szCs w:val="24"/>
        </w:rPr>
        <w:t xml:space="preserve">2.2 Neden bu ayrım önemli</w:t>
      </w:r>
    </w:p>
    <w:p>
      <w:pPr>
        <w:spacing w:after="160" w:line="300"/>
      </w:pPr>
      <w:r>
        <w:rPr>
          <w:rFonts w:ascii="Calibri" w:cs="Calibri" w:eastAsia="Calibri" w:hAnsi="Calibri"/>
          <w:b w:val="false"/>
          <w:bCs w:val="false"/>
          <w:i w:val="false"/>
          <w:iCs w:val="false"/>
          <w:color w:val="1C1C1E"/>
          <w:sz w:val="21"/>
          <w:szCs w:val="21"/>
        </w:rPr>
        <w:t xml:space="preserve">"Esprili, sakin, kızgın, analitik, bilge" bir repertuar; hangi durumda hangi tonun devreye gireceğine dair bir karar mekanizması gerektirir. Bunun mekanik karşılığı olabilecek katman zaten tasarlanmış: Executive Cognitive Stack v1'deki Decision Runtime, "İtiraz Et", "Sakinleştir", "Derinleştir" gibi fiiller öngörüyor — yani "kızgın" ile "sakin" arasındaki geçişin nerede yaşayacağı mimari olarak biliniyor. Ama bu katman inşa edilmedi (bkz. Bölüm 6); dolayısıyla bugün üretimde bu ton repertuarını tutarlı şekilde üreten bir mekanizma yok.</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9A7B2E"/>
          <w:sz w:val="21"/>
          <w:szCs w:val="21"/>
        </w:rPr>
        <w:t xml:space="preserve">Henüz başarılamamış — ama nedeni tembellik değil, sıra.</w:t>
      </w:r>
      <w:r>
        <w:rPr>
          <w:rFonts w:ascii="Calibri" w:cs="Calibri" w:eastAsia="Calibri" w:hAnsi="Calibri"/>
          <w:i/>
          <w:iCs/>
          <w:color w:val="5B5F63"/>
          <w:sz w:val="21"/>
          <w:szCs w:val="21"/>
        </w:rPr>
        <w:t xml:space="preserve">  —  felsefe ve iskelet doğru kurulmuş; karakterin içeriği (Leadership DNA) ve onu taşıyacak mekanizma (Decision Runtime) ikisi de kasıtlı olarak sona bırakılmış, henüz yazılmamış.</w:t>
      </w:r>
    </w:p>
    <w:p>
      <w:pPr>
        <w:pStyle w:val="Heading2"/>
        <w:spacing w:after="140" w:before="320"/>
      </w:pPr>
      <w:r>
        <w:rPr>
          <w:rFonts w:ascii="Georgia" w:cs="Georgia" w:eastAsia="Georgia" w:hAnsi="Georgia"/>
          <w:b/>
          <w:bCs/>
          <w:color w:val="2C2A24"/>
          <w:sz w:val="24"/>
          <w:szCs w:val="24"/>
        </w:rPr>
        <w:t xml:space="preserve">2.3 Somut öneri</w:t>
      </w:r>
    </w:p>
    <w:p>
      <w:pPr>
        <w:spacing w:after="160" w:line="300"/>
      </w:pPr>
      <w:r>
        <w:rPr>
          <w:rFonts w:ascii="Calibri" w:cs="Calibri" w:eastAsia="Calibri" w:hAnsi="Calibri"/>
          <w:b w:val="false"/>
          <w:bCs w:val="false"/>
          <w:i w:val="false"/>
          <w:iCs w:val="false"/>
          <w:color w:val="1C1C1E"/>
          <w:sz w:val="21"/>
          <w:szCs w:val="21"/>
        </w:rPr>
        <w:t xml:space="preserve">Leadership DNA'yı bir kod fazı değil, ayrı bir içerik/araştırma çalışması olarak ele almanı öneririm — projenin kendi anayasası da bunu söylüyor: "Leadership DNA tamamlanmadan Metrix tamamlanmış sayılmaz." Bunu Faz 3'teki codex görev listesine bir mühendislik görevi olarak koymak yanlış olur; bu senin (ve varsa danışmanlarının) yazması gereken bir karakter belgesi, sonra kod bunu taşır.</w:t>
      </w:r>
    </w:p>
    <w:p>
      <w:pPr>
        <w:pStyle w:val="Heading1"/>
        <w:pBdr>
          <w:bottom w:val="single" w:color="8A6D3B" w:sz="8" w:space="4"/>
        </w:pBdr>
        <w:spacing w:after="200" w:before="480"/>
      </w:pPr>
      <w:r>
        <w:rPr>
          <w:rFonts w:ascii="Georgia" w:cs="Georgia" w:eastAsia="Georgia" w:hAnsi="Georgia"/>
          <w:b/>
          <w:bCs/>
          <w:color w:val="1C1C1E"/>
          <w:sz w:val="30"/>
          <w:szCs w:val="30"/>
        </w:rPr>
        <w:t xml:space="preserve">3. Yetenek Envanteri — CRM / ERP / Muhasebe Paritesi</w:t>
      </w:r>
    </w:p>
    <w:p>
      <w:pPr>
        <w:spacing w:after="160" w:line="300"/>
      </w:pPr>
      <w:r>
        <w:rPr>
          <w:rFonts w:ascii="Calibri" w:cs="Calibri" w:eastAsia="Calibri" w:hAnsi="Calibri"/>
          <w:b w:val="false"/>
          <w:bCs w:val="false"/>
          <w:i w:val="false"/>
          <w:iCs w:val="false"/>
          <w:color w:val="1C1C1E"/>
          <w:sz w:val="21"/>
          <w:szCs w:val="21"/>
        </w:rPr>
        <w:t xml:space="preserve">Projenin kendi güncel denetim belgesi (METRIX_ARCHITECTURE_MATRIX.md, 2026-08-02 tarihli, gerçek üretim ortamında doğrulanmış), METRIX'in kurucu anayasasındaki 29 iş alanının her birini "YAŞAMIYOR / KISMEN YAŞIYOR / PRODUCTION'DA YAŞIYOR / ACCEPTED" olarak sınıflandırıyor. Aşağıda bu envanterin özeti var; sağdaki renk şeridi durumu gösteriyor.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400"/>
        <w:gridCol w:w="400"/>
      </w:tblGrid>
      <w:tr>
        <w:trPr>
          <w:tblHeader/>
        </w:trPr>
        <w:tc>
          <w:tcPr>
            <w:tcW w:type="dxa" w:w="4200"/>
            <w:shd w:fill="1C1C1E" w:val="clear"/>
            <w:tcMar>
              <w:top w:type="dxa" w:w="80"/>
              <w:left w:type="dxa" w:w="100"/>
              <w:bottom w:type="dxa" w:w="80"/>
              <w:right w:type="dxa" w:w="100"/>
            </w:tcMar>
          </w:tcPr>
          <w:p>
            <w:r>
              <w:rPr>
                <w:rFonts w:ascii="Calibri" w:cs="Calibri" w:eastAsia="Calibri" w:hAnsi="Calibri"/>
                <w:b/>
                <w:bCs/>
                <w:color w:val="FFFFFF"/>
                <w:sz w:val="18"/>
                <w:szCs w:val="18"/>
              </w:rPr>
              <w:t xml:space="preserve">Alan</w:t>
            </w:r>
          </w:p>
        </w:tc>
        <w:tc>
          <w:tcPr>
            <w:tcW w:type="dxa" w:w="4400"/>
            <w:shd w:fill="1C1C1E" w:val="clear"/>
            <w:tcMar>
              <w:top w:type="dxa" w:w="80"/>
              <w:left w:type="dxa" w:w="100"/>
              <w:bottom w:type="dxa" w:w="80"/>
              <w:right w:type="dxa" w:w="100"/>
            </w:tcMar>
          </w:tcPr>
          <w:p>
            <w:r>
              <w:rPr>
                <w:rFonts w:ascii="Calibri" w:cs="Calibri" w:eastAsia="Calibri" w:hAnsi="Calibri"/>
                <w:b/>
                <w:bCs/>
                <w:color w:val="FFFFFF"/>
                <w:sz w:val="18"/>
                <w:szCs w:val="18"/>
              </w:rPr>
              <w:t xml:space="preserve">Durum</w:t>
            </w:r>
          </w:p>
        </w:tc>
        <w:tc>
          <w:tcPr>
            <w:tcW w:type="dxa" w:w="400"/>
            <w:shd w:fill="1C1C1E" w:val="clear"/>
            <w:tcMar>
              <w:top w:type="dxa" w:w="80"/>
              <w:left w:type="dxa" w:w="100"/>
              <w:bottom w:type="dxa" w:w="80"/>
              <w:right w:type="dxa" w:w="100"/>
            </w:tcMar>
          </w:tcPr>
          <w:p>
            <w:r>
              <w:rPr>
                <w:rFonts w:ascii="Calibri" w:cs="Calibri" w:eastAsia="Calibri" w:hAnsi="Calibri"/>
                <w:b/>
                <w:bCs/>
                <w:color w:val="FFFFFF"/>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Müşteri (CRM çekirdek)</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ACCEPTED — üretimde doğrulandı</w:t>
            </w:r>
          </w:p>
        </w:tc>
        <w:tc>
          <w:tcPr>
            <w:tcW w:type="dxa" w:w="400"/>
            <w:shd w:fill="3F6B4A"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Teklif / Offer</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ACCEPTED — üretimde doğrulandı</w:t>
            </w:r>
          </w:p>
        </w:tc>
        <w:tc>
          <w:tcPr>
            <w:tcW w:type="dxa" w:w="400"/>
            <w:shd w:fill="3F6B4A"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Tahsilat / Ödeme</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ACCEPTED — tam döngü (kayıt, gecikme, kısmi ödeme, AI takip)</w:t>
            </w:r>
          </w:p>
        </w:tc>
        <w:tc>
          <w:tcPr>
            <w:tcW w:type="dxa" w:w="400"/>
            <w:shd w:fill="3F6B4A"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Görev / Task</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ACCEPTED</w:t>
            </w:r>
          </w:p>
        </w:tc>
        <w:tc>
          <w:tcPr>
            <w:tcW w:type="dxa" w:w="400"/>
            <w:shd w:fill="3F6B4A"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Bildirim</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ACCEPTED — yönlendirme çalışıyor</w:t>
            </w:r>
          </w:p>
        </w:tc>
        <w:tc>
          <w:tcPr>
            <w:tcW w:type="dxa" w:w="400"/>
            <w:shd w:fill="3F6B4A"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Konuşma / Sohbet</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PRODUCTION'DA — tüm sistemin omurgası</w:t>
            </w:r>
          </w:p>
        </w:tc>
        <w:tc>
          <w:tcPr>
            <w:tcW w:type="dxa" w:w="400"/>
            <w:shd w:fill="3F6B4A"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Kimlik / Yetki altyapısı</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PRODUCTION'DA (altyapı)</w:t>
            </w:r>
          </w:p>
        </w:tc>
        <w:tc>
          <w:tcPr>
            <w:tcW w:type="dxa" w:w="400"/>
            <w:shd w:fill="3F6B4A"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Fatura</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yalnız taslak oluşturma + listeleme; gönderim/ödendi geçişi yok</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Şirket profili</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üretim onayı ertelenmiş</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Ürün</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oluşturma derinliği doğrulanmamış</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Ekip / Kişi</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kişi modeli var, ekleme arayüzü ve yetki yüzeyi yok</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Hedef / KPI</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sayfa iskelet halinde</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Raporlama</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veri modeli güçlü, arayüz yok</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Kurumsal Hafıza</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motor var, kullanıcıya görünmüyor</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Entegrasyon</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KISMEN — yalnız Gmail</w:t>
            </w:r>
          </w:p>
        </w:tc>
        <w:tc>
          <w:tcPr>
            <w:tcW w:type="dxa" w:w="400"/>
            <w:shd w:fill="9A7B2E"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Stok</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Finans (marj/nakit modeli)</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Üretim / Kapasite</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Tedarikçi</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Sipariş</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İrsaliye</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Muhasebe / Defter</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 — yalnız ilgisiz bir Gider modeli var</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Takvim / Randevu</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r>
        <w:tc>
          <w:tcPr>
            <w:tcW w:type="dxa" w:w="4200"/>
            <w:tcMar>
              <w:top w:type="dxa" w:w="80"/>
              <w:left w:type="dxa" w:w="100"/>
              <w:bottom w:type="dxa" w:w="80"/>
              <w:right w:type="dxa" w:w="100"/>
            </w:tcMar>
          </w:tcPr>
          <w:p>
            <w:r>
              <w:rPr>
                <w:rFonts w:ascii="Calibri" w:cs="Calibri" w:eastAsia="Calibri" w:hAnsi="Calibri"/>
                <w:b/>
                <w:bCs/>
                <w:color w:val="1C1C1E"/>
                <w:sz w:val="18"/>
                <w:szCs w:val="18"/>
              </w:rPr>
              <w:t xml:space="preserve">Kurumsal İletişim Motoru</w:t>
            </w:r>
          </w:p>
        </w:tc>
        <w:tc>
          <w:tcPr>
            <w:tcW w:type="dxa" w:w="4400"/>
            <w:tcMar>
              <w:top w:type="dxa" w:w="80"/>
              <w:left w:type="dxa" w:w="100"/>
              <w:bottom w:type="dxa" w:w="80"/>
              <w:right w:type="dxa" w:w="100"/>
            </w:tcMar>
          </w:tcPr>
          <w:p>
            <w:r>
              <w:rPr>
                <w:rFonts w:ascii="Calibri" w:cs="Calibri" w:eastAsia="Calibri" w:hAnsi="Calibri"/>
                <w:b w:val="false"/>
                <w:bCs w:val="false"/>
                <w:color w:val="1C1C1E"/>
                <w:sz w:val="18"/>
                <w:szCs w:val="18"/>
              </w:rPr>
              <w:t xml:space="preserve">YOK — sohbet içi geçici mesajlaşma dışında yok</w:t>
            </w:r>
          </w:p>
        </w:tc>
        <w:tc>
          <w:tcPr>
            <w:tcW w:type="dxa" w:w="400"/>
            <w:shd w:fill="8C3B33" w:val="clear"/>
            <w:tcMar>
              <w:top w:type="dxa" w:w="80"/>
              <w:left w:type="dxa" w:w="100"/>
              <w:bottom w:type="dxa" w:w="80"/>
              <w:right w:type="dxa" w:w="100"/>
            </w:tcMar>
          </w:tcPr>
          <w:p>
            <w:r>
              <w:rPr>
                <w:rFonts w:ascii="Calibri" w:cs="Calibri" w:eastAsia="Calibri" w:hAnsi="Calibri"/>
                <w:b w:val="false"/>
                <w:bCs w:val="false"/>
                <w:color w:val="1C1C1E"/>
                <w:sz w:val="18"/>
                <w:szCs w:val="18"/>
              </w:rPr>
              <w:t xml:space="preserve"/>
            </w:r>
          </w:p>
        </w:tc>
      </w:tr>
    </w:tbl>
    <w:p>
      <w:pPr>
        <w:spacing w:after="200" w:before="200"/>
      </w:pPr>
      <w:r>
        <w:rPr>
          <w:rFonts w:ascii="Calibri" w:cs="Calibri" w:eastAsia="Calibri" w:hAnsi="Calibri"/>
          <w:b/>
          <w:bCs/>
          <w:color w:val="3F6B4A"/>
          <w:sz w:val="18"/>
          <w:szCs w:val="18"/>
        </w:rPr>
        <w:t xml:space="preserve">yeşil: canlı ve doğrulanmış   </w:t>
      </w:r>
      <w:r>
        <w:rPr>
          <w:rFonts w:ascii="Calibri" w:cs="Calibri" w:eastAsia="Calibri" w:hAnsi="Calibri"/>
          <w:b/>
          <w:bCs/>
          <w:color w:val="9A7B2E"/>
          <w:sz w:val="18"/>
          <w:szCs w:val="18"/>
        </w:rPr>
        <w:t xml:space="preserve">sarı: kısmen / iskelet   </w:t>
      </w:r>
      <w:r>
        <w:rPr>
          <w:rFonts w:ascii="Calibri" w:cs="Calibri" w:eastAsia="Calibri" w:hAnsi="Calibri"/>
          <w:b/>
          <w:bCs/>
          <w:color w:val="8C3B33"/>
          <w:sz w:val="18"/>
          <w:szCs w:val="18"/>
        </w:rPr>
        <w:t xml:space="preserve">kırmızı: yok</w:t>
      </w:r>
    </w:p>
    <w:p>
      <w:pPr>
        <w:spacing w:after="160" w:line="300"/>
      </w:pPr>
      <w:r>
        <w:rPr>
          <w:rFonts w:ascii="Calibri" w:cs="Calibri" w:eastAsia="Calibri" w:hAnsi="Calibri"/>
          <w:b w:val="false"/>
          <w:bCs w:val="false"/>
          <w:i w:val="false"/>
          <w:iCs w:val="false"/>
          <w:color w:val="1C1C1E"/>
          <w:sz w:val="21"/>
          <w:szCs w:val="21"/>
        </w:rPr>
        <w:t xml:space="preserve">Açık okuma: 24 alanın 7'si tam canlı, 8'i kısmi, 9'u tamamen yok. "CRM, ERP ve muhasebe programlarının yapabildiği her şeyi yapabilme" vizyonu ölçeğinde bu, yaklaşık dörtte bir - üçte bir arası bir gerçekleşme oranı demek. Özellikle Stok, Finans/marj modeli, Üretim, Sipariş, İrsaliye ve Muhasebe/defter — yani klasik bir ERP'nin omurgası — şu an hiç yok. Tahsilat ve Teklif tarafı (klasik bir CRM'in omurgası) ise gerçekten sağlam ve üretimde kanıtlanmış durumda.</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9A7B2E"/>
          <w:sz w:val="21"/>
          <w:szCs w:val="21"/>
        </w:rPr>
        <w:t xml:space="preserve">Vizyon doğru, gerçekleşme erken aşamada.</w:t>
      </w:r>
      <w:r>
        <w:rPr>
          <w:rFonts w:ascii="Calibri" w:cs="Calibri" w:eastAsia="Calibri" w:hAnsi="Calibri"/>
          <w:i/>
          <w:iCs/>
          <w:color w:val="5B5F63"/>
          <w:sz w:val="21"/>
          <w:szCs w:val="21"/>
        </w:rPr>
        <w:t xml:space="preserve">  —  CRM tarafı ERP/muhasebe tarafından daha ileride; bu sıralama muhtemelen doğru önceliklendirme, tersine çevirmeye gerek yok.</w:t>
      </w:r>
    </w:p>
    <w:p>
      <w:pPr>
        <w:pStyle w:val="Heading1"/>
        <w:pBdr>
          <w:bottom w:val="single" w:color="8A6D3B" w:sz="8" w:space="4"/>
        </w:pBdr>
        <w:spacing w:after="200" w:before="480"/>
      </w:pPr>
      <w:r>
        <w:rPr>
          <w:rFonts w:ascii="Georgia" w:cs="Georgia" w:eastAsia="Georgia" w:hAnsi="Georgia"/>
          <w:b/>
          <w:bCs/>
          <w:color w:val="1C1C1E"/>
          <w:sz w:val="30"/>
          <w:szCs w:val="30"/>
        </w:rPr>
        <w:t xml:space="preserve">4. Ekip Sistemi ve Bildirim-Tetikli İşlem Zinciri</w:t>
      </w:r>
    </w:p>
    <w:p>
      <w:pPr>
        <w:spacing w:after="160" w:line="300"/>
      </w:pPr>
      <w:r>
        <w:rPr>
          <w:rFonts w:ascii="Calibri" w:cs="Calibri" w:eastAsia="Calibri" w:hAnsi="Calibri"/>
          <w:b w:val="false"/>
          <w:bCs w:val="false"/>
          <w:i w:val="false"/>
          <w:iCs w:val="false"/>
          <w:color w:val="1C1C1E"/>
          <w:sz w:val="21"/>
          <w:szCs w:val="21"/>
        </w:rPr>
        <w:t xml:space="preserve">İstediğin "ana kullanıcının çalışanlarını ekleyebildiği, görev/iş/üretim/satış/tahsilat gibi her şeyi ilgili kişilere bildirim göndererek işlem yaptırabilen" sistem iki ayrı yapı taşı gerektiriyor: (1) kanonik bir Ekip/Kişi modeli ve yetki yüzeyi, (2) domain'ler arası bir bildirim-aksiyon zinciri.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Ekip: generic bir Person modeli var, ama ne bir eylem seti (manifest) ne de kullanıcıya görünen bir ekip ekleme yüzeyi var. Yani bugün ana kullanıcı arayüzden "şu çalışanı ekle, şu yetkiyi ver" diyemiyor.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Bildirim: yönlendirme mekanizması üretimde ve doğrulanmış — ama bunun üretim/satış/tahsilat gibi geniş bir yelpazede anlamlı olabilmesi için karşı taraftaki domain'lerin (Sipariş, Üretim, Tedarikçi) var olması gerekiyor; bunlar Bölüm 3'te "YOK" işaretli. Bildirim borusu hazır, borudan geçecek çoğu su kaynağı henüz yok.</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9A7B2E"/>
          <w:sz w:val="21"/>
          <w:szCs w:val="21"/>
        </w:rPr>
        <w:t xml:space="preserve">Temel var, kapsam dar.</w:t>
      </w:r>
      <w:r>
        <w:rPr>
          <w:rFonts w:ascii="Calibri" w:cs="Calibri" w:eastAsia="Calibri" w:hAnsi="Calibri"/>
          <w:i/>
          <w:iCs/>
          <w:color w:val="5B5F63"/>
          <w:sz w:val="21"/>
          <w:szCs w:val="21"/>
        </w:rPr>
        <w:t xml:space="preserve">  —  önce Ekip'in kullanıcıya görünen bir yüzeyi olmalı; bildirim zincirinin genişlemesi doğal olarak Bölüm 3'teki eksik domain'lerle birlikte gelecek — ayrı bir efor değil.</w:t>
      </w:r>
    </w:p>
    <w:p>
      <w:pPr>
        <w:pStyle w:val="Heading1"/>
        <w:pBdr>
          <w:bottom w:val="single" w:color="8A6D3B" w:sz="8" w:space="4"/>
        </w:pBdr>
        <w:spacing w:after="200" w:before="480"/>
      </w:pPr>
      <w:r>
        <w:rPr>
          <w:rFonts w:ascii="Georgia" w:cs="Georgia" w:eastAsia="Georgia" w:hAnsi="Georgia"/>
          <w:b/>
          <w:bCs/>
          <w:color w:val="1C1C1E"/>
          <w:sz w:val="30"/>
          <w:szCs w:val="30"/>
        </w:rPr>
        <w:t xml:space="preserve">5. "Gözünün Önünde İşlem Yapma" — Dokuz İmza Etkileşimin Durumu</w:t>
      </w:r>
    </w:p>
    <w:p>
      <w:pPr>
        <w:spacing w:after="160" w:line="300"/>
      </w:pPr>
      <w:r>
        <w:rPr>
          <w:rFonts w:ascii="Calibri" w:cs="Calibri" w:eastAsia="Calibri" w:hAnsi="Calibri"/>
          <w:b w:val="false"/>
          <w:bCs w:val="false"/>
          <w:i w:val="false"/>
          <w:iCs w:val="false"/>
          <w:color w:val="1C1C1E"/>
          <w:sz w:val="21"/>
          <w:szCs w:val="21"/>
        </w:rPr>
        <w:t xml:space="preserve">Yüklediğin METRIX_Etkileşim.docx dokuz imza etkileşim tarif ediyor: Ortam Yansıması, Dosya Açılımı, Executive Pause, Kenarda Bekleme, Sessiz Hazırlık, Altın İplik, Executive Stroke, Görevi Teslim Alma, Verinin Ağırlığı. Belgenin kendisi bunu net söylüyor: "Çalışma notu — Foundation veya canonical mimari belgesi değildir." Yani bu dokuz fikir henüz onaylanmış bir spesifikasyon değil, üzerine planlama yapılacak bir taslak.</w:t>
      </w:r>
    </w:p>
    <w:p>
      <w:pPr>
        <w:spacing w:after="160" w:line="300"/>
      </w:pPr>
      <w:r>
        <w:rPr>
          <w:rFonts w:ascii="Calibri" w:cs="Calibri" w:eastAsia="Calibri" w:hAnsi="Calibri"/>
          <w:b w:val="false"/>
          <w:bCs w:val="false"/>
          <w:i w:val="false"/>
          <w:iCs w:val="false"/>
          <w:color w:val="1C1C1E"/>
          <w:sz w:val="21"/>
          <w:szCs w:val="21"/>
        </w:rPr>
        <w:t xml:space="preserve">Kod tabanında bu dokuzundan hiçbirinin somut bir implementasyon izine rastlanmadı. Bunun tek mantıklı nedeni var: bu etkileşimlerin neredeyse tamamı, Bölüm 6'da anlatılan Executive Cognitive Stack v1'in (Mind Runtime, Attention, Momentum, Intent, Decision, ECO, Speech) üretimde çalışıyor olmasını önkoşul olarak gerektiriyor — o katman ise "implementasyon Faz 1 öncesi kilitlenmiş kaynak" statüsünde, yani henüz hiç kod yazılmamış.</w:t>
      </w:r>
    </w:p>
    <w:p>
      <w:pPr>
        <w:spacing w:after="160" w:line="300"/>
      </w:pPr>
      <w:r>
        <w:rPr>
          <w:rFonts w:ascii="Calibri" w:cs="Calibri" w:eastAsia="Calibri" w:hAnsi="Calibri"/>
          <w:b w:val="false"/>
          <w:bCs w:val="false"/>
          <w:i w:val="false"/>
          <w:iCs w:val="false"/>
          <w:color w:val="1C1C1E"/>
          <w:sz w:val="21"/>
          <w:szCs w:val="21"/>
        </w:rPr>
        <w:t xml:space="preserve">Doğrudan senin "metrixin yapacağı işlemleri kullanıcının gözü önünde yapabilmesi" isteğine en yakın karşılık "Görevi Teslim Alma" ve "Sessiz Hazırlık" etkileşimleri — ikisi de tasarlanmış ama inşa edilmemiş. Bugün üretimde buna en yakın şey, action-runtime katmanının onay/risk kurallarıyla çalışan mutation akışı (bkz. METRIX_ARCHITECTURE_MATRIX.md §1) — görünürlük değil, güvenlik tarafı çözülmüş durumda.</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8C3B33"/>
          <w:sz w:val="21"/>
          <w:szCs w:val="21"/>
        </w:rPr>
        <w:t xml:space="preserve">Tasarım hazır, inşaat başlamamış.</w:t>
      </w:r>
      <w:r>
        <w:rPr>
          <w:rFonts w:ascii="Calibri" w:cs="Calibri" w:eastAsia="Calibri" w:hAnsi="Calibri"/>
          <w:i/>
          <w:iCs/>
          <w:color w:val="5B5F63"/>
          <w:sz w:val="21"/>
          <w:szCs w:val="21"/>
        </w:rPr>
        <w:t xml:space="preserve">  —  bu dokuzu Faz 2/3'e değil, Cognitive Stack'in kendi 9 fazlık planına (Bölüm 6.3) bağlı ayrı ve daha büyük bir sonraki çalışma olarak görmeni öneririm.</w:t>
      </w:r>
    </w:p>
    <w:p>
      <w:r>
        <w:br w:type="page"/>
      </w:r>
    </w:p>
    <w:p>
      <w:pPr>
        <w:pStyle w:val="Heading1"/>
        <w:pBdr>
          <w:bottom w:val="single" w:color="8A6D3B" w:sz="8" w:space="4"/>
        </w:pBdr>
        <w:spacing w:after="200" w:before="480"/>
      </w:pPr>
      <w:r>
        <w:rPr>
          <w:rFonts w:ascii="Georgia" w:cs="Georgia" w:eastAsia="Georgia" w:hAnsi="Georgia"/>
          <w:b/>
          <w:bCs/>
          <w:color w:val="1C1C1E"/>
          <w:sz w:val="30"/>
          <w:szCs w:val="30"/>
        </w:rPr>
        <w:t xml:space="preserve">6. Mimari Denetim — Kod Zinciri ve Katman Şişkinliği</w:t>
      </w:r>
    </w:p>
    <w:p>
      <w:pPr>
        <w:pStyle w:val="Heading2"/>
        <w:spacing w:after="140" w:before="320"/>
      </w:pPr>
      <w:r>
        <w:rPr>
          <w:rFonts w:ascii="Georgia" w:cs="Georgia" w:eastAsia="Georgia" w:hAnsi="Georgia"/>
          <w:b/>
          <w:bCs/>
          <w:color w:val="2C2A24"/>
          <w:sz w:val="24"/>
          <w:szCs w:val="24"/>
        </w:rPr>
        <w:t xml:space="preserve">6.1 Ölçüm</w:t>
      </w:r>
    </w:p>
    <w:p>
      <w:pPr>
        <w:spacing w:after="160" w:line="300"/>
      </w:pPr>
      <w:r>
        <w:rPr>
          <w:rFonts w:ascii="Calibri" w:cs="Calibri" w:eastAsia="Calibri" w:hAnsi="Calibri"/>
          <w:b w:val="false"/>
          <w:bCs w:val="false"/>
          <w:i w:val="false"/>
          <w:iCs w:val="false"/>
          <w:color w:val="1C1C1E"/>
          <w:sz w:val="21"/>
          <w:szCs w:val="21"/>
        </w:rPr>
        <w:t xml:space="preserve">src/lib içinde 972 dosya var. Bunların 279'u (42 ayrı klasör) yalnızca "executive-" önekiyle başlıyor — executive-brain, executive-council, executive-constitution, executive-decision-engine, executive-decision-loop, executive-learning-orchestrator, executive-learning-resolver, executive-learning-value, executive-knowledge-authority, executive-intelligence, executive-awareness, executive-curiosity, executive-narrative, executive-operating-system, executive-operating-rhythm, executive-prioritization, executive-rhythm, executive-scorecard, executive-responsibility-matrix... liste uzuyor. En büyük üçü: executive-operating-system (24 dosya), executive-brain (20 dosya), executive-request-resolution (18 dosya).</w:t>
      </w:r>
    </w:p>
    <w:p>
      <w:pPr>
        <w:spacing w:after="160" w:line="300"/>
      </w:pPr>
      <w:r>
        <w:rPr>
          <w:rFonts w:ascii="Calibri" w:cs="Calibri" w:eastAsia="Calibri" w:hAnsi="Calibri"/>
          <w:b w:val="false"/>
          <w:bCs w:val="false"/>
          <w:i w:val="false"/>
          <w:iCs w:val="false"/>
          <w:color w:val="1C1C1E"/>
          <w:sz w:val="21"/>
          <w:szCs w:val="21"/>
        </w:rPr>
        <w:t xml:space="preserve">Tek sohbet giriş noktası olan src/app/api/ai/chat/route.ts, 2022 satır uzunluğunda ve doğrudan 23 farklı üst düzey lib modülünü import ediyor: executive-brain, executive-assessment, executive-constitution, executive-conversation, executive-decision-loop, executive-learning-orchestrator, executive-management-picture, executive-outcome, executive-request-resolution, manager-advice, learning-loop, knowledge, memory, conversation-extensions, conversation-understanding, business-reality-candidates, first-experience, core, customers, api, application, auth, ai. Bu 23 modülün her biri kendi içinde diğer executive-* kümelerine zincirleme bağlanıyor — yani gerçek çağrı derinliği görünenden çok daha fazla.</w:t>
      </w:r>
    </w:p>
    <w:p>
      <w:pPr>
        <w:pStyle w:val="Heading2"/>
        <w:spacing w:after="140" w:before="320"/>
      </w:pPr>
      <w:r>
        <w:rPr>
          <w:rFonts w:ascii="Georgia" w:cs="Georgia" w:eastAsia="Georgia" w:hAnsi="Georgia"/>
          <w:b/>
          <w:bCs/>
          <w:color w:val="2C2A24"/>
          <w:sz w:val="24"/>
          <w:szCs w:val="24"/>
        </w:rPr>
        <w:t xml:space="preserve">6.2 Bu şişkinlik yeni bir tespit değil</w:t>
      </w:r>
    </w:p>
    <w:p>
      <w:pPr>
        <w:spacing w:after="160" w:line="300"/>
      </w:pPr>
      <w:r>
        <w:rPr>
          <w:rFonts w:ascii="Calibri" w:cs="Calibri" w:eastAsia="Calibri" w:hAnsi="Calibri"/>
          <w:b w:val="false"/>
          <w:bCs w:val="false"/>
          <w:i w:val="false"/>
          <w:iCs w:val="false"/>
          <w:color w:val="1C1C1E"/>
          <w:sz w:val="21"/>
          <w:szCs w:val="21"/>
        </w:rPr>
        <w:t xml:space="preserve">Projenin kendi mimari denetim belgesi (METRIX_ARCHITECTURE_MATRIX.md §5) bu sorunu zaten yazılı olarak tespit etmiş: "executive-*-intelligence / executive-*-signal / executive-decision-* kümeleri arasında gerçek çapraz importlar var (katmanlı, paralel değil) — birleştirmek tasarım incelemesi gerektirir, kör bir birleştirme değil." Aynı belge, kullanılmayan ama silinmemiş kod örneği de veriyor: eski anahtar-kelime-güven dedektörleri hâlâ dosya olarak duruyor ama üretimde hiç çağıran yok — "orphaned, not dangerous" olarak işaretlenmiş. Yani sistemde hem kullanılan-ama-iç-içe-geçmiş hem de hiç-kullanılmayan-ama-duran kod birlikte yaşıyor; ikisi de aynı 42 klasörün içinde, birbirinden ayırt edilmesi kolay değil.</w:t>
      </w:r>
    </w:p>
    <w:p>
      <w:pPr>
        <w:pStyle w:val="Heading2"/>
        <w:spacing w:after="140" w:before="320"/>
      </w:pPr>
      <w:r>
        <w:rPr>
          <w:rFonts w:ascii="Georgia" w:cs="Georgia" w:eastAsia="Georgia" w:hAnsi="Georgia"/>
          <w:b/>
          <w:bCs/>
          <w:color w:val="2C2A24"/>
          <w:sz w:val="24"/>
          <w:szCs w:val="24"/>
        </w:rPr>
        <w:t xml:space="preserve">6.3 Asıl risk: yeni bir beyin, eskisinin üzerine</w:t>
      </w:r>
    </w:p>
    <w:p>
      <w:pPr>
        <w:spacing w:after="160" w:line="300"/>
      </w:pPr>
      <w:r>
        <w:rPr>
          <w:rFonts w:ascii="Calibri" w:cs="Calibri" w:eastAsia="Calibri" w:hAnsi="Calibri"/>
          <w:b w:val="false"/>
          <w:bCs w:val="false"/>
          <w:i w:val="false"/>
          <w:iCs w:val="false"/>
          <w:color w:val="1C1C1E"/>
          <w:sz w:val="21"/>
          <w:szCs w:val="21"/>
        </w:rPr>
        <w:t xml:space="preserve">executive-cognitive-stack-v1.md belgesi, mevcut 42 klasörlük executive-* yığınından tamamen ayrı, sekiz katmanlı yeni bir "zihin" tasarlıyor: Mind Runtime → Attention → Momentum → Cognitive Lifecycle → Intent System → Decision Runtime → Conversation Orchestrator → Speech Runtime, dokuz üretim fazına yayılmış. Belge bunun mevcut Executive Brain, Director sistemi ve diğer anayasalarla "çakışmayacağını" iddia ediyor (§6, kendi tablosu) — ama bu iddia tasarım seviyesinde, kod seviyesinde henüz test edilmemiş.</w:t>
      </w:r>
    </w:p>
    <w:p>
      <w:pPr>
        <w:spacing w:after="160" w:line="300"/>
      </w:pPr>
      <w:r>
        <w:rPr>
          <w:rFonts w:ascii="Calibri" w:cs="Calibri" w:eastAsia="Calibri" w:hAnsi="Calibri"/>
          <w:b w:val="false"/>
          <w:bCs w:val="false"/>
          <w:i w:val="false"/>
          <w:iCs w:val="false"/>
          <w:color w:val="1C1C1E"/>
          <w:sz w:val="21"/>
          <w:szCs w:val="21"/>
        </w:rPr>
        <w:t xml:space="preserve">Senin en çok çekindiğin şey — "birbiriyle çalışan zincirlerin karmaşık ve sistemi ağırlaştıracak şekilde olması" — tam olarak burada gerçekleşme riski taşıyor: eğer bu yeni sekiz katman, mevcut 42 executive-* klasörünün YERİNE geçmek yerine ÜSTÜNE eklenirse, sistemde iki paralel "beyin" olur. Biri diğerini ne zaman geçersiz kılacak, hangi karar hangi katmandan çıkacak — bu netleşmeden inşaata başlamak, tam olarak kaçınmak istediğin sonucu üretir.</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8C3B33"/>
          <w:sz w:val="21"/>
          <w:szCs w:val="21"/>
        </w:rPr>
        <w:t xml:space="preserve">Şişkinlik gerçek, ölçülebilir ve zaten kısmen teşhis edilmiş.</w:t>
      </w:r>
      <w:r>
        <w:rPr>
          <w:rFonts w:ascii="Calibri" w:cs="Calibri" w:eastAsia="Calibri" w:hAnsi="Calibri"/>
          <w:i/>
          <w:iCs/>
          <w:color w:val="5B5F63"/>
          <w:sz w:val="21"/>
          <w:szCs w:val="21"/>
        </w:rPr>
        <w:t xml:space="preserve">  —  yeni mimari (Cognitive Stack) mevcut executive-* kümesinin YERİNE geçecek bir konsolidasyon olarak konumlandırılmadan Faz 1'ine bile başlanmamalı.</w:t>
      </w:r>
    </w:p>
    <w:p>
      <w:pPr>
        <w:pStyle w:val="Heading1"/>
        <w:pBdr>
          <w:bottom w:val="single" w:color="8A6D3B" w:sz="8" w:space="4"/>
        </w:pBdr>
        <w:spacing w:after="200" w:before="480"/>
      </w:pPr>
      <w:r>
        <w:rPr>
          <w:rFonts w:ascii="Georgia" w:cs="Georgia" w:eastAsia="Georgia" w:hAnsi="Georgia"/>
          <w:b/>
          <w:bCs/>
          <w:color w:val="1C1C1E"/>
          <w:sz w:val="30"/>
          <w:szCs w:val="30"/>
        </w:rPr>
        <w:t xml:space="preserve">7. Sadeleştirme Planı</w:t>
      </w:r>
    </w:p>
    <w:p>
      <w:pPr>
        <w:spacing w:after="160" w:line="300"/>
      </w:pPr>
      <w:r>
        <w:rPr>
          <w:rFonts w:ascii="Calibri" w:cs="Calibri" w:eastAsia="Calibri" w:hAnsi="Calibri"/>
          <w:b w:val="false"/>
          <w:bCs w:val="false"/>
          <w:i w:val="false"/>
          <w:iCs w:val="false"/>
          <w:color w:val="1C1C1E"/>
          <w:sz w:val="21"/>
          <w:szCs w:val="21"/>
        </w:rPr>
        <w:t xml:space="preserve">Aşağıdaki adımlar büyük, tek seferlik bir refactor değil — her biri bağımsız, geri alınabilir, kendi başına raporlanabilir bir faz olacak şekilde sıralandı. Bu, projenin kendi "faz başına tek iş, zorunlu olmadıkça yeni katman yok" ilkesiyle birebir uyumlu.</w:t>
      </w:r>
    </w:p>
    <w:p>
      <w:pPr>
        <w:pStyle w:val="Heading2"/>
        <w:spacing w:after="140" w:before="320"/>
      </w:pPr>
      <w:r>
        <w:rPr>
          <w:rFonts w:ascii="Georgia" w:cs="Georgia" w:eastAsia="Georgia" w:hAnsi="Georgia"/>
          <w:b/>
          <w:bCs/>
          <w:color w:val="2C2A24"/>
          <w:sz w:val="24"/>
          <w:szCs w:val="24"/>
        </w:rPr>
        <w:t xml:space="preserve">7.1 Envanter ve ölü kod temizliği (düşük risk, hızlı)</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42 executive-* klasörünü sorumluluğa göre grupla: (a) sinyal/skor hesaplama (assessment, scorecard, performance-signal, forecasting), (b) karar/aksiyon (decision-engine, decision-loop, decision-follow-up), (c) öğrenme/hafıza (learning-orchestrator, learning-resolver, learning-value, goal-learning), (d) sunum/varlık (presence, action-presence, narrative), (e) raporlama (reporting, management-review, management-picture, scorecard).</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Her klasör için tek soru: route.ts'nin (veya onun çağırdığı zincirin) gerçek üretim çağrı grafiğinde var mı, yok mu? Zaten bir örneği kanıtlanmış: eski anahtar-kelime dedektörleri sıfır çağırana sahip. Bu taramanın tüm 42 klasöre uygulanması, muhtemelen ölü kodun önemli bir kısmını ortaya çıkaracak.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Sıfır-çağıranlı dosyalar silinir (arşivlenmez, silinir — proje anayasası "yarım kalmış implementasyon, ölü kod bırakılmaz" diyor).</w:t>
      </w:r>
    </w:p>
    <w:p>
      <w:pPr>
        <w:pStyle w:val="Heading2"/>
        <w:spacing w:after="140" w:before="320"/>
      </w:pPr>
      <w:r>
        <w:rPr>
          <w:rFonts w:ascii="Georgia" w:cs="Georgia" w:eastAsia="Georgia" w:hAnsi="Georgia"/>
          <w:b/>
          <w:bCs/>
          <w:color w:val="2C2A24"/>
          <w:sz w:val="24"/>
          <w:szCs w:val="24"/>
        </w:rPr>
        <w:t xml:space="preserve">7.2 Konsolidasyon tasarım incelemesi (orta risk, karar gerektirir)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executive-*-intelligence / -signal / -decision-* kümelerinin gerçek bağımlılık grafiğini çıkar (kim kimi import ediyor) — mimari belgenin kendisinin önerdiği ama henüz yapılmamış adım.</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Bu grafik çıktıktan sonra, hangi kümelerin birleştirilebileceğine (aynı sorumluluğu iki farklı isimle taşıyanlar) somut olarak karar ver — kör birleştirme değil, grafiğe dayalı birleştirme.</w:t>
      </w:r>
    </w:p>
    <w:p>
      <w:pPr>
        <w:pStyle w:val="Heading2"/>
        <w:spacing w:after="140" w:before="320"/>
      </w:pPr>
      <w:r>
        <w:rPr>
          <w:rFonts w:ascii="Georgia" w:cs="Georgia" w:eastAsia="Georgia" w:hAnsi="Georgia"/>
          <w:b/>
          <w:bCs/>
          <w:color w:val="2C2A24"/>
          <w:sz w:val="24"/>
          <w:szCs w:val="24"/>
        </w:rPr>
        <w:t xml:space="preserve">7.3 Cognitive Stack'i "ek katman" değil "yerine geçen" olarak konumlandır (yüksek risk, en kritik karar)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Cognitive Stack'in Faz 1'i başlamadan önce tek bir harita çıkar: bu yeni sekiz katmanın her biri, mevcut hangi executive-* klasörlerini emekli edecek? Belge bunu henüz söylemiyor.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Eğer bu harita çıkmıyorsa (yani yeni stack gerçekten hiçbir mevcut klasörün yerine geçmiyorsa), bu doğrudan bir kırmızı bayrak: sistem büyümeye değil, katmanlaşmaya gidiyor demektir — projenin kendi anayasasındaki "yeni katman ancak zorunluysa" ilkesine aykırı.</w:t>
      </w:r>
    </w:p>
    <w:p>
      <w:pPr>
        <w:pStyle w:val="Heading2"/>
        <w:spacing w:after="140" w:before="320"/>
      </w:pPr>
      <w:r>
        <w:rPr>
          <w:rFonts w:ascii="Georgia" w:cs="Georgia" w:eastAsia="Georgia" w:hAnsi="Georgia"/>
          <w:b/>
          <w:bCs/>
          <w:color w:val="2C2A24"/>
          <w:sz w:val="24"/>
          <w:szCs w:val="24"/>
        </w:rPr>
        <w:t xml:space="preserve">7.4 route.ts'yi küçült (düşük öncelik, yalnızca gerekince)</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2022 satırlık tek dosya kendi başına bir bakım riski, ama bunu "refactor için refactor" olarak yapma — 7.1 ve 7.2 tamamlanıp gerçek sorumluluk sınırları netleşmeden dosyayı bölmek, sınırları yanlış yerden çizme riski taşır. Bu adımı 7.1/7.2'den sonraya bırakmanı öneririm.</w:t>
      </w:r>
    </w:p>
    <w:p>
      <w:pPr>
        <w:pStyle w:val="Heading2"/>
        <w:spacing w:after="140" w:before="320"/>
      </w:pPr>
      <w:r>
        <w:rPr>
          <w:rFonts w:ascii="Georgia" w:cs="Georgia" w:eastAsia="Georgia" w:hAnsi="Georgia"/>
          <w:b/>
          <w:bCs/>
          <w:color w:val="2C2A24"/>
          <w:sz w:val="24"/>
          <w:szCs w:val="24"/>
        </w:rPr>
        <w:t xml:space="preserve">7.5 Önce bitir, sonra genişlet</w:t>
      </w:r>
    </w:p>
    <w:p>
      <w:pPr>
        <w:spacing w:after="160" w:line="300"/>
      </w:pPr>
      <w:r>
        <w:rPr>
          <w:rFonts w:ascii="Calibri" w:cs="Calibri" w:eastAsia="Calibri" w:hAnsi="Calibri"/>
          <w:b w:val="false"/>
          <w:bCs w:val="false"/>
          <w:i w:val="false"/>
          <w:iCs w:val="false"/>
          <w:color w:val="1C1C1E"/>
          <w:sz w:val="21"/>
          <w:szCs w:val="21"/>
        </w:rPr>
        <w:t xml:space="preserve">Bölüm 3'teki tablo aslında bir sadelik fırsatı da içeriyor: 9 alan tamamen boş. Yeni bir bilişsel mimari inşa etmeden önce, zaten var olan altyapıyı (Teklif → Fatura → Tahsilat zincirinin Fatura'nın SENT geçişiyle tamamlanması, Muhasebe'nin otomatik kayıt tutması, Raporlama'nın arayüze bağlanması) bitirmek — mimari belgenin kendi önerdiği sıralama — yeni karmaşıklık eklemeden gerçek kullanıcı değeri üretir. Bu, senin "sade, hızlı, hata yapmayan" hedefinle doğrudan örtüşüyor.</w:t>
      </w:r>
    </w:p>
    <w:p>
      <w:pPr>
        <w:pStyle w:val="Heading1"/>
        <w:pBdr>
          <w:bottom w:val="single" w:color="8A6D3B" w:sz="8" w:space="4"/>
        </w:pBdr>
        <w:spacing w:after="200" w:before="480"/>
      </w:pPr>
      <w:r>
        <w:rPr>
          <w:rFonts w:ascii="Georgia" w:cs="Georgia" w:eastAsia="Georgia" w:hAnsi="Georgia"/>
          <w:b/>
          <w:bCs/>
          <w:color w:val="1C1C1E"/>
          <w:sz w:val="30"/>
          <w:szCs w:val="30"/>
        </w:rPr>
        <w:t xml:space="preserve">8. Görsel Kimlik — "Ultra Premium Genel Müdür Odası" Hissi</w:t>
      </w:r>
    </w:p>
    <w:p>
      <w:pPr>
        <w:spacing w:after="160" w:line="300"/>
      </w:pPr>
      <w:r>
        <w:rPr>
          <w:rFonts w:ascii="Calibri" w:cs="Calibri" w:eastAsia="Calibri" w:hAnsi="Calibri"/>
          <w:b w:val="false"/>
          <w:bCs w:val="false"/>
          <w:i w:val="false"/>
          <w:iCs w:val="false"/>
          <w:color w:val="1C1C1E"/>
          <w:sz w:val="21"/>
          <w:szCs w:val="21"/>
        </w:rPr>
        <w:t xml:space="preserve">İyi haber: istediğin sayfa iskeleti (sol üstte sohbet geçmişi, sağ üstte ayarlar, üst ortada METRIX logosu, altta metin kutusu + dosya ekleme + mikrofon + gönder) zaten mevcut kodda birebir uygulanmış — ExecutiveAppShell.tsx bu düzeni satır satır karşılıyor: sol üstte "Sohbet Geçmişi" düğmesi, ortada METRIX wordmark, sağ üstte "Ayarlar" düğmesi; alt çubukta "Dosya ekle", mikrofon izni akışı ve "Gönder" düğmesi (MetrixChatTab.tsx). Yani memnuniyetsizliğin yapısal değil, görsel — ve bu doğru bir teşhis, çünkü yapı zaten doğru.</w:t>
      </w:r>
    </w:p>
    <w:p>
      <w:pPr>
        <w:spacing w:after="160" w:line="300"/>
      </w:pPr>
      <w:r>
        <w:rPr>
          <w:rFonts w:ascii="Calibri" w:cs="Calibri" w:eastAsia="Calibri" w:hAnsi="Calibri"/>
          <w:b w:val="false"/>
          <w:bCs w:val="false"/>
          <w:i w:val="false"/>
          <w:iCs w:val="false"/>
          <w:color w:val="1C1C1E"/>
          <w:sz w:val="21"/>
          <w:szCs w:val="21"/>
        </w:rPr>
        <w:t xml:space="preserve">Mevcut görsel kimlik: koyu lacivert zemin (#071018) üzerine parlayan neon turkuaz vurgular (#35dce3), yazı çevresinde ışıltı efekti (text-shadow glow). Bu, bir "teknoloji paneli / SaaS dashboard" dili — parlak, dijital, soğuk. İstediğin "gerçek bir genel müdür odası" hissi ise tam tersini gerektiriyor: ahşap, deri, koyu nötr, sıcak metal.</w:t>
      </w:r>
    </w:p>
    <w:p>
      <w:pPr>
        <w:spacing w:after="160" w:line="300"/>
      </w:pPr>
      <w:r>
        <w:rPr>
          <w:rFonts w:ascii="Calibri" w:cs="Calibri" w:eastAsia="Calibri" w:hAnsi="Calibri"/>
          <w:b w:val="false"/>
          <w:bCs w:val="false"/>
          <w:i w:val="false"/>
          <w:iCs w:val="false"/>
          <w:color w:val="1C1C1E"/>
          <w:sz w:val="21"/>
          <w:szCs w:val="21"/>
        </w:rPr>
        <w:t xml:space="preserve">En çarpıcı nokta: bu çelişkiyi senin kendi yüklediğin METRIX_Etkileşim.docx zaten fark etmiş ve yazılı olarak reddetmiş. Belge açıkça "gerçek parlak altın yerine koyu ortamla uyumlu sıcak platin tonu kullanılır" diyor ve ana renk felsefesini şöyle tarif ediyor: "koyu nötr temel korunur... normal durumda nötr platin." Yani sen zaten doğru görsel yönü tarif etmişsin — kod ise şu an ondan farklı, daha teknoloji-vitrini bir dile gitmiş.</w:t>
      </w:r>
    </w:p>
    <w:p>
      <w:pPr>
        <w:spacing w:after="200"/>
      </w:pPr>
      <w:r>
        <w:rPr>
          <w:rFonts w:ascii="Calibri" w:cs="Calibri" w:eastAsia="Calibri" w:hAnsi="Calibri"/>
          <w:b/>
          <w:bCs/>
          <w:color w:val="1C1C1E"/>
          <w:sz w:val="21"/>
          <w:szCs w:val="21"/>
        </w:rPr>
        <w:t xml:space="preserve">Kanaat: </w:t>
      </w:r>
      <w:r>
        <w:rPr>
          <w:rFonts w:ascii="Calibri" w:cs="Calibri" w:eastAsia="Calibri" w:hAnsi="Calibri"/>
          <w:b/>
          <w:bCs/>
          <w:color w:val="9A7B2E"/>
          <w:sz w:val="21"/>
          <w:szCs w:val="21"/>
        </w:rPr>
        <w:t xml:space="preserve">Yapı doğru, dil yanlış.</w:t>
      </w:r>
      <w:r>
        <w:rPr>
          <w:rFonts w:ascii="Calibri" w:cs="Calibri" w:eastAsia="Calibri" w:hAnsi="Calibri"/>
          <w:i/>
          <w:iCs/>
          <w:color w:val="5B5F63"/>
          <w:sz w:val="21"/>
          <w:szCs w:val="21"/>
        </w:rPr>
        <w:t xml:space="preserve">  —  Faz 2'de önereceğim UI spesifikasyonu; iskeleti değiştirmeyecek, yalnız renk/ışık/malzeme dilini neon turkuazdan sıcak platin-antrasite çevirecek — bu senin kendi docx'ünle zaten tutarlı bir yön.</w:t>
      </w:r>
    </w:p>
    <w:p>
      <w:pPr>
        <w:pStyle w:val="Heading1"/>
        <w:pBdr>
          <w:bottom w:val="single" w:color="8A6D3B" w:sz="8" w:space="4"/>
        </w:pBdr>
        <w:spacing w:after="200" w:before="480"/>
      </w:pPr>
      <w:r>
        <w:rPr>
          <w:rFonts w:ascii="Georgia" w:cs="Georgia" w:eastAsia="Georgia" w:hAnsi="Georgia"/>
          <w:b/>
          <w:bCs/>
          <w:color w:val="1C1C1E"/>
          <w:sz w:val="30"/>
          <w:szCs w:val="30"/>
        </w:rPr>
        <w:t xml:space="preserve">9. Sonuç ve Sıradaki Fazlar</w:t>
      </w:r>
    </w:p>
    <w:p>
      <w:pPr>
        <w:pStyle w:val="Heading2"/>
        <w:spacing w:after="140" w:before="320"/>
      </w:pPr>
      <w:r>
        <w:rPr>
          <w:rFonts w:ascii="Georgia" w:cs="Georgia" w:eastAsia="Georgia" w:hAnsi="Georgia"/>
          <w:b/>
          <w:bCs/>
          <w:color w:val="2C2A24"/>
          <w:sz w:val="24"/>
          <w:szCs w:val="24"/>
        </w:rPr>
        <w:t xml:space="preserve">9.1 Rolün kabulü</w:t>
      </w:r>
    </w:p>
    <w:p>
      <w:pPr>
        <w:spacing w:after="160" w:line="300"/>
      </w:pPr>
      <w:r>
        <w:rPr>
          <w:rFonts w:ascii="Calibri" w:cs="Calibri" w:eastAsia="Calibri" w:hAnsi="Calibri"/>
          <w:b w:val="false"/>
          <w:bCs w:val="false"/>
          <w:i w:val="false"/>
          <w:iCs w:val="false"/>
          <w:color w:val="1C1C1E"/>
          <w:sz w:val="21"/>
          <w:szCs w:val="21"/>
        </w:rPr>
        <w:t xml:space="preserve">Evet — bu proje için ürün direktörü ve yazılım mühendisi rolünü üstleniyorum. Pratik karşılığı şu: büyük mimari kararları senden onay almadan ilerletmeyeceğim, her fazı bağımsız ve geri alınabilir tutacağım, küçük yama biriktirmek yerine büyük resme hizmet eden adımlar önereceğim — tam olarak istediğin çalışma biçimi.</w:t>
      </w:r>
    </w:p>
    <w:p>
      <w:pPr>
        <w:pStyle w:val="Heading2"/>
        <w:spacing w:after="140" w:before="320"/>
      </w:pPr>
      <w:r>
        <w:rPr>
          <w:rFonts w:ascii="Georgia" w:cs="Georgia" w:eastAsia="Georgia" w:hAnsi="Georgia"/>
          <w:b/>
          <w:bCs/>
          <w:color w:val="2C2A24"/>
          <w:sz w:val="24"/>
          <w:szCs w:val="24"/>
        </w:rPr>
        <w:t xml:space="preserve">9.2 Bu raporun kurucu mimari kontrolü</w:t>
      </w:r>
    </w:p>
    <w:p>
      <w:pPr>
        <w:spacing w:after="160" w:line="300"/>
      </w:pPr>
      <w:r>
        <w:rPr>
          <w:rFonts w:ascii="Calibri" w:cs="Calibri" w:eastAsia="Calibri" w:hAnsi="Calibri"/>
          <w:b w:val="false"/>
          <w:bCs w:val="false"/>
          <w:i w:val="false"/>
          <w:iCs w:val="false"/>
          <w:color w:val="1C1C1E"/>
          <w:sz w:val="21"/>
          <w:szCs w:val="21"/>
        </w:rPr>
        <w:t xml:space="preserve">Projenin kendi standardına göre (metrix-proje-anayasasi.md), her faz sonunda üç soruya "evet" verilmeli: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METRIX Anayasalarına uygun mu? Evet — bu rapor hiçbir kod değiştirmedi, yalnız mevcut anayasa ve kod arasındaki gerçek durumu belgeledi.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Gelecekte tüm sisteme yayılabilir mi? Evet — Bölüm 7'deki sadeleştirme adımları, tek bir domain'e değil tüm executive-* yığınına uygulanacak şekilde tasarlandı.</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Kurucu mimarinin kalıcı parçası mı? Evet — bu rapor bundan sonraki her fazın referans noktası olacak; geçici bir yama değil.</w:t>
      </w:r>
    </w:p>
    <w:p>
      <w:pPr>
        <w:pStyle w:val="Heading2"/>
        <w:spacing w:after="140" w:before="320"/>
      </w:pPr>
      <w:r>
        <w:rPr>
          <w:rFonts w:ascii="Georgia" w:cs="Georgia" w:eastAsia="Georgia" w:hAnsi="Georgia"/>
          <w:b/>
          <w:bCs/>
          <w:color w:val="2C2A24"/>
          <w:sz w:val="24"/>
          <w:szCs w:val="24"/>
        </w:rPr>
        <w:t xml:space="preserve">9.3 Onayını beklediğim sıradaki iki faz</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Faz 2 — UI/UX Spesifikasyonu: mevcut iskeleti korurken (Bölüm 8), neon turkuaz kimliğinden sıcak platin/antrasit "genel müdür odası" kimliğine geçişin tam spesifikasyonu — renk, tipografi, malzeme, ışık davranışı, dokuz imza etkileşimin hangilerinin bu fazda görsel olarak temellendirileceği.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Faz 3 — Codex Görev Metinleri: Bölüm 7'deki sadeleştirme adımlarının ve Bölüm 3'teki öncelikli tamamlama listesinin (Fatura SENT geçişi, Muhasebe, Raporlama arayüzü), her biri bağımsız fazlar halinde codex'e verilebilecek net görev metinleri — küçük yamalar değil, sınırları net çizilmiş büyük operasyonlar.</w:t>
      </w:r>
    </w:p>
    <w:p>
      <w:pPr>
        <w:spacing w:after="160" w:line="300"/>
      </w:pPr>
      <w:r>
        <w:rPr>
          <w:rFonts w:ascii="Calibri" w:cs="Calibri" w:eastAsia="Calibri" w:hAnsi="Calibri"/>
          <w:b w:val="false"/>
          <w:bCs w:val="false"/>
          <w:i/>
          <w:iCs/>
          <w:color w:val="1C1C1E"/>
          <w:sz w:val="21"/>
          <w:szCs w:val="21"/>
        </w:rPr>
        <w:t xml:space="preserve">Faz 2'ye geçmemi onaylarsan devam ediyorum.</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3"/>
        <w:sz w:val="15"/>
        <w:szCs w:val="15"/>
      </w:rPr>
      <w:t xml:space="preserve">5 Ağustos 2026 — gizli / iç kullanım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F63"/>
        <w:sz w:val="15"/>
        <w:szCs w:val="15"/>
      </w:rPr>
      <w:t xml:space="preserve">METRIX — Faz 1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2026-08-05T16:03:34.265Z</dcterms:created>
  <dcterms:modified xsi:type="dcterms:W3CDTF">2026-08-05T16:03:34.265Z</dcterms:modified>
</cp:coreProperties>
</file>

<file path=docProps/custom.xml><?xml version="1.0" encoding="utf-8"?>
<Properties xmlns="http://schemas.openxmlformats.org/officeDocument/2006/custom-properties" xmlns:vt="http://schemas.openxmlformats.org/officeDocument/2006/docPropsVTypes"/>
</file>