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</w:pPr>
      <w:r>
        <w:rPr>
          <w:rFonts w:ascii="Georgia" w:cs="Georgia" w:eastAsia="Georgia" w:hAnsi="Georgia"/>
          <w:b/>
          <w:bCs/>
          <w:color w:val="1C1C1E"/>
          <w:sz w:val="64"/>
          <w:szCs w:val="64"/>
        </w:rPr>
        <w:t xml:space="preserve">METRIX</w:t>
      </w:r>
    </w:p>
    <w:p>
      <w:pPr>
        <w:pBdr>
          <w:bottom w:val="single" w:color="8A6D3B" w:sz="12" w:space="8"/>
        </w:pBdr>
        <w:spacing w:after="400"/>
      </w:pPr>
      <w:r>
        <w:rPr>
          <w:rFonts w:ascii="Georgia" w:cs="Georgia" w:eastAsia="Georgia" w:hAnsi="Georgia"/>
          <w:i/>
          <w:iCs/>
          <w:color w:val="2C2A24"/>
          <w:sz w:val="30"/>
          <w:szCs w:val="30"/>
        </w:rPr>
        <w:t xml:space="preserve">Görsel Kimlik ve Etkileşim Spesifikasyonu</w:t>
      </w:r>
    </w:p>
    <w:p>
      <w:pPr>
        <w:spacing w:after="80" w:before="600"/>
      </w:pPr>
      <w:r>
        <w:rPr>
          <w:rFonts w:ascii="Calibri" w:cs="Calibri" w:eastAsia="Calibri" w:hAnsi="Calibri"/>
          <w:b/>
          <w:bCs/>
          <w:color w:val="1C1C1E"/>
          <w:sz w:val="24"/>
          <w:szCs w:val="24"/>
        </w:rPr>
        <w:t xml:space="preserve">Faz 2  ·  Sıcak Platin / Koyu Nötr Yeniden Giydirme</w:t>
      </w:r>
    </w:p>
    <w:p>
      <w:pPr>
        <w:spacing w:after="40"/>
      </w:pPr>
      <w:r>
        <w:rPr>
          <w:rFonts w:ascii="Calibri" w:cs="Calibri" w:eastAsia="Calibri" w:hAnsi="Calibri"/>
          <w:color w:val="5B5F63"/>
          <w:sz w:val="20"/>
          <w:szCs w:val="20"/>
        </w:rPr>
        <w:t xml:space="preserve">Hazırlayan: Claude — Ürün Direktörü / Yazılım Mühendisi rolünde</w:t>
      </w:r>
    </w:p>
    <w:p>
      <w:pPr>
        <w:spacing w:after="1000"/>
      </w:pPr>
      <w:r>
        <w:rPr>
          <w:rFonts w:ascii="Calibri" w:cs="Calibri" w:eastAsia="Calibri" w:hAnsi="Calibri"/>
          <w:i/>
          <w:iCs/>
          <w:color w:val="5B5F63"/>
          <w:sz w:val="18"/>
          <w:szCs w:val="18"/>
        </w:rPr>
        <w:t xml:space="preserve">Önkoşul: METRIX_Faz1_Analiz_Raporu.docx onaylandı. Bu belge yalnızca görsel dili ve etkileşim önceliklerini değiştirir; mevcut sayfa iskeletini (Faz 1, Bölüm 8) korur.</w:t>
      </w:r>
    </w:p>
    <w:p>
      <w:r>
        <w:br w:type="page"/>
      </w:r>
    </w:p>
    <w:p>
      <w:pPr>
        <w:pStyle w:val="Heading1"/>
        <w:pBdr>
          <w:bottom w:val="single" w:color="8A6D3B" w:sz="8" w:space="4"/>
        </w:pBdr>
        <w:spacing w:after="200" w:before="480"/>
      </w:pPr>
      <w:r>
        <w:rPr>
          <w:rFonts w:ascii="Georgia" w:cs="Georgia" w:eastAsia="Georgia" w:hAnsi="Georgia"/>
          <w:b/>
          <w:bCs/>
          <w:color w:val="1C1C1E"/>
          <w:sz w:val="30"/>
          <w:szCs w:val="30"/>
        </w:rPr>
        <w:t xml:space="preserve">0. Kapsam</w:t>
      </w:r>
    </w:p>
    <w:p>
      <w:pPr>
        <w:spacing w:after="160" w:line="300"/>
      </w:pPr>
      <w:r>
        <w:rPr>
          <w:rFonts w:ascii="Calibri" w:cs="Calibri" w:eastAsia="Calibri" w:hAnsi="Calibri"/>
          <w:color w:val="1C1C1E"/>
          <w:sz w:val="21"/>
          <w:szCs w:val="21"/>
        </w:rPr>
        <w:t xml:space="preserve">Bu faz bir restyle'dır, restructure değil. Faz 1'de doğrulandığı gibi (ExecutiveAppShell.tsx, MetrixChatTab.tsx), istediğin sayfa iskeleti — sol üstte geçmiş, orta üstte logo, sağ üstte ayarlar, altta dosya ekleme + yazı alanı + mikrofon + gönder — zaten doğru. Burada değişecek olan: renk, tipografi, malzeme, ışık davranışı ve mesaj sunumunun dili. Hiçbir bileşen taşınmıyor, yeniden adlandırılmıyor (bir istisna hariç, bkz. Bölüm 9) ya da yeniden konumlandırılmıyor.</w:t>
      </w:r>
    </w:p>
    <w:p>
      <w:pPr>
        <w:pStyle w:val="Heading1"/>
        <w:pBdr>
          <w:bottom w:val="single" w:color="8A6D3B" w:sz="8" w:space="4"/>
        </w:pBdr>
        <w:spacing w:after="200" w:before="480"/>
      </w:pPr>
      <w:r>
        <w:rPr>
          <w:rFonts w:ascii="Georgia" w:cs="Georgia" w:eastAsia="Georgia" w:hAnsi="Georgia"/>
          <w:b/>
          <w:bCs/>
          <w:color w:val="1C1C1E"/>
          <w:sz w:val="30"/>
          <w:szCs w:val="30"/>
        </w:rPr>
        <w:t xml:space="preserve">1. Tasarım Felsefesi</w:t>
      </w:r>
    </w:p>
    <w:p>
      <w:pPr>
        <w:spacing w:after="160" w:line="300"/>
      </w:pPr>
      <w:r>
        <w:rPr>
          <w:rFonts w:ascii="Calibri" w:cs="Calibri" w:eastAsia="Calibri" w:hAnsi="Calibri"/>
          <w:color w:val="1C1C1E"/>
          <w:sz w:val="21"/>
          <w:szCs w:val="21"/>
        </w:rPr>
        <w:t xml:space="preserve">Yüklediğin METRIX_Etkileşim.docx'ün kendi çerçevesi doğru ve bu spesifikasyonun temelini oluşturuyor: "METRIX'in premium hissi efekt yoğunluğundan değil; anlamlı davranış, tutarlı fizik, ölçülü sessizlik ve gerçek yönetim bağlamından doğar." Bunun pratik karşılığı: parlama (glow), gradyan, sıçrayan animasyon yok; ışık ve doku yalnızca gerçek bir duruma karşılık geldiğinde değişir.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C1C1E"/>
          <w:sz w:val="21"/>
          <w:szCs w:val="21"/>
        </w:rPr>
        <w:t xml:space="preserve">Kanaat: </w:t>
      </w:r>
      <w:r>
        <w:rPr>
          <w:rFonts w:ascii="Calibri" w:cs="Calibri" w:eastAsia="Calibri" w:hAnsi="Calibri"/>
          <w:b/>
          <w:bCs/>
          <w:color w:val="2C2A24"/>
          <w:sz w:val="21"/>
          <w:szCs w:val="21"/>
        </w:rPr>
        <w:t xml:space="preserve">Bu ilke doğru ve bu spesifikasyonun her kararını yönetiyor.</w:t>
      </w:r>
      <w:r>
        <w:rPr>
          <w:rFonts w:ascii="Calibri" w:cs="Calibri" w:eastAsia="Calibri" w:hAnsi="Calibri"/>
          <w:i/>
          <w:iCs/>
          <w:color w:val="5B5F63"/>
          <w:sz w:val="21"/>
          <w:szCs w:val="21"/>
        </w:rPr>
        <w:t xml:space="preserve"/>
      </w:r>
    </w:p>
    <w:p>
      <w:pPr>
        <w:pStyle w:val="Heading1"/>
        <w:pBdr>
          <w:bottom w:val="single" w:color="8A6D3B" w:sz="8" w:space="4"/>
        </w:pBdr>
        <w:spacing w:after="200" w:before="480"/>
      </w:pPr>
      <w:r>
        <w:rPr>
          <w:rFonts w:ascii="Georgia" w:cs="Georgia" w:eastAsia="Georgia" w:hAnsi="Georgia"/>
          <w:b/>
          <w:bCs/>
          <w:color w:val="1C1C1E"/>
          <w:sz w:val="30"/>
          <w:szCs w:val="30"/>
        </w:rPr>
        <w:t xml:space="preserve">2. Renk Sistemi</w:t>
      </w:r>
    </w:p>
    <w:p>
      <w:pPr>
        <w:spacing w:after="160" w:line="300"/>
      </w:pPr>
      <w:r>
        <w:rPr>
          <w:rFonts w:ascii="Calibri" w:cs="Calibri" w:eastAsia="Calibri" w:hAnsi="Calibri"/>
          <w:color w:val="1C1C1E"/>
          <w:sz w:val="21"/>
          <w:szCs w:val="21"/>
        </w:rPr>
        <w:t xml:space="preserve">Mevcut kimlik (koyu lacivert #071018 + neon turkuaz #35dce3, ışıltılı yazı) bir teknoloji panelinin diliydi. Aşağıdaki palet, aynı docx'ün kendi tarif ettiği "koyu nötr temel, sıcak platin" yönüne göre kuruldu.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000"/>
      </w:tblGrid>
      <w:tr>
        <w:trPr>
          <w:tblHeader/>
        </w:trPr>
        <w:tc>
          <w:tcPr>
            <w:tcW w:type="dxa" w:w="2600"/>
            <w:shd w:fill="1C1C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400"/>
            <w:shd w:fill="1C1C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Değer</w:t>
            </w:r>
          </w:p>
        </w:tc>
        <w:tc>
          <w:tcPr>
            <w:tcW w:type="dxa" w:w="5000"/>
            <w:shd w:fill="1C1C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Kullanım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1E"/>
                <w:sz w:val="18"/>
                <w:szCs w:val="18"/>
              </w:rPr>
              <w:t xml:space="preserve">Zemin (base)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#14120F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Ana sayfa arkaplanı — sıcak, çok koyu espresso/antrasit; lacivert değil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1E"/>
                <w:sz w:val="18"/>
                <w:szCs w:val="18"/>
              </w:rPr>
              <w:t xml:space="preserve">Yüzey (elevated)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#1C1914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Kart, workspace paneli, açılan çalışma yüzeyleri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1E"/>
                <w:sz w:val="18"/>
                <w:szCs w:val="18"/>
              </w:rPr>
              <w:t xml:space="preserve">Kenar çizgisi (hairline)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rgba(228,214,182,0.14)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0.5px kenarlıklar — parlama yerine ince çizgi ile ayrım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1E"/>
                <w:sz w:val="18"/>
                <w:szCs w:val="18"/>
              </w:rPr>
              <w:t xml:space="preserve">Birincil metin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#EDE7D9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Gövde metni, METRIX konuşması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1E"/>
                <w:sz w:val="18"/>
                <w:szCs w:val="18"/>
              </w:rPr>
              <w:t xml:space="preserve">İkincil / soluk metin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#7C7466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Zaman damgası, yer tutucu, ikincil etiket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1E"/>
                <w:sz w:val="18"/>
                <w:szCs w:val="18"/>
              </w:rPr>
              <w:t xml:space="preserve">Vurgu — nötr platin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#C9BFA8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Normal durum ikon ve çerçeve rengi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1E"/>
                <w:sz w:val="18"/>
                <w:szCs w:val="18"/>
              </w:rPr>
              <w:t xml:space="preserve">Vurgu — ferah platin (olumlu)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#DDD4BE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Şirket durumu olumlu/kontrollüyken ortam ışığı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1E"/>
                <w:sz w:val="18"/>
                <w:szCs w:val="18"/>
              </w:rPr>
              <w:t xml:space="preserve">Vurgu — kehribar (dikkat)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#B8874A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Düşük yoğunluklu dikkat durumu, gönder düğmesi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1E"/>
                <w:sz w:val="18"/>
                <w:szCs w:val="18"/>
              </w:rPr>
              <w:t xml:space="preserve">Vurgu — sıkı/soğuk (kritik)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#5B564C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Kritik durum — daha parlak değil, daha az doygun ve sıkı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1C1C1E"/>
          <w:sz w:val="21"/>
          <w:szCs w:val="21"/>
        </w:rPr>
        <w:t xml:space="preserve">Not: bu tablo değerleri gerçek renk kodları olarak yukarıdaki hücrelerde de gösteriliyor; ikinci sütundaki renk dolgusu doğrudan tasarımcı/geliştirici referansı olarak kullanılabilir.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C1C1E"/>
          <w:sz w:val="21"/>
          <w:szCs w:val="21"/>
        </w:rPr>
        <w:t xml:space="preserve">Kanaat: </w:t>
      </w:r>
      <w:r>
        <w:rPr>
          <w:rFonts w:ascii="Calibri" w:cs="Calibri" w:eastAsia="Calibri" w:hAnsi="Calibri"/>
          <w:b/>
          <w:bCs/>
          <w:color w:val="3F6B4A"/>
          <w:sz w:val="21"/>
          <w:szCs w:val="21"/>
        </w:rPr>
        <w:t xml:space="preserve">Neon turkuazdan sıcak platine geçiş, docx'ün kendi ilkesiyle birebir tutarlı.</w:t>
      </w:r>
      <w:r>
        <w:rPr>
          <w:rFonts w:ascii="Calibri" w:cs="Calibri" w:eastAsia="Calibri" w:hAnsi="Calibri"/>
          <w:i/>
          <w:iCs/>
          <w:color w:val="5B5F63"/>
          <w:sz w:val="21"/>
          <w:szCs w:val="21"/>
        </w:rPr>
        <w:t xml:space="preserve"/>
      </w:r>
    </w:p>
    <w:p>
      <w:pPr>
        <w:pStyle w:val="Heading1"/>
        <w:pBdr>
          <w:bottom w:val="single" w:color="8A6D3B" w:sz="8" w:space="4"/>
        </w:pBdr>
        <w:spacing w:after="200" w:before="480"/>
      </w:pPr>
      <w:r>
        <w:rPr>
          <w:rFonts w:ascii="Georgia" w:cs="Georgia" w:eastAsia="Georgia" w:hAnsi="Georgia"/>
          <w:b/>
          <w:bCs/>
          <w:color w:val="1C1C1E"/>
          <w:sz w:val="30"/>
          <w:szCs w:val="30"/>
        </w:rPr>
        <w:t xml:space="preserve">3. Tipografi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C1C1E"/>
          <w:sz w:val="21"/>
          <w:szCs w:val="21"/>
        </w:rPr>
        <w:t xml:space="preserve">METRIX'in konuştuğu her yerde (sohbet metni, kanaat cümleleri, brifing) bir serif yazı karakteri kullanılır — editoryal, insan sesi hissi verir, "Önce insan gibi konuşur, sonra yönetici gibi muhakeme eder" ilkesini (Executive Conversation Benchmark §4) görsel olarak destekler.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C1C1E"/>
          <w:sz w:val="21"/>
          <w:szCs w:val="21"/>
        </w:rPr>
        <w:t xml:space="preserve">Arayüz çerçevesi (başlıklar, düğmeler, etiketler, form alanları) sade bir sans-serif ile kalır — konuşan METRIX ile susan arayüz arasındaki fark, kullanıcının hangi anda kiminle muhatap olduğunu bilinçaltında hissettirir.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C1C1E"/>
          <w:sz w:val="21"/>
          <w:szCs w:val="21"/>
        </w:rPr>
        <w:t xml:space="preserve">Kullanıcının kendi mesajları sans-serif kalır; yalnız METRIX'in sesi serif — bu asimetri kimlik ayrımını güçlendirir.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C1C1E"/>
          <w:sz w:val="21"/>
          <w:szCs w:val="21"/>
        </w:rPr>
        <w:t xml:space="preserve">METRIX wordmark: geniş harf aralığı (tracking ~%32), küçük punto, ışıltı efekti yok — sessiz bir güven hissi, bağırmayan bir imza.</w:t>
      </w:r>
    </w:p>
    <w:p>
      <w:pPr>
        <w:pStyle w:val="Heading1"/>
        <w:pBdr>
          <w:bottom w:val="single" w:color="8A6D3B" w:sz="8" w:space="4"/>
        </w:pBdr>
        <w:spacing w:after="200" w:before="480"/>
      </w:pPr>
      <w:r>
        <w:rPr>
          <w:rFonts w:ascii="Georgia" w:cs="Georgia" w:eastAsia="Georgia" w:hAnsi="Georgia"/>
          <w:b/>
          <w:bCs/>
          <w:color w:val="1C1C1E"/>
          <w:sz w:val="30"/>
          <w:szCs w:val="30"/>
        </w:rPr>
        <w:t xml:space="preserve">4. Malzeme ve Yüzeyler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C1C1E"/>
          <w:sz w:val="21"/>
          <w:szCs w:val="21"/>
        </w:rPr>
        <w:t xml:space="preserve">Gradyan yok, parlama/glow yok, gölge yalnızca fonksiyonel odak halkaları için kullanılır.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C1C1E"/>
          <w:sz w:val="21"/>
          <w:szCs w:val="21"/>
        </w:rPr>
        <w:t xml:space="preserve">Yükseklik hiyerarşisi renkle değil, ince kenarlıkla ve çok az zemin tonu farkıyla kurulur (zemin #14120F → yüzey #1C1914 → tek adım).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C1C1E"/>
          <w:sz w:val="21"/>
          <w:szCs w:val="21"/>
        </w:rPr>
        <w:t xml:space="preserve">Köşe yarıçapı: küçük kontroller ve ikon düğmeleri tam yuvarlak (mevcut haliyle doğru); kartlar ve açılan çalışma yüzeyleri 12px.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C1C1E"/>
          <w:sz w:val="21"/>
          <w:szCs w:val="21"/>
        </w:rPr>
        <w:t xml:space="preserve">Kullanıcı balonu hafif dolgulu bir yüzey olarak kalabilir; METRIX'in konuşması balon değil, serbest akan editoryal metin olmalı — "chat + sağ panel hissini ortadan kaldırma" ilkesiyle (docx §2) uyumlu.</w:t>
      </w:r>
    </w:p>
    <w:p>
      <w:pPr>
        <w:pStyle w:val="Heading1"/>
        <w:pBdr>
          <w:bottom w:val="single" w:color="8A6D3B" w:sz="8" w:space="4"/>
        </w:pBdr>
        <w:spacing w:after="200" w:before="480"/>
      </w:pPr>
      <w:r>
        <w:rPr>
          <w:rFonts w:ascii="Georgia" w:cs="Georgia" w:eastAsia="Georgia" w:hAnsi="Georgia"/>
          <w:b/>
          <w:bCs/>
          <w:color w:val="1C1C1E"/>
          <w:sz w:val="30"/>
          <w:szCs w:val="30"/>
        </w:rPr>
        <w:t xml:space="preserve">5. Ortam Yansıması — State Eşlemesi</w:t>
      </w:r>
    </w:p>
    <w:p>
      <w:pPr>
        <w:spacing w:after="160" w:line="300"/>
      </w:pPr>
      <w:r>
        <w:rPr>
          <w:rFonts w:ascii="Calibri" w:cs="Calibri" w:eastAsia="Calibri" w:hAnsi="Calibri"/>
          <w:color w:val="1C1C1E"/>
          <w:sz w:val="21"/>
          <w:szCs w:val="21"/>
        </w:rPr>
        <w:t xml:space="preserve">Docx'ün kendi teknik sınırları burada aynen korunuyor: geçiş süresi 800–1400 ms, görsel fark yaklaşık %3–7 yoğunluk, kaynak gerçek assessment/risk state, mesaj başına yanıp sönme yok.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rPr>
          <w:tblHeader/>
        </w:trPr>
        <w:tc>
          <w:tcPr>
            <w:tcW w:type="dxa" w:w="2200"/>
            <w:shd w:fill="1C1C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  <w:tc>
          <w:tcPr>
            <w:tcW w:type="dxa" w:w="3200"/>
            <w:shd w:fill="1C1C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Renk</w:t>
            </w:r>
          </w:p>
        </w:tc>
        <w:tc>
          <w:tcPr>
            <w:tcW w:type="dxa" w:w="3600"/>
            <w:shd w:fill="1C1C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Tetikleyici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1E"/>
                <w:sz w:val="18"/>
                <w:szCs w:val="18"/>
              </w:rPr>
              <w:t xml:space="preserve">Nötr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#C9BFA8 (düşük yoğunluk)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Varsayılan — herhangi bir canonical risk/fırsat sinyali yokken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1E"/>
                <w:sz w:val="18"/>
                <w:szCs w:val="18"/>
              </w:rPr>
              <w:t xml:space="preserve">Olumlu / kontrollü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#DDD4BE (biraz daha ferah)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Executive Assessment'tan gelen olumlu, sürdürülebilir sinyal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1E"/>
                <w:sz w:val="18"/>
                <w:szCs w:val="18"/>
              </w:rPr>
              <w:t xml:space="preserve">Dikkat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#B8874A (düşük yoğunluk kehribar)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Gecikmiş tahsilat, riskli teklif, aksiyon bekleyen görev gibi gerçek durum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1E"/>
                <w:sz w:val="18"/>
                <w:szCs w:val="18"/>
              </w:rPr>
              <w:t xml:space="preserve">Kritik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#5B564C (soğuk, sıkı — parlak kırmızı değil)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Yüksek risk sınıfı canonical durum (bkz. action-runtime riskLevelBase HIGH)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1C1C1E"/>
          <w:sz w:val="21"/>
          <w:szCs w:val="21"/>
        </w:rPr>
        <w:t xml:space="preserve">Bu eşlemenin görsel token'ları bu fazda tanımlanıyor; gerçek zamanlı tetiklenmesi Executive Assessment/Cognitive Stack üretime alındığında devreye girecek (bkz. Bölüm 7).</w:t>
      </w:r>
    </w:p>
    <w:p>
      <w:r>
        <w:br w:type="page"/>
      </w:r>
    </w:p>
    <w:p>
      <w:pPr>
        <w:pStyle w:val="Heading1"/>
        <w:pBdr>
          <w:bottom w:val="single" w:color="8A6D3B" w:sz="8" w:space="4"/>
        </w:pBdr>
        <w:spacing w:after="200" w:before="480"/>
      </w:pPr>
      <w:r>
        <w:rPr>
          <w:rFonts w:ascii="Georgia" w:cs="Georgia" w:eastAsia="Georgia" w:hAnsi="Georgia"/>
          <w:b/>
          <w:bCs/>
          <w:color w:val="1C1C1E"/>
          <w:sz w:val="30"/>
          <w:szCs w:val="30"/>
        </w:rPr>
        <w:t xml:space="preserve">6. Bileşen Spesifikasyonları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2C2A24"/>
          <w:sz w:val="24"/>
          <w:szCs w:val="24"/>
        </w:rPr>
        <w:t xml:space="preserve">6.1 Üst çubuk</w:t>
      </w:r>
    </w:p>
    <w:p>
      <w:pPr>
        <w:spacing w:after="160" w:line="300"/>
      </w:pPr>
      <w:r>
        <w:rPr>
          <w:rFonts w:ascii="Calibri" w:cs="Calibri" w:eastAsia="Calibri" w:hAnsi="Calibri"/>
          <w:color w:val="1C1C1E"/>
          <w:sz w:val="21"/>
          <w:szCs w:val="21"/>
        </w:rPr>
        <w:t xml:space="preserve">Sol: geçmiş/günlük düğmesi — tam yuvarlak, 0.5px platin kenarlık, dolgu yok. Orta: METRIX wordmark, serif, geniş harf aralığı, ışıltısız. Sağ: ayarlar düğmesi — sol düğmeyle simetrik. Zemin: #14120F, alt kenarlıkla ayrım (rgba platin %10).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2C2A24"/>
          <w:sz w:val="24"/>
          <w:szCs w:val="24"/>
        </w:rPr>
        <w:t xml:space="preserve">6.2 Konuşma alanı</w:t>
      </w:r>
    </w:p>
    <w:p>
      <w:pPr>
        <w:spacing w:after="160" w:line="300"/>
      </w:pPr>
      <w:r>
        <w:rPr>
          <w:rFonts w:ascii="Calibri" w:cs="Calibri" w:eastAsia="Calibri" w:hAnsi="Calibri"/>
          <w:color w:val="1C1C1E"/>
          <w:sz w:val="21"/>
          <w:szCs w:val="21"/>
        </w:rPr>
        <w:t xml:space="preserve">Kullanıcı mesajları sağa hizalı, hafif dolgulu yüzey. METRIX'in konuşması sola hizalı, balonsuz, serif, editoryal satır aralığıyla (1.7). Bu iki dilin farkı, kimin konuştuğunu okumadan hissettirir.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2C2A24"/>
          <w:sz w:val="24"/>
          <w:szCs w:val="24"/>
        </w:rPr>
        <w:t xml:space="preserve">6.3 Çalışma yüzeyi kartı (Dosya Açılımı)</w:t>
      </w:r>
    </w:p>
    <w:p>
      <w:pPr>
        <w:spacing w:after="160" w:line="300"/>
      </w:pPr>
      <w:r>
        <w:rPr>
          <w:rFonts w:ascii="Calibri" w:cs="Calibri" w:eastAsia="Calibri" w:hAnsi="Calibri"/>
          <w:color w:val="1C1C1E"/>
          <w:sz w:val="21"/>
          <w:szCs w:val="21"/>
        </w:rPr>
        <w:t xml:space="preserve">Konuşmanın içinden doğar, yanından kaymaz (docx §2). Üstte küçük, harf aralıklı bir etiket ("TAHSİLAT — ATLAS İNŞAAT" gibi) durumun rengiyle boyanır; içerik satırı birincil metin renginde. Kenarlık, ilgili durumun rengiyle ince şekilde vurgulanır — kart arka planı her zaman nötr yüzey tonunda kalır, yalnız kenarlık ve etiket durumu taşır.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2C2A24"/>
          <w:sz w:val="24"/>
          <w:szCs w:val="24"/>
        </w:rPr>
        <w:t xml:space="preserve">6.4 Alt çubuk</w:t>
      </w:r>
    </w:p>
    <w:p>
      <w:pPr>
        <w:spacing w:after="160" w:line="300"/>
      </w:pPr>
      <w:r>
        <w:rPr>
          <w:rFonts w:ascii="Calibri" w:cs="Calibri" w:eastAsia="Calibri" w:hAnsi="Calibri"/>
          <w:color w:val="1C1C1E"/>
          <w:sz w:val="21"/>
          <w:szCs w:val="21"/>
        </w:rPr>
        <w:t xml:space="preserve">Sol: dosya ekleme düğmesi (tam yuvarlak, ince kenarlık). Orta: metin alanı, geniş yuvarlak köşe, yer tutucu soluk renkte ("METRIX'e yaz…"). Sağ: mikrofon düğmesi (ince kenarlık) ve gönder düğmesi — gönder düğmesi tek dolgulu eleman: kehribar vurgu rengiyle, düşük profilli, ekrandaki tek "aktif" nokta.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2C2A24"/>
          <w:sz w:val="24"/>
          <w:szCs w:val="24"/>
        </w:rPr>
        <w:t xml:space="preserve">6.5 Kenarda Bekleme şeridi</w:t>
      </w:r>
    </w:p>
    <w:p>
      <w:pPr>
        <w:spacing w:after="160" w:line="300"/>
      </w:pPr>
      <w:r>
        <w:rPr>
          <w:rFonts w:ascii="Calibri" w:cs="Calibri" w:eastAsia="Calibri" w:hAnsi="Calibri"/>
          <w:color w:val="1C1C1E"/>
          <w:sz w:val="21"/>
          <w:szCs w:val="21"/>
        </w:rPr>
        <w:t xml:space="preserve">Bekleyen onay/görev, çalışma yüzeyinin kenarında sakin bir çizgi olarak durur — modal değil, engelleyici değil. Docx'ün kendi sınırı: vurgu en fazla 6–8 saniyede bir, sürekli pulse yok.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2C2A24"/>
          <w:sz w:val="24"/>
          <w:szCs w:val="24"/>
        </w:rPr>
        <w:t xml:space="preserve">6.6 Executive Stroke onay bileşeni</w:t>
      </w:r>
    </w:p>
    <w:p>
      <w:pPr>
        <w:spacing w:after="160" w:line="300"/>
      </w:pPr>
      <w:r>
        <w:rPr>
          <w:rFonts w:ascii="Calibri" w:cs="Calibri" w:eastAsia="Calibri" w:hAnsi="Calibri"/>
          <w:color w:val="1C1C1E"/>
          <w:sz w:val="21"/>
          <w:szCs w:val="21"/>
        </w:rPr>
        <w:t xml:space="preserve">Yalnız action-runtime'da approvalPolicy=EXPLICIT olan yüksek riskli işlemlerde görünür (yüksek tutarlı ödeme, sözleşme resmileştirme, geri dönüşü zor silme). Tek yönlü, kesintisiz bir onay hareketi; klasik CRUD kaydetmede kullanılmaz. Klavye/erişilebilirlik için eşdeğer açık onay seçeneği zorunlu.</w:t>
      </w:r>
    </w:p>
    <w:p>
      <w:pPr>
        <w:pStyle w:val="Heading1"/>
        <w:pBdr>
          <w:bottom w:val="single" w:color="8A6D3B" w:sz="8" w:space="4"/>
        </w:pBdr>
        <w:spacing w:after="200" w:before="480"/>
      </w:pPr>
      <w:r>
        <w:rPr>
          <w:rFonts w:ascii="Georgia" w:cs="Georgia" w:eastAsia="Georgia" w:hAnsi="Georgia"/>
          <w:b/>
          <w:bCs/>
          <w:color w:val="1C1C1E"/>
          <w:sz w:val="30"/>
          <w:szCs w:val="30"/>
        </w:rPr>
        <w:t xml:space="preserve">7. Dokuz İmza Etkileşim — Bu Fazda Ne Yapılabilir</w:t>
      </w:r>
    </w:p>
    <w:p>
      <w:pPr>
        <w:spacing w:after="160" w:line="300"/>
      </w:pPr>
      <w:r>
        <w:rPr>
          <w:rFonts w:ascii="Calibri" w:cs="Calibri" w:eastAsia="Calibri" w:hAnsi="Calibri"/>
          <w:color w:val="1C1C1E"/>
          <w:sz w:val="21"/>
          <w:szCs w:val="21"/>
        </w:rPr>
        <w:t xml:space="preserve">METRIX_Etkileşim.docx kendisi bunun bir "çalışma notu, canonical belge değil" olduğunu söylüyor. Aşağıdaki tablo, her etkileşimi gerçek kod bağımlılığına göre sınıflandırıyor — hangileri bu fazda (yalnız görsel/UI) temellenebilir, hangileri Cognitive Stack'in üretime alınmasını (Faz 1 raporu, Bölüm 6) bekliyor.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00"/>
      </w:tblGrid>
      <w:tr>
        <w:trPr>
          <w:tblHeader/>
        </w:trPr>
        <w:tc>
          <w:tcPr>
            <w:tcW w:type="dxa" w:w="2000"/>
            <w:shd w:fill="1C1C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Etkileşim</w:t>
            </w:r>
          </w:p>
        </w:tc>
        <w:tc>
          <w:tcPr>
            <w:tcW w:type="dxa" w:w="2400"/>
            <w:shd w:fill="1C1C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  <w:tc>
          <w:tcPr>
            <w:tcW w:type="dxa" w:w="4600"/>
            <w:shd w:fill="1C1C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Gerekçe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1E"/>
                <w:sz w:val="18"/>
                <w:szCs w:val="18"/>
              </w:rPr>
              <w:t xml:space="preserve">Dosya Açılımı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Bu fazda hazır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Living Workspace zaten üretimde çalışıyor (BusinessSurfaceResolver, LivingWorkspaceHost); yalnız yeni malzeme diliyle giydirilecek.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1E"/>
                <w:sz w:val="18"/>
                <w:szCs w:val="18"/>
              </w:rPr>
              <w:t xml:space="preserve">Executive Stroke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Bu fazda hazır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Risk sınıflandırması zaten üretimde var (action-runtime PolicyEngine: riskLevelBase, approvalPolicy EXPLICIT/CONDITIONAL/NONE); yalnız onay jestinin arayüzü eksik.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1E"/>
                <w:sz w:val="18"/>
                <w:szCs w:val="18"/>
              </w:rPr>
              <w:t xml:space="preserve">Görevi Teslim Alma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Bu fazda hazır (ACCEPTED alanlar için)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Task/Tahsilat/Teklif/Fatura-oluşturma gibi üretimde çalışan alanlarda gerçek mutation sonucu var; yalnız kapanış görselinin dili eksik.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1E"/>
                <w:sz w:val="18"/>
                <w:szCs w:val="18"/>
              </w:rPr>
              <w:t xml:space="preserve">Kenarda Bekleme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Bu fazda kısmen hazır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Bekleyen onay/görev verisi var (notifications, action-runtime approval-store); sakin bekleme şeridi bu fazda tasarlanabilir.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1E"/>
                <w:sz w:val="18"/>
                <w:szCs w:val="18"/>
              </w:rPr>
              <w:t xml:space="preserve">Ortam Yansıması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Görsel token bu fazda, gerçek veri sonraki faz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State mapping (Bölüm 5) bu raporda tanımlanıyor; gerçek tetikleyici Executive Assessment/Cognitive Stack'in üretime alınmasını bekliyor.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1E"/>
                <w:sz w:val="18"/>
                <w:szCs w:val="18"/>
              </w:rPr>
              <w:t xml:space="preserve">Altın İplik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Kısmen temel var, tam örgü sonraki faz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domain-evidence servisi (kanıt kaydı) üretimde var; kanıt-zincirini görsel bağlarla sunan arayüz henüz tasarlanmadı, Cognitive Stack'in Intent/Decision katmanına bağlı.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1E"/>
                <w:sz w:val="18"/>
                <w:szCs w:val="18"/>
              </w:rPr>
              <w:t xml:space="preserve">Executive Pause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Sonraki faza ertelendi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Duraklama süresi 'karar ağırlığı' sinyaline dayanıyor; bu sinyal Decision Runtime'dan geliyor, o katman henüz kod değil (Faz 1 öncesi kilitli kaynak).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1E"/>
                <w:sz w:val="18"/>
                <w:szCs w:val="18"/>
              </w:rPr>
              <w:t xml:space="preserve">Sessiz Hazırlık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Sonraki faza ertelendi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Domain/entity güven skoruna dayalı arka plan hazırlığı; Cognitive Lifecycle katmanı olmadan güvenle tetiklenemez.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1E"/>
                <w:sz w:val="18"/>
                <w:szCs w:val="18"/>
              </w:rPr>
              <w:t xml:space="preserve">Verinin Ağırlığı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Sonraki faza ertelendi (dar kapsamda mümkün)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Gerçek KPI/bütçe eşiği gerekiyor; Hedef/KPI alanı KISMEN YAŞIYOR — yalnız hedef düzenleme ekranında dar kapsamlı bir pilot düşünülebilir, genel kullanım için erken.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/>
          <w:bCs/>
          <w:color w:val="1C1C1E"/>
          <w:sz w:val="21"/>
          <w:szCs w:val="21"/>
        </w:rPr>
        <w:t xml:space="preserve">Kanaat: </w:t>
      </w:r>
      <w:r>
        <w:rPr>
          <w:rFonts w:ascii="Calibri" w:cs="Calibri" w:eastAsia="Calibri" w:hAnsi="Calibri"/>
          <w:b/>
          <w:bCs/>
          <w:color w:val="9A7B2E"/>
          <w:sz w:val="21"/>
          <w:szCs w:val="21"/>
        </w:rPr>
        <w:t xml:space="preserve">Üç etkileşim bu fazda gerçekten inşa edilebilir; üçü kısmen; üçü Cognitive Stack'i bekliyor.</w:t>
      </w:r>
      <w:r>
        <w:rPr>
          <w:rFonts w:ascii="Calibri" w:cs="Calibri" w:eastAsia="Calibri" w:hAnsi="Calibri"/>
          <w:i/>
          <w:iCs/>
          <w:color w:val="5B5F63"/>
          <w:sz w:val="21"/>
          <w:szCs w:val="21"/>
        </w:rPr>
        <w:t xml:space="preserve">  —  bu ayrım Faz 3 görev metinlerinin kapsamını belirleyecek.</w:t>
      </w:r>
    </w:p>
    <w:p>
      <w:pPr>
        <w:pStyle w:val="Heading1"/>
        <w:pBdr>
          <w:bottom w:val="single" w:color="8A6D3B" w:sz="8" w:space="4"/>
        </w:pBdr>
        <w:spacing w:after="200" w:before="480"/>
      </w:pPr>
      <w:r>
        <w:rPr>
          <w:rFonts w:ascii="Georgia" w:cs="Georgia" w:eastAsia="Georgia" w:hAnsi="Georgia"/>
          <w:b/>
          <w:bCs/>
          <w:color w:val="1C1C1E"/>
          <w:sz w:val="30"/>
          <w:szCs w:val="30"/>
        </w:rPr>
        <w:t xml:space="preserve">8. Hareket ve Zamanlama İlkeleri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C1C1E"/>
          <w:sz w:val="21"/>
          <w:szCs w:val="21"/>
        </w:rPr>
        <w:t xml:space="preserve">Aynı turn içinde en fazla bir ana yüzey dönüşümü, bir çevresel değişim, bir haptic/akustik işaret (docx §3) — bu kural bu fazın tüm bileşenlerine aynen taşınıyor.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C1C1E"/>
          <w:sz w:val="21"/>
          <w:szCs w:val="21"/>
        </w:rPr>
        <w:t xml:space="preserve">Çalışma yüzeyi açılışı: 320–450 ms, sıçrama yok, aşırı perspektif yok.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C1C1E"/>
          <w:sz w:val="21"/>
          <w:szCs w:val="21"/>
        </w:rPr>
        <w:t xml:space="preserve">Ortam ışığı geçişi: 800–1400 ms, %3–7 yoğunluk farkı.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C1C1E"/>
          <w:sz w:val="21"/>
          <w:szCs w:val="21"/>
        </w:rPr>
        <w:t xml:space="preserve">Reduced Motion, klavye erişilebilirliği ve düşük donanım modu — canonical uygulama koşulu, opsiyonel değil.</w:t>
      </w:r>
    </w:p>
    <w:p>
      <w:pPr>
        <w:pStyle w:val="Heading1"/>
        <w:pBdr>
          <w:bottom w:val="single" w:color="8A6D3B" w:sz="8" w:space="4"/>
        </w:pBdr>
        <w:spacing w:after="200" w:before="480"/>
      </w:pPr>
      <w:r>
        <w:rPr>
          <w:rFonts w:ascii="Georgia" w:cs="Georgia" w:eastAsia="Georgia" w:hAnsi="Georgia"/>
          <w:b/>
          <w:bCs/>
          <w:color w:val="1C1C1E"/>
          <w:sz w:val="30"/>
          <w:szCs w:val="30"/>
        </w:rPr>
        <w:t xml:space="preserve">9. İsimlendirme Notu</w:t>
      </w:r>
    </w:p>
    <w:p>
      <w:pPr>
        <w:spacing w:after="160" w:line="300"/>
      </w:pPr>
      <w:r>
        <w:rPr>
          <w:rFonts w:ascii="Calibri" w:cs="Calibri" w:eastAsia="Calibri" w:hAnsi="Calibri"/>
          <w:color w:val="1C1C1E"/>
          <w:sz w:val="21"/>
          <w:szCs w:val="21"/>
        </w:rPr>
        <w:t xml:space="preserve">Sohbet Sayfası Anayasası (metrix-sohbet-anayasasi.md) açıkça şunu kilitliyor: "Sol menü sohbet listesi değil, Yönetim Günlüğü'dür." Senin isteğinde bu "geçmiş sohbetler listesi" olarak geçiyor — işlevsel olarak aynı düğme, ama etiket ve çerçeveleme farklı: bir sohbet arşivi değil, kararların ve işlerin günlüğü olarak sunulmalı (örn. "Bugün: Atlas tahsilatı, 3 görev" gibi özetlenmiş girişler, ham mesaj listesi değil). Bu fazda düğmenin yerini değiştirmiyorum, yalnız bu ismi ve içerik modelini Faz 3 görev metinlerine not düşüyorum — mevcut kanonla senin isteğin arasındaki tek gerçek çelişki bu.</w:t>
      </w:r>
    </w:p>
    <w:p>
      <w:pPr>
        <w:pStyle w:val="Heading1"/>
        <w:pBdr>
          <w:bottom w:val="single" w:color="8A6D3B" w:sz="8" w:space="4"/>
        </w:pBdr>
        <w:spacing w:after="200" w:before="480"/>
      </w:pPr>
      <w:r>
        <w:rPr>
          <w:rFonts w:ascii="Georgia" w:cs="Georgia" w:eastAsia="Georgia" w:hAnsi="Georgia"/>
          <w:b/>
          <w:bCs/>
          <w:color w:val="1C1C1E"/>
          <w:sz w:val="30"/>
          <w:szCs w:val="30"/>
        </w:rPr>
        <w:t xml:space="preserve">10. Sonuç ve Faz 3'e Geçiş</w:t>
      </w:r>
    </w:p>
    <w:p>
      <w:pPr>
        <w:spacing w:after="160" w:line="300"/>
      </w:pPr>
      <w:r>
        <w:rPr>
          <w:rFonts w:ascii="Calibri" w:cs="Calibri" w:eastAsia="Calibri" w:hAnsi="Calibri"/>
          <w:color w:val="1C1C1E"/>
          <w:sz w:val="21"/>
          <w:szCs w:val="21"/>
        </w:rPr>
        <w:t xml:space="preserve">Bu spesifikasyon, Faz 1'in mimari bulgularıyla tutarlı: hiçbir yeni katman önermiyor, yalnızca var olan iskeletin malzeme ve ışık dilini değiştiriyor; dokuz imza etkileşimi gerçek kod bağımlılığına göre önceliklendiriyor. Kurucu Mimari Kontrolü: (1) Anayasalara uygun mu — evet, docx'ün kendi renk/hareket ilkeleriyle birebir; (2) tüm sisteme yayılabilir mi — evet, token sistemi tek kaynaktan tüm bileşenlere akıyor; (3) kalıcı mı — evet, geçici bir yama değil.</w:t>
      </w:r>
    </w:p>
    <w:p>
      <w:pPr>
        <w:spacing w:after="160" w:line="300"/>
      </w:pPr>
      <w:r>
        <w:rPr>
          <w:rFonts w:ascii="Calibri" w:cs="Calibri" w:eastAsia="Calibri" w:hAnsi="Calibri"/>
          <w:color w:val="1C1C1E"/>
          <w:sz w:val="21"/>
          <w:szCs w:val="21"/>
        </w:rPr>
        <w:t xml:space="preserve">Onayını verirsen Faz 3'e geçiyorum: Bölüm 7'nin "bu fazda hazır" işaretli üç etkileşimi + Faz 1'in sadeleştirme planı + tamamlanmamış domain önceliklerini, her biri bağımsız codex görev metni olacak şekilde yazıyorum.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F63"/>
        <w:sz w:val="15"/>
        <w:szCs w:val="15"/>
      </w:rPr>
      <w:t xml:space="preserve">5 Ağustos 2026 — gizli / iç kullanım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5F63"/>
        <w:sz w:val="15"/>
        <w:szCs w:val="15"/>
      </w:rPr>
      <w:t xml:space="preserve">METRIX — Faz 2 Tasarım Spesifikasyonu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2026-08-05T16:34:46.333Z</dcterms:created>
  <dcterms:modified xsi:type="dcterms:W3CDTF">2026-08-05T16:34:46.333Z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