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F2A44"/>
          <w:sz w:val="64"/>
          <w:szCs w:val="64"/>
        </w:rPr>
        <w:t xml:space="preserve">METRIX</w:t>
      </w:r>
    </w:p>
    <w:p>
      <w:pPr>
        <w:spacing w:after="400"/>
        <w:jc w:val="center"/>
      </w:pPr>
      <w:r>
        <w:rPr>
          <w:b/>
          <w:bCs/>
          <w:color w:val="9A7B2E"/>
          <w:sz w:val="40"/>
          <w:szCs w:val="40"/>
        </w:rPr>
        <w:t xml:space="preserve">YOL HARİTASI</w:t>
      </w:r>
    </w:p>
    <w:p>
      <w:pPr>
        <w:spacing w:after="100"/>
        <w:jc w:val="center"/>
      </w:pPr>
      <w:r>
        <w:rPr>
          <w:i/>
          <w:iCs/>
          <w:color w:val="5B5F6B"/>
          <w:sz w:val="24"/>
          <w:szCs w:val="24"/>
        </w:rPr>
        <w:t xml:space="preserve">Röntgen Raporu Bulgularına Dayalı Öncelikli Aksiyon Planı</w:t>
      </w:r>
    </w:p>
    <w:p>
      <w:pPr>
        <w:spacing w:before="600"/>
        <w:jc w:val="center"/>
      </w:pPr>
      <w:r>
        <w:rPr>
          <w:color w:val="5B5F6B"/>
          <w:sz w:val="22"/>
          <w:szCs w:val="22"/>
        </w:rPr>
        <w:t xml:space="preserve">14 Ağustos 2026</w:t>
      </w:r>
    </w:p>
    <w:p>
      <w:pPr>
        <w:spacing w:before="40"/>
        <w:jc w:val="center"/>
      </w:pPr>
      <w:r>
        <w:rPr>
          <w:color w:val="5B5F6B"/>
          <w:sz w:val="18"/>
          <w:szCs w:val="18"/>
        </w:rPr>
        <w:t xml:space="preserve">Kaynak: METRIX_Rontgen_Raporu.docx (HEAD e0c8acf)</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b/>
          <w:bCs/>
          <w:color w:val="1F2A44"/>
          <w:sz w:val="30"/>
          <w:szCs w:val="30"/>
        </w:rPr>
        <w:t xml:space="preserve">Amaç ve Yaklaşım</w:t>
      </w:r>
    </w:p>
    <w:p>
      <w:pPr>
        <w:spacing w:after="120"/>
      </w:pPr>
      <w:r>
        <w:rPr>
          <w:sz w:val="21"/>
          <w:szCs w:val="21"/>
        </w:rPr>
        <w:t xml:space="preserve">Röntgen raporundaki bulgular, sistemin sorunsuz ve hızlı çalışmasını hedefleyen, öncelik sıralı ve yalın bir yol haritasına dönüştürüldü. Her madde şu üç soruyla test edildi: (1) Var olan bir yapı yeniden mi kullanılıyor, yoksa yeni bir soyutlama mı ekleniyor? (2) Düzeltme kalıcı bir otomatik korumayla mı kapanıyor, yoksa yalnız bir kerelik yama mı? (3) Bu adım bir sonrakini gereksiz yere büyütüyor mu?</w:t>
      </w:r>
    </w:p>
    <w:p>
      <w:pPr>
        <w:spacing w:after="120"/>
      </w:pPr>
      <w:r>
        <w:rPr>
          <w:i/>
          <w:iCs/>
          <w:sz w:val="21"/>
          <w:szCs w:val="21"/>
        </w:rPr>
        <w:t xml:space="preserve">Yeni bilgi (bu turda doğrulandı): Vercel'in gerçek çalışma zamanı Node sürümü 24.x — röntgen raporunda "doğrulanmamış" işaretlenen Object.groupBy riski üretimde ŞU AN gerçekleşmiyor. Yine de package.json'a engines alanı eklenmesi öneriliyor; sebep üretim riski değil, yerel geliştirme/CI ortamının farklı bir Node sürümüyle sessizce farklı davranmasını önlemek.</w:t>
      </w:r>
    </w:p>
    <w:p>
      <w:pPr>
        <w:pStyle w:val="Heading1"/>
        <w:spacing w:after="200" w:before="400"/>
      </w:pPr>
      <w:r>
        <w:rPr>
          <w:b/>
          <w:bCs/>
          <w:color w:val="1F2A44"/>
          <w:sz w:val="30"/>
          <w:szCs w:val="30"/>
        </w:rPr>
        <w:t xml:space="preserve">Şişirmeyi Önleyen Mimari İlkeler</w:t>
      </w:r>
    </w:p>
    <w:p>
      <w:pPr>
        <w:spacing w:after="120"/>
      </w:pPr>
      <w:r>
        <w:rPr>
          <w:sz w:val="21"/>
          <w:szCs w:val="21"/>
        </w:rPr>
        <w:t xml:space="preserve">Aşağıdaki 5 ilke, bu yol haritasındaki HER adıma uygulanır — istek buydu, tekrar tekrar hatırlatılacak bir kural listesi değil, her fazın kabul kriteri:</w:t>
      </w:r>
    </w:p>
    <w:p>
      <w:pPr>
        <w:pStyle w:val="ListParagraph"/>
        <w:numPr>
          <w:ilvl w:val="0"/>
          <w:numId w:val="1"/>
        </w:numPr>
        <w:spacing w:after="80"/>
      </w:pPr>
      <w:r>
        <w:rPr>
          <w:sz w:val="21"/>
          <w:szCs w:val="21"/>
        </w:rPr>
        <w:t xml:space="preserve">Yeni soyutlama katmanı YOK. Var olan paterni genişlet: Müşteri domain'i düzeltilirken dispatchConversationNavigation kullanılacak (14 domain'de zaten kanıtlı), yeni bir navigasyon sistemi icat edilmeyecek.</w:t>
      </w:r>
    </w:p>
    <w:p>
      <w:pPr>
        <w:pStyle w:val="ListParagraph"/>
        <w:numPr>
          <w:ilvl w:val="0"/>
          <w:numId w:val="1"/>
        </w:numPr>
        <w:spacing w:after="80"/>
      </w:pPr>
      <w:r>
        <w:rPr>
          <w:sz w:val="21"/>
          <w:szCs w:val="21"/>
        </w:rPr>
        <w:t xml:space="preserve">Her düzeltme bir kalıcı guard (test/lint) ile kapanır, not veya yorum satırıyla değil. human-label-coverage.test.ts deseni genişletilecek, paralel bir ikinci test sistemi kurulmayacak.</w:t>
      </w:r>
    </w:p>
    <w:p>
      <w:pPr>
        <w:pStyle w:val="ListParagraph"/>
        <w:numPr>
          <w:ilvl w:val="0"/>
          <w:numId w:val="1"/>
        </w:numPr>
        <w:spacing w:after="80"/>
      </w:pPr>
      <w:r>
        <w:rPr>
          <w:sz w:val="21"/>
          <w:szCs w:val="21"/>
        </w:rPr>
        <w:t xml:space="preserve">Migration'lar yalnız additive. Şema değişikliği gerektiren hiçbir madde bu yol haritasında yok — hepsi mevcut model/servis üzerinde.</w:t>
      </w:r>
    </w:p>
    <w:p>
      <w:pPr>
        <w:pStyle w:val="ListParagraph"/>
        <w:numPr>
          <w:ilvl w:val="0"/>
          <w:numId w:val="1"/>
        </w:numPr>
        <w:spacing w:after="80"/>
      </w:pPr>
      <w:r>
        <w:rPr>
          <w:sz w:val="21"/>
          <w:szCs w:val="21"/>
        </w:rPr>
        <w:t xml:space="preserve">Mimari belirsizlik (örn. iki decision-engine) önce KARAR ile çözülür, sonra kodlanır. Belirsizken her iki dosyaya da paralel yama yapmak tam da "şişirme"nin kendisidir.</w:t>
      </w:r>
    </w:p>
    <w:p>
      <w:pPr>
        <w:pStyle w:val="ListParagraph"/>
        <w:numPr>
          <w:ilvl w:val="0"/>
          <w:numId w:val="1"/>
        </w:numPr>
        <w:spacing w:after="80"/>
      </w:pPr>
      <w:r>
        <w:rPr>
          <w:sz w:val="21"/>
          <w:szCs w:val="21"/>
        </w:rPr>
        <w:t xml:space="preserve">Her öncelik ayrı, küçük ve bağımsız commit'lenebilir olmalı — "hepsini birden" tek dev turunda yapılmayacak.</w:t>
      </w:r>
    </w:p>
    <w:p>
      <w:pPr>
        <w:pStyle w:val="Heading1"/>
        <w:spacing w:after="200" w:before="400"/>
      </w:pPr>
      <w:r>
        <w:rPr>
          <w:b/>
          <w:bCs/>
          <w:color w:val="1F2A44"/>
          <w:sz w:val="30"/>
          <w:szCs w:val="30"/>
        </w:rPr>
        <w:t xml:space="preserve">Öncelik Sıralı Yol Haritası</w:t>
      </w:r>
    </w:p>
    <w:p>
      <w:pPr>
        <w:spacing w:after="120"/>
      </w:pPr>
      <w:r>
        <w:rPr>
          <w:sz w:val="21"/>
          <w:szCs w:val="21"/>
        </w:rPr>
        <w:t xml:space="preserve">7 adım, sırayla. İlk 5 adım bağımsız kodlanabilir (kararı Murat'tan beklemez). Öncelik 3 istisnadır — bir mimari kararı netleştirir, kod yazmaz; bu yüzden Öncelik 4 ve 5'ten önce gelir (yanlış dosyaya efor harcamayı önler).</w:t>
      </w:r>
    </w:p>
    <w:p>
      <w:pPr>
        <w:shd w:fill="F2F1EC" w:color="auto" w:val="clear"/>
        <w:spacing w:after="100" w:before="280"/>
      </w:pPr>
      <w:r>
        <w:rPr>
          <w:b/>
          <w:bCs/>
          <w:color w:val="1F2A44"/>
          <w:sz w:val="24"/>
          <w:szCs w:val="24"/>
        </w:rPr>
        <w:t xml:space="preserve">ÖNCELİK 1 — Hijyen — Bedavaya Yakın, Bugün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200"/>
        <w:gridCol w:w="1626"/>
      </w:tblGrid>
      <w:tr>
        <w:trPr>
          <w:cantSplit/>
          <w:tblHeader/>
        </w:trPr>
        <w:tc>
          <w:tcPr>
            <w:tcW w:type="dxa" w:w="2800"/>
            <w:shd w:fill="1F2A44" w:color="auto" w:val="clear"/>
            <w:tcMar>
              <w:top w:type="dxa" w:w="60"/>
              <w:left w:type="dxa" w:w="90"/>
              <w:bottom w:type="dxa" w:w="60"/>
              <w:right w:type="dxa" w:w="90"/>
            </w:tcMar>
          </w:tcPr>
          <w:p>
            <w:pPr>
              <w:jc w:val="left"/>
            </w:pPr>
            <w:r>
              <w:rPr>
                <w:b/>
                <w:bCs/>
                <w:color w:val="FFFFFF"/>
                <w:sz w:val="18"/>
                <w:szCs w:val="18"/>
              </w:rPr>
              <w:t xml:space="preserve">Ne yapılacak</w:t>
            </w:r>
          </w:p>
        </w:tc>
        <w:tc>
          <w:tcPr>
            <w:tcW w:type="dxa" w:w="3400"/>
            <w:shd w:fill="1F2A44" w:color="auto" w:val="clear"/>
            <w:tcMar>
              <w:top w:type="dxa" w:w="60"/>
              <w:left w:type="dxa" w:w="90"/>
              <w:bottom w:type="dxa" w:w="60"/>
              <w:right w:type="dxa" w:w="90"/>
            </w:tcMar>
          </w:tcPr>
          <w:p>
            <w:pPr>
              <w:jc w:val="left"/>
            </w:pPr>
            <w:r>
              <w:rPr>
                <w:b/>
                <w:bCs/>
                <w:color w:val="FFFFFF"/>
                <w:sz w:val="18"/>
                <w:szCs w:val="18"/>
              </w:rPr>
              <w:t xml:space="preserve">Neden bu sırada</w:t>
            </w:r>
          </w:p>
        </w:tc>
        <w:tc>
          <w:tcPr>
            <w:tcW w:type="dxa" w:w="1200"/>
            <w:shd w:fill="1F2A44" w:color="auto" w:val="clear"/>
            <w:tcMar>
              <w:top w:type="dxa" w:w="60"/>
              <w:left w:type="dxa" w:w="90"/>
              <w:bottom w:type="dxa" w:w="60"/>
              <w:right w:type="dxa" w:w="90"/>
            </w:tcMar>
          </w:tcPr>
          <w:p>
            <w:pPr>
              <w:jc w:val="left"/>
            </w:pPr>
            <w:r>
              <w:rPr>
                <w:b/>
                <w:bCs/>
                <w:color w:val="FFFFFF"/>
                <w:sz w:val="18"/>
                <w:szCs w:val="18"/>
              </w:rPr>
              <w:t xml:space="preserve">Efor</w:t>
            </w:r>
          </w:p>
        </w:tc>
        <w:tc>
          <w:tcPr>
            <w:tcW w:type="dxa" w:w="1626"/>
            <w:shd w:fill="1F2A44" w:color="auto" w:val="clear"/>
            <w:tcMar>
              <w:top w:type="dxa" w:w="60"/>
              <w:left w:type="dxa" w:w="90"/>
              <w:bottom w:type="dxa" w:w="60"/>
              <w:right w:type="dxa" w:w="90"/>
            </w:tcMar>
          </w:tcPr>
          <w:p>
            <w:pPr>
              <w:jc w:val="left"/>
            </w:pPr>
            <w:r>
              <w:rPr>
                <w:b/>
                <w:bCs/>
                <w:color w:val="FFFFFF"/>
                <w:sz w:val="18"/>
                <w:szCs w:val="18"/>
              </w:rPr>
              <w:t xml:space="preserve">Risk / Etki</w:t>
            </w:r>
          </w:p>
        </w:tc>
      </w:tr>
      <w:tr>
        <w:trPr>
          <w:cantSplit/>
        </w:trPr>
        <w:tc>
          <w:tcPr>
            <w:tcW w:type="dxa" w:w="2800"/>
            <w:tcMar>
              <w:top w:type="dxa" w:w="60"/>
              <w:left w:type="dxa" w:w="90"/>
              <w:bottom w:type="dxa" w:w="60"/>
              <w:right w:type="dxa" w:w="90"/>
            </w:tcMar>
          </w:tcPr>
          <w:p>
            <w:pPr>
              <w:jc w:val="left"/>
            </w:pPr>
            <w:r>
              <w:rPr>
                <w:b w:val="null"/>
                <w:bCs w:val="null"/>
                <w:color w:val="111111"/>
                <w:sz w:val="17"/>
                <w:szCs w:val="17"/>
              </w:rPr>
              <w:t xml:space="preserve">package.json'a "engines": {"node": "&gt;=21"} ekle. 2 untracked anayasa belgesini (executive-cognitive-stack-v2.md, metrix-buyuk-resim-vizyon-v1.md) git'e commit et.</w:t>
            </w:r>
          </w:p>
        </w:tc>
        <w:tc>
          <w:tcPr>
            <w:tcW w:type="dxa" w:w="3400"/>
            <w:tcMar>
              <w:top w:type="dxa" w:w="60"/>
              <w:left w:type="dxa" w:w="90"/>
              <w:bottom w:type="dxa" w:w="60"/>
              <w:right w:type="dxa" w:w="90"/>
            </w:tcMar>
          </w:tcPr>
          <w:p>
            <w:pPr>
              <w:jc w:val="left"/>
            </w:pPr>
            <w:r>
              <w:rPr>
                <w:b w:val="false"/>
                <w:bCs w:val="false"/>
                <w:color w:val="111111"/>
                <w:sz w:val="17"/>
                <w:szCs w:val="17"/>
              </w:rPr>
              <w:t xml:space="preserve">Sıfır risk, sıfıra yakın efor, sırası önemsiz — hemen kapatılabilir, sonraki adımları beklemesine gerek yok.</w:t>
            </w:r>
          </w:p>
        </w:tc>
        <w:tc>
          <w:tcPr>
            <w:tcW w:type="dxa" w:w="1200"/>
            <w:tcMar>
              <w:top w:type="dxa" w:w="60"/>
              <w:left w:type="dxa" w:w="90"/>
              <w:bottom w:type="dxa" w:w="60"/>
              <w:right w:type="dxa" w:w="90"/>
            </w:tcMar>
          </w:tcPr>
          <w:p>
            <w:pPr>
              <w:jc w:val="left"/>
            </w:pPr>
            <w:r>
              <w:rPr>
                <w:b w:val="false"/>
                <w:bCs w:val="false"/>
                <w:color w:val="111111"/>
                <w:sz w:val="17"/>
                <w:szCs w:val="17"/>
              </w:rPr>
              <w:t xml:space="preserve">~15 dk</w:t>
            </w:r>
          </w:p>
        </w:tc>
        <w:tc>
          <w:tcPr>
            <w:tcW w:type="dxa" w:w="1626"/>
            <w:tcMar>
              <w:top w:type="dxa" w:w="60"/>
              <w:left w:type="dxa" w:w="90"/>
              <w:bottom w:type="dxa" w:w="60"/>
              <w:right w:type="dxa" w:w="90"/>
            </w:tcMar>
          </w:tcPr>
          <w:p>
            <w:pPr>
              <w:jc w:val="left"/>
            </w:pPr>
            <w:r>
              <w:rPr>
                <w:b w:val="false"/>
                <w:bCs w:val="false"/>
                <w:color w:val="111111"/>
                <w:sz w:val="17"/>
                <w:szCs w:val="17"/>
              </w:rPr>
              <w:t xml:space="preserve">Düşük / Düşük</w:t>
            </w:r>
          </w:p>
        </w:tc>
      </w:tr>
    </w:tbl>
    <w:p>
      <w:pPr>
        <w:spacing w:after="120"/>
      </w:pPr>
      <w:r>
        <w:rPr>
          <w:sz w:val="20"/>
          <w:szCs w:val="20"/>
        </w:rPr>
        <w:t xml:space="preserve">İki madde birbirinden bağımsız, aynı küçük commit'te toplanabilir. Kod mantığı değişmiyor, yalnız yapılandırma ve versiyon kontrolü hijyeni.</w:t>
      </w:r>
    </w:p>
    <w:p>
      <w:pPr>
        <w:shd w:fill="F2F1EC" w:color="auto" w:val="clear"/>
        <w:spacing w:after="100" w:before="280"/>
      </w:pPr>
      <w:r>
        <w:rPr>
          <w:b/>
          <w:bCs/>
          <w:color w:val="1F2A44"/>
          <w:sz w:val="24"/>
          <w:szCs w:val="24"/>
        </w:rPr>
        <w:t xml:space="preserve">ÖNCELİK 2 — Tek-Otorite Kapatma — Müşteri Domain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200"/>
        <w:gridCol w:w="1626"/>
      </w:tblGrid>
      <w:tr>
        <w:trPr>
          <w:cantSplit/>
          <w:tblHeader/>
        </w:trPr>
        <w:tc>
          <w:tcPr>
            <w:tcW w:type="dxa" w:w="2800"/>
            <w:shd w:fill="1F2A44" w:color="auto" w:val="clear"/>
            <w:tcMar>
              <w:top w:type="dxa" w:w="60"/>
              <w:left w:type="dxa" w:w="90"/>
              <w:bottom w:type="dxa" w:w="60"/>
              <w:right w:type="dxa" w:w="90"/>
            </w:tcMar>
          </w:tcPr>
          <w:p>
            <w:pPr>
              <w:jc w:val="left"/>
            </w:pPr>
            <w:r>
              <w:rPr>
                <w:b/>
                <w:bCs/>
                <w:color w:val="FFFFFF"/>
                <w:sz w:val="18"/>
                <w:szCs w:val="18"/>
              </w:rPr>
              <w:t xml:space="preserve">Ne yapılacak</w:t>
            </w:r>
          </w:p>
        </w:tc>
        <w:tc>
          <w:tcPr>
            <w:tcW w:type="dxa" w:w="3400"/>
            <w:shd w:fill="1F2A44" w:color="auto" w:val="clear"/>
            <w:tcMar>
              <w:top w:type="dxa" w:w="60"/>
              <w:left w:type="dxa" w:w="90"/>
              <w:bottom w:type="dxa" w:w="60"/>
              <w:right w:type="dxa" w:w="90"/>
            </w:tcMar>
          </w:tcPr>
          <w:p>
            <w:pPr>
              <w:jc w:val="left"/>
            </w:pPr>
            <w:r>
              <w:rPr>
                <w:b/>
                <w:bCs/>
                <w:color w:val="FFFFFF"/>
                <w:sz w:val="18"/>
                <w:szCs w:val="18"/>
              </w:rPr>
              <w:t xml:space="preserve">Neden bu sırada</w:t>
            </w:r>
          </w:p>
        </w:tc>
        <w:tc>
          <w:tcPr>
            <w:tcW w:type="dxa" w:w="1200"/>
            <w:shd w:fill="1F2A44" w:color="auto" w:val="clear"/>
            <w:tcMar>
              <w:top w:type="dxa" w:w="60"/>
              <w:left w:type="dxa" w:w="90"/>
              <w:bottom w:type="dxa" w:w="60"/>
              <w:right w:type="dxa" w:w="90"/>
            </w:tcMar>
          </w:tcPr>
          <w:p>
            <w:pPr>
              <w:jc w:val="left"/>
            </w:pPr>
            <w:r>
              <w:rPr>
                <w:b/>
                <w:bCs/>
                <w:color w:val="FFFFFF"/>
                <w:sz w:val="18"/>
                <w:szCs w:val="18"/>
              </w:rPr>
              <w:t xml:space="preserve">Efor</w:t>
            </w:r>
          </w:p>
        </w:tc>
        <w:tc>
          <w:tcPr>
            <w:tcW w:type="dxa" w:w="1626"/>
            <w:shd w:fill="1F2A44" w:color="auto" w:val="clear"/>
            <w:tcMar>
              <w:top w:type="dxa" w:w="60"/>
              <w:left w:type="dxa" w:w="90"/>
              <w:bottom w:type="dxa" w:w="60"/>
              <w:right w:type="dxa" w:w="90"/>
            </w:tcMar>
          </w:tcPr>
          <w:p>
            <w:pPr>
              <w:jc w:val="left"/>
            </w:pPr>
            <w:r>
              <w:rPr>
                <w:b/>
                <w:bCs/>
                <w:color w:val="FFFFFF"/>
                <w:sz w:val="18"/>
                <w:szCs w:val="18"/>
              </w:rPr>
              <w:t xml:space="preserve">Risk / Etki</w:t>
            </w:r>
          </w:p>
        </w:tc>
      </w:tr>
      <w:tr>
        <w:trPr>
          <w:cantSplit/>
        </w:trPr>
        <w:tc>
          <w:tcPr>
            <w:tcW w:type="dxa" w:w="2800"/>
            <w:tcMar>
              <w:top w:type="dxa" w:w="60"/>
              <w:left w:type="dxa" w:w="90"/>
              <w:bottom w:type="dxa" w:w="60"/>
              <w:right w:type="dxa" w:w="90"/>
            </w:tcMar>
          </w:tcPr>
          <w:p>
            <w:pPr>
              <w:jc w:val="left"/>
            </w:pPr>
            <w:r>
              <w:rPr>
                <w:b w:val="null"/>
                <w:bCs w:val="null"/>
                <w:color w:val="111111"/>
                <w:sz w:val="17"/>
                <w:szCs w:val="17"/>
              </w:rPr>
              <w:t xml:space="preserve">customer-management-conversation-extension.ts:29 ve customer-attachment-conversation-coordinator.ts:48/49/57/60'taki 4 window.location.assign çağrısını, diğer 14 domain'in kullandığı dispatchConversationNavigation/workspace-directive paternine taşı. shell.contract.test.ts'e window.location.assign yasağını da ekle.</w:t>
            </w:r>
          </w:p>
        </w:tc>
        <w:tc>
          <w:tcPr>
            <w:tcW w:type="dxa" w:w="3400"/>
            <w:tcMar>
              <w:top w:type="dxa" w:w="60"/>
              <w:left w:type="dxa" w:w="90"/>
              <w:bottom w:type="dxa" w:w="60"/>
              <w:right w:type="dxa" w:w="90"/>
            </w:tcMar>
          </w:tcPr>
          <w:p>
            <w:pPr>
              <w:jc w:val="left"/>
            </w:pPr>
            <w:r>
              <w:rPr>
                <w:b w:val="false"/>
                <w:bCs w:val="false"/>
                <w:color w:val="111111"/>
                <w:sz w:val="17"/>
                <w:szCs w:val="17"/>
              </w:rPr>
              <w:t xml:space="preserve">Röntgen raporunun en somut, en yüksek mimari etkili bulgusu: tek-yüzey ilkesinin son canlı ihlali. Çözüm yeni kod icat etmiyor, kanıtlanmış bir paterni tekrar kullanıyor — düşük risk, yüksek etki.</w:t>
            </w:r>
          </w:p>
        </w:tc>
        <w:tc>
          <w:tcPr>
            <w:tcW w:type="dxa" w:w="1200"/>
            <w:tcMar>
              <w:top w:type="dxa" w:w="60"/>
              <w:left w:type="dxa" w:w="90"/>
              <w:bottom w:type="dxa" w:w="60"/>
              <w:right w:type="dxa" w:w="90"/>
            </w:tcMar>
          </w:tcPr>
          <w:p>
            <w:pPr>
              <w:jc w:val="left"/>
            </w:pPr>
            <w:r>
              <w:rPr>
                <w:b w:val="false"/>
                <w:bCs w:val="false"/>
                <w:color w:val="111111"/>
                <w:sz w:val="17"/>
                <w:szCs w:val="17"/>
              </w:rPr>
              <w:t xml:space="preserve">Küçük (1 domain, ~4 çağrı noktası)</w:t>
            </w:r>
          </w:p>
        </w:tc>
        <w:tc>
          <w:tcPr>
            <w:tcW w:type="dxa" w:w="1626"/>
            <w:tcMar>
              <w:top w:type="dxa" w:w="60"/>
              <w:left w:type="dxa" w:w="90"/>
              <w:bottom w:type="dxa" w:w="60"/>
              <w:right w:type="dxa" w:w="90"/>
            </w:tcMar>
          </w:tcPr>
          <w:p>
            <w:pPr>
              <w:jc w:val="left"/>
            </w:pPr>
            <w:r>
              <w:rPr>
                <w:b w:val="false"/>
                <w:bCs w:val="false"/>
                <w:color w:val="111111"/>
                <w:sz w:val="17"/>
                <w:szCs w:val="17"/>
              </w:rPr>
              <w:t xml:space="preserve">Düşük risk / Yüksek mimari etki</w:t>
            </w:r>
          </w:p>
        </w:tc>
      </w:tr>
    </w:tbl>
    <w:p>
      <w:pPr>
        <w:spacing w:after="120"/>
      </w:pPr>
      <w:r>
        <w:rPr>
          <w:sz w:val="20"/>
          <w:szCs w:val="20"/>
        </w:rPr>
        <w:t xml:space="preserve">Bu madde bilinçli olarak listenin başına alındı çünkü hem küçük hem de mevcut testin kör noktasını kapatıyor — bir daha sessizce geri gelemez hale gelir.</w:t>
      </w:r>
    </w:p>
    <w:p>
      <w:pPr>
        <w:shd w:fill="F2F1EC" w:color="auto" w:val="clear"/>
        <w:spacing w:after="100" w:before="280"/>
      </w:pPr>
      <w:r>
        <w:rPr>
          <w:b/>
          <w:bCs/>
          <w:color w:val="1F2A44"/>
          <w:sz w:val="24"/>
          <w:szCs w:val="24"/>
        </w:rPr>
        <w:t xml:space="preserve">ÖNCELİK 3 — Mimari Karar — Hangi Decision Engine Canonical?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200"/>
        <w:gridCol w:w="1626"/>
      </w:tblGrid>
      <w:tr>
        <w:trPr>
          <w:cantSplit/>
          <w:tblHeader/>
        </w:trPr>
        <w:tc>
          <w:tcPr>
            <w:tcW w:type="dxa" w:w="2800"/>
            <w:shd w:fill="1F2A44" w:color="auto" w:val="clear"/>
            <w:tcMar>
              <w:top w:type="dxa" w:w="60"/>
              <w:left w:type="dxa" w:w="90"/>
              <w:bottom w:type="dxa" w:w="60"/>
              <w:right w:type="dxa" w:w="90"/>
            </w:tcMar>
          </w:tcPr>
          <w:p>
            <w:pPr>
              <w:jc w:val="left"/>
            </w:pPr>
            <w:r>
              <w:rPr>
                <w:b/>
                <w:bCs/>
                <w:color w:val="FFFFFF"/>
                <w:sz w:val="18"/>
                <w:szCs w:val="18"/>
              </w:rPr>
              <w:t xml:space="preserve">Ne yapılacak</w:t>
            </w:r>
          </w:p>
        </w:tc>
        <w:tc>
          <w:tcPr>
            <w:tcW w:type="dxa" w:w="3400"/>
            <w:shd w:fill="1F2A44" w:color="auto" w:val="clear"/>
            <w:tcMar>
              <w:top w:type="dxa" w:w="60"/>
              <w:left w:type="dxa" w:w="90"/>
              <w:bottom w:type="dxa" w:w="60"/>
              <w:right w:type="dxa" w:w="90"/>
            </w:tcMar>
          </w:tcPr>
          <w:p>
            <w:pPr>
              <w:jc w:val="left"/>
            </w:pPr>
            <w:r>
              <w:rPr>
                <w:b/>
                <w:bCs/>
                <w:color w:val="FFFFFF"/>
                <w:sz w:val="18"/>
                <w:szCs w:val="18"/>
              </w:rPr>
              <w:t xml:space="preserve">Neden bu sırada</w:t>
            </w:r>
          </w:p>
        </w:tc>
        <w:tc>
          <w:tcPr>
            <w:tcW w:type="dxa" w:w="1200"/>
            <w:shd w:fill="1F2A44" w:color="auto" w:val="clear"/>
            <w:tcMar>
              <w:top w:type="dxa" w:w="60"/>
              <w:left w:type="dxa" w:w="90"/>
              <w:bottom w:type="dxa" w:w="60"/>
              <w:right w:type="dxa" w:w="90"/>
            </w:tcMar>
          </w:tcPr>
          <w:p>
            <w:pPr>
              <w:jc w:val="left"/>
            </w:pPr>
            <w:r>
              <w:rPr>
                <w:b/>
                <w:bCs/>
                <w:color w:val="FFFFFF"/>
                <w:sz w:val="18"/>
                <w:szCs w:val="18"/>
              </w:rPr>
              <w:t xml:space="preserve">Efor</w:t>
            </w:r>
          </w:p>
        </w:tc>
        <w:tc>
          <w:tcPr>
            <w:tcW w:type="dxa" w:w="1626"/>
            <w:shd w:fill="1F2A44" w:color="auto" w:val="clear"/>
            <w:tcMar>
              <w:top w:type="dxa" w:w="60"/>
              <w:left w:type="dxa" w:w="90"/>
              <w:bottom w:type="dxa" w:w="60"/>
              <w:right w:type="dxa" w:w="90"/>
            </w:tcMar>
          </w:tcPr>
          <w:p>
            <w:pPr>
              <w:jc w:val="left"/>
            </w:pPr>
            <w:r>
              <w:rPr>
                <w:b/>
                <w:bCs/>
                <w:color w:val="FFFFFF"/>
                <w:sz w:val="18"/>
                <w:szCs w:val="18"/>
              </w:rPr>
              <w:t xml:space="preserve">Risk / Etki</w:t>
            </w:r>
          </w:p>
        </w:tc>
      </w:tr>
      <w:tr>
        <w:trPr>
          <w:cantSplit/>
        </w:trPr>
        <w:tc>
          <w:tcPr>
            <w:tcW w:type="dxa" w:w="2800"/>
            <w:tcMar>
              <w:top w:type="dxa" w:w="60"/>
              <w:left w:type="dxa" w:w="90"/>
              <w:bottom w:type="dxa" w:w="60"/>
              <w:right w:type="dxa" w:w="90"/>
            </w:tcMar>
          </w:tcPr>
          <w:p>
            <w:pPr>
              <w:jc w:val="left"/>
            </w:pPr>
            <w:r>
              <w:rPr>
                <w:b w:val="null"/>
                <w:bCs w:val="null"/>
                <w:color w:val="111111"/>
                <w:sz w:val="17"/>
                <w:szCs w:val="17"/>
              </w:rPr>
              <w:t xml:space="preserve">executive-brain/executive-decision-engine.service.ts (test yok) ile executive-decision-engine/executive-decision-engine.service.ts (test var) karşılaştırılıp hangisinin gerçek/birincil karar motoru olduğuna karar verilir; diğeri ya kaldırılır ya da birleştirilir. Bu bir kod turu değil, bir karar turu.</w:t>
            </w:r>
          </w:p>
        </w:tc>
        <w:tc>
          <w:tcPr>
            <w:tcW w:type="dxa" w:w="3400"/>
            <w:tcMar>
              <w:top w:type="dxa" w:w="60"/>
              <w:left w:type="dxa" w:w="90"/>
              <w:bottom w:type="dxa" w:w="60"/>
              <w:right w:type="dxa" w:w="90"/>
            </w:tcMar>
          </w:tcPr>
          <w:p>
            <w:pPr>
              <w:jc w:val="left"/>
            </w:pPr>
            <w:r>
              <w:rPr>
                <w:b w:val="false"/>
                <w:bCs w:val="false"/>
                <w:color w:val="111111"/>
                <w:sz w:val="17"/>
                <w:szCs w:val="17"/>
              </w:rPr>
              <w:t xml:space="preserve">Öncelik 5'teki Türkçe metin düzeltmesi bu iki dosyaya da dokunacak. Karar verilmeden düzeltme yapılırsa, muhtemelen kaldırılacak bir dosyaya efor harcanmış olur — tam olarak önlenmek istenen şişirme riski.</w:t>
            </w:r>
          </w:p>
        </w:tc>
        <w:tc>
          <w:tcPr>
            <w:tcW w:type="dxa" w:w="1200"/>
            <w:tcMar>
              <w:top w:type="dxa" w:w="60"/>
              <w:left w:type="dxa" w:w="90"/>
              <w:bottom w:type="dxa" w:w="60"/>
              <w:right w:type="dxa" w:w="90"/>
            </w:tcMar>
          </w:tcPr>
          <w:p>
            <w:pPr>
              <w:jc w:val="left"/>
            </w:pPr>
            <w:r>
              <w:rPr>
                <w:b w:val="false"/>
                <w:bCs w:val="false"/>
                <w:color w:val="111111"/>
                <w:sz w:val="17"/>
                <w:szCs w:val="17"/>
              </w:rPr>
              <w:t xml:space="preserve">Küçük (karar + olası birleştirme)</w:t>
            </w:r>
          </w:p>
        </w:tc>
        <w:tc>
          <w:tcPr>
            <w:tcW w:type="dxa" w:w="1626"/>
            <w:tcMar>
              <w:top w:type="dxa" w:w="60"/>
              <w:left w:type="dxa" w:w="90"/>
              <w:bottom w:type="dxa" w:w="60"/>
              <w:right w:type="dxa" w:w="90"/>
            </w:tcMar>
          </w:tcPr>
          <w:p>
            <w:pPr>
              <w:jc w:val="left"/>
            </w:pPr>
            <w:r>
              <w:rPr>
                <w:b w:val="false"/>
                <w:bCs w:val="false"/>
                <w:color w:val="111111"/>
                <w:sz w:val="17"/>
                <w:szCs w:val="17"/>
              </w:rPr>
              <w:t xml:space="preserve">Düşük risk / Orta etki (gelecekteki yanlış-dosya müdahalesini önler)</w:t>
            </w:r>
          </w:p>
        </w:tc>
      </w:tr>
    </w:tbl>
    <w:p>
      <w:pPr>
        <w:spacing w:after="120"/>
      </w:pPr>
      <w:r>
        <w:rPr>
          <w:sz w:val="20"/>
          <w:szCs w:val="20"/>
        </w:rPr>
        <w:t xml:space="preserve">Öneri: executive-decision-engine/ klasöründeki (test'li olan) canonical kabul edilsin, executive-brain/ altındaki ya bu motora yönlendiren ince bir adapter'a indirgensin ya da kaldırılsın. Nihai karar için kısa bir kod karşılaştırması gerekebilir.</w:t>
      </w:r>
    </w:p>
    <w:p>
      <w:pPr>
        <w:shd w:fill="F2F1EC" w:color="auto" w:val="clear"/>
        <w:spacing w:after="100" w:before="280"/>
      </w:pPr>
      <w:r>
        <w:rPr>
          <w:b/>
          <w:bCs/>
          <w:color w:val="1F2A44"/>
          <w:sz w:val="24"/>
          <w:szCs w:val="24"/>
        </w:rPr>
        <w:t xml:space="preserve">ÖNCELİK 4 — Sessiz Fallback Temizliği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200"/>
        <w:gridCol w:w="1626"/>
      </w:tblGrid>
      <w:tr>
        <w:trPr>
          <w:cantSplit/>
          <w:tblHeader/>
        </w:trPr>
        <w:tc>
          <w:tcPr>
            <w:tcW w:type="dxa" w:w="2800"/>
            <w:shd w:fill="1F2A44" w:color="auto" w:val="clear"/>
            <w:tcMar>
              <w:top w:type="dxa" w:w="60"/>
              <w:left w:type="dxa" w:w="90"/>
              <w:bottom w:type="dxa" w:w="60"/>
              <w:right w:type="dxa" w:w="90"/>
            </w:tcMar>
          </w:tcPr>
          <w:p>
            <w:pPr>
              <w:jc w:val="left"/>
            </w:pPr>
            <w:r>
              <w:rPr>
                <w:b/>
                <w:bCs/>
                <w:color w:val="FFFFFF"/>
                <w:sz w:val="18"/>
                <w:szCs w:val="18"/>
              </w:rPr>
              <w:t xml:space="preserve">Ne yapılacak</w:t>
            </w:r>
          </w:p>
        </w:tc>
        <w:tc>
          <w:tcPr>
            <w:tcW w:type="dxa" w:w="3400"/>
            <w:shd w:fill="1F2A44" w:color="auto" w:val="clear"/>
            <w:tcMar>
              <w:top w:type="dxa" w:w="60"/>
              <w:left w:type="dxa" w:w="90"/>
              <w:bottom w:type="dxa" w:w="60"/>
              <w:right w:type="dxa" w:w="90"/>
            </w:tcMar>
          </w:tcPr>
          <w:p>
            <w:pPr>
              <w:jc w:val="left"/>
            </w:pPr>
            <w:r>
              <w:rPr>
                <w:b/>
                <w:bCs/>
                <w:color w:val="FFFFFF"/>
                <w:sz w:val="18"/>
                <w:szCs w:val="18"/>
              </w:rPr>
              <w:t xml:space="preserve">Neden bu sırada</w:t>
            </w:r>
          </w:p>
        </w:tc>
        <w:tc>
          <w:tcPr>
            <w:tcW w:type="dxa" w:w="1200"/>
            <w:shd w:fill="1F2A44" w:color="auto" w:val="clear"/>
            <w:tcMar>
              <w:top w:type="dxa" w:w="60"/>
              <w:left w:type="dxa" w:w="90"/>
              <w:bottom w:type="dxa" w:w="60"/>
              <w:right w:type="dxa" w:w="90"/>
            </w:tcMar>
          </w:tcPr>
          <w:p>
            <w:pPr>
              <w:jc w:val="left"/>
            </w:pPr>
            <w:r>
              <w:rPr>
                <w:b/>
                <w:bCs/>
                <w:color w:val="FFFFFF"/>
                <w:sz w:val="18"/>
                <w:szCs w:val="18"/>
              </w:rPr>
              <w:t xml:space="preserve">Efor</w:t>
            </w:r>
          </w:p>
        </w:tc>
        <w:tc>
          <w:tcPr>
            <w:tcW w:type="dxa" w:w="1626"/>
            <w:shd w:fill="1F2A44" w:color="auto" w:val="clear"/>
            <w:tcMar>
              <w:top w:type="dxa" w:w="60"/>
              <w:left w:type="dxa" w:w="90"/>
              <w:bottom w:type="dxa" w:w="60"/>
              <w:right w:type="dxa" w:w="90"/>
            </w:tcMar>
          </w:tcPr>
          <w:p>
            <w:pPr>
              <w:jc w:val="left"/>
            </w:pPr>
            <w:r>
              <w:rPr>
                <w:b/>
                <w:bCs/>
                <w:color w:val="FFFFFF"/>
                <w:sz w:val="18"/>
                <w:szCs w:val="18"/>
              </w:rPr>
              <w:t xml:space="preserve">Risk / Etki</w:t>
            </w:r>
          </w:p>
        </w:tc>
      </w:tr>
      <w:tr>
        <w:trPr>
          <w:cantSplit/>
        </w:trPr>
        <w:tc>
          <w:tcPr>
            <w:tcW w:type="dxa" w:w="2800"/>
            <w:tcMar>
              <w:top w:type="dxa" w:w="60"/>
              <w:left w:type="dxa" w:w="90"/>
              <w:bottom w:type="dxa" w:w="60"/>
              <w:right w:type="dxa" w:w="90"/>
            </w:tcMar>
          </w:tcPr>
          <w:p>
            <w:pPr>
              <w:jc w:val="left"/>
            </w:pPr>
            <w:r>
              <w:rPr>
                <w:b w:val="null"/>
                <w:bCs w:val="null"/>
                <w:color w:val="111111"/>
                <w:sz w:val="17"/>
                <w:szCs w:val="17"/>
              </w:rPr>
              <w:t xml:space="preserve">Bu turda bulunan yeni sessiz .catch(() =&gt; undefined) noktaları (customer create attachment, LivingWorkspaceHost/CanonicalDomainSurface refresh, public offer view POST) route.ts:737'de zaten uygulanan degradedSignals paternine çevrilir.</w:t>
            </w:r>
          </w:p>
        </w:tc>
        <w:tc>
          <w:tcPr>
            <w:tcW w:type="dxa" w:w="3400"/>
            <w:tcMar>
              <w:top w:type="dxa" w:w="60"/>
              <w:left w:type="dxa" w:w="90"/>
              <w:bottom w:type="dxa" w:w="60"/>
              <w:right w:type="dxa" w:w="90"/>
            </w:tcMar>
          </w:tcPr>
          <w:p>
            <w:pPr>
              <w:jc w:val="left"/>
            </w:pPr>
            <w:r>
              <w:rPr>
                <w:b w:val="false"/>
                <w:bCs w:val="false"/>
                <w:color w:val="111111"/>
                <w:sz w:val="17"/>
                <w:szCs w:val="17"/>
              </w:rPr>
              <w:t xml:space="preserve">route.ts:737 için zaten kanıtlanmış bir çözüm var; yeni bir hata-yönetim sistemi kurmadan aynı paterni tekrarlamak yeterli. Küçük, düşük riskli, dağınık noktaları toplar.</w:t>
            </w:r>
          </w:p>
        </w:tc>
        <w:tc>
          <w:tcPr>
            <w:tcW w:type="dxa" w:w="1200"/>
            <w:tcMar>
              <w:top w:type="dxa" w:w="60"/>
              <w:left w:type="dxa" w:w="90"/>
              <w:bottom w:type="dxa" w:w="60"/>
              <w:right w:type="dxa" w:w="90"/>
            </w:tcMar>
          </w:tcPr>
          <w:p>
            <w:pPr>
              <w:jc w:val="left"/>
            </w:pPr>
            <w:r>
              <w:rPr>
                <w:b w:val="false"/>
                <w:bCs w:val="false"/>
                <w:color w:val="111111"/>
                <w:sz w:val="17"/>
                <w:szCs w:val="17"/>
              </w:rPr>
              <w:t xml:space="preserve">Küçük-Orta (4 dosya)</w:t>
            </w:r>
          </w:p>
        </w:tc>
        <w:tc>
          <w:tcPr>
            <w:tcW w:type="dxa" w:w="1626"/>
            <w:tcMar>
              <w:top w:type="dxa" w:w="60"/>
              <w:left w:type="dxa" w:w="90"/>
              <w:bottom w:type="dxa" w:w="60"/>
              <w:right w:type="dxa" w:w="90"/>
            </w:tcMar>
          </w:tcPr>
          <w:p>
            <w:pPr>
              <w:jc w:val="left"/>
            </w:pPr>
            <w:r>
              <w:rPr>
                <w:b w:val="false"/>
                <w:bCs w:val="false"/>
                <w:color w:val="111111"/>
                <w:sz w:val="17"/>
                <w:szCs w:val="17"/>
              </w:rPr>
              <w:t xml:space="preserve">Düşük risk / Orta etki</w:t>
            </w:r>
          </w:p>
        </w:tc>
      </w:tr>
    </w:tbl>
    <w:p>
      <w:pPr>
        <w:spacing w:after="120"/>
      </w:pPr>
      <w:r>
        <w:rPr>
          <w:sz w:val="20"/>
          <w:szCs w:val="20"/>
        </w:rPr>
        <w:t xml:space="preserve">business-candidate decision/promote route'larındaki .catch bu listenin dışında tutulabilir — spot-check'te yalnız ikincil audit-trace kaydını etkilediği doğrulandı, aciliyeti düşük.</w:t>
      </w:r>
    </w:p>
    <w:p>
      <w:pPr>
        <w:shd w:fill="F2F1EC" w:color="auto" w:val="clear"/>
        <w:spacing w:after="100" w:before="280"/>
      </w:pPr>
      <w:r>
        <w:rPr>
          <w:b/>
          <w:bCs/>
          <w:color w:val="1F2A44"/>
          <w:sz w:val="24"/>
          <w:szCs w:val="24"/>
        </w:rPr>
        <w:t xml:space="preserve">ÖNCELİK 5 — Bozuk Türkçe Metin — Sistemik Düzeltme + Guard Genişletme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200"/>
        <w:gridCol w:w="1626"/>
      </w:tblGrid>
      <w:tr>
        <w:trPr>
          <w:cantSplit/>
          <w:tblHeader/>
        </w:trPr>
        <w:tc>
          <w:tcPr>
            <w:tcW w:type="dxa" w:w="2800"/>
            <w:shd w:fill="1F2A44" w:color="auto" w:val="clear"/>
            <w:tcMar>
              <w:top w:type="dxa" w:w="60"/>
              <w:left w:type="dxa" w:w="90"/>
              <w:bottom w:type="dxa" w:w="60"/>
              <w:right w:type="dxa" w:w="90"/>
            </w:tcMar>
          </w:tcPr>
          <w:p>
            <w:pPr>
              <w:jc w:val="left"/>
            </w:pPr>
            <w:r>
              <w:rPr>
                <w:b/>
                <w:bCs/>
                <w:color w:val="FFFFFF"/>
                <w:sz w:val="18"/>
                <w:szCs w:val="18"/>
              </w:rPr>
              <w:t xml:space="preserve">Ne yapılacak</w:t>
            </w:r>
          </w:p>
        </w:tc>
        <w:tc>
          <w:tcPr>
            <w:tcW w:type="dxa" w:w="3400"/>
            <w:shd w:fill="1F2A44" w:color="auto" w:val="clear"/>
            <w:tcMar>
              <w:top w:type="dxa" w:w="60"/>
              <w:left w:type="dxa" w:w="90"/>
              <w:bottom w:type="dxa" w:w="60"/>
              <w:right w:type="dxa" w:w="90"/>
            </w:tcMar>
          </w:tcPr>
          <w:p>
            <w:pPr>
              <w:jc w:val="left"/>
            </w:pPr>
            <w:r>
              <w:rPr>
                <w:b/>
                <w:bCs/>
                <w:color w:val="FFFFFF"/>
                <w:sz w:val="18"/>
                <w:szCs w:val="18"/>
              </w:rPr>
              <w:t xml:space="preserve">Neden bu sırada</w:t>
            </w:r>
          </w:p>
        </w:tc>
        <w:tc>
          <w:tcPr>
            <w:tcW w:type="dxa" w:w="1200"/>
            <w:shd w:fill="1F2A44" w:color="auto" w:val="clear"/>
            <w:tcMar>
              <w:top w:type="dxa" w:w="60"/>
              <w:left w:type="dxa" w:w="90"/>
              <w:bottom w:type="dxa" w:w="60"/>
              <w:right w:type="dxa" w:w="90"/>
            </w:tcMar>
          </w:tcPr>
          <w:p>
            <w:pPr>
              <w:jc w:val="left"/>
            </w:pPr>
            <w:r>
              <w:rPr>
                <w:b/>
                <w:bCs/>
                <w:color w:val="FFFFFF"/>
                <w:sz w:val="18"/>
                <w:szCs w:val="18"/>
              </w:rPr>
              <w:t xml:space="preserve">Efor</w:t>
            </w:r>
          </w:p>
        </w:tc>
        <w:tc>
          <w:tcPr>
            <w:tcW w:type="dxa" w:w="1626"/>
            <w:shd w:fill="1F2A44" w:color="auto" w:val="clear"/>
            <w:tcMar>
              <w:top w:type="dxa" w:w="60"/>
              <w:left w:type="dxa" w:w="90"/>
              <w:bottom w:type="dxa" w:w="60"/>
              <w:right w:type="dxa" w:w="90"/>
            </w:tcMar>
          </w:tcPr>
          <w:p>
            <w:pPr>
              <w:jc w:val="left"/>
            </w:pPr>
            <w:r>
              <w:rPr>
                <w:b/>
                <w:bCs/>
                <w:color w:val="FFFFFF"/>
                <w:sz w:val="18"/>
                <w:szCs w:val="18"/>
              </w:rPr>
              <w:t xml:space="preserve">Risk / Etki</w:t>
            </w:r>
          </w:p>
        </w:tc>
      </w:tr>
      <w:tr>
        <w:trPr>
          <w:cantSplit/>
        </w:trPr>
        <w:tc>
          <w:tcPr>
            <w:tcW w:type="dxa" w:w="2800"/>
            <w:tcMar>
              <w:top w:type="dxa" w:w="60"/>
              <w:left w:type="dxa" w:w="90"/>
              <w:bottom w:type="dxa" w:w="60"/>
              <w:right w:type="dxa" w:w="90"/>
            </w:tcMar>
          </w:tcPr>
          <w:p>
            <w:pPr>
              <w:jc w:val="left"/>
            </w:pPr>
            <w:r>
              <w:rPr>
                <w:b w:val="null"/>
                <w:bCs w:val="null"/>
                <w:color w:val="111111"/>
                <w:sz w:val="17"/>
                <w:szCs w:val="17"/>
              </w:rPr>
              <w:t xml:space="preserve">Öncelik 3'teki karardan sonra: executive-constitution/*.constitution.ts, executive-reporting-engine.service.ts, executive-forecasting-engine.service.ts, executive-narrative-summary.service.ts, executive-scorecard-engine.service.ts, executive-awareness-engine.service.ts ve canonical decision-engine dosyasındaki metinler düzeltilir. human-label-coverage.test.ts deseni motor-içi serbest metne (statement/rationale/summary) genişletilir.</w:t>
            </w:r>
          </w:p>
        </w:tc>
        <w:tc>
          <w:tcPr>
            <w:tcW w:type="dxa" w:w="3400"/>
            <w:tcMar>
              <w:top w:type="dxa" w:w="60"/>
              <w:left w:type="dxa" w:w="90"/>
              <w:bottom w:type="dxa" w:w="60"/>
              <w:right w:type="dxa" w:w="90"/>
            </w:tcMar>
          </w:tcPr>
          <w:p>
            <w:pPr>
              <w:jc w:val="left"/>
            </w:pPr>
            <w:r>
              <w:rPr>
                <w:b w:val="false"/>
                <w:bCs w:val="false"/>
                <w:color w:val="111111"/>
                <w:sz w:val="17"/>
                <w:szCs w:val="17"/>
              </w:rPr>
              <w:t xml:space="preserve">En geniş kapsamlı madde, bu yüzden Öncelik 3'ün kararından sonra gelir — aksi halde silinecek dosyaya efor gider. Guard genişletmesi olmadan bu hastalık altıncı kez geri gelir.</w:t>
            </w:r>
          </w:p>
        </w:tc>
        <w:tc>
          <w:tcPr>
            <w:tcW w:type="dxa" w:w="1200"/>
            <w:tcMar>
              <w:top w:type="dxa" w:w="60"/>
              <w:left w:type="dxa" w:w="90"/>
              <w:bottom w:type="dxa" w:w="60"/>
              <w:right w:type="dxa" w:w="90"/>
            </w:tcMar>
          </w:tcPr>
          <w:p>
            <w:pPr>
              <w:jc w:val="left"/>
            </w:pPr>
            <w:r>
              <w:rPr>
                <w:b w:val="false"/>
                <w:bCs w:val="false"/>
                <w:color w:val="111111"/>
                <w:sz w:val="17"/>
                <w:szCs w:val="17"/>
              </w:rPr>
              <w:t xml:space="preserve">Orta-Büyük (~10-15 dosya + 1 test dosyası)</w:t>
            </w:r>
          </w:p>
        </w:tc>
        <w:tc>
          <w:tcPr>
            <w:tcW w:type="dxa" w:w="1626"/>
            <w:tcMar>
              <w:top w:type="dxa" w:w="60"/>
              <w:left w:type="dxa" w:w="90"/>
              <w:bottom w:type="dxa" w:w="60"/>
              <w:right w:type="dxa" w:w="90"/>
            </w:tcMar>
          </w:tcPr>
          <w:p>
            <w:pPr>
              <w:jc w:val="left"/>
            </w:pPr>
            <w:r>
              <w:rPr>
                <w:b w:val="false"/>
                <w:bCs w:val="false"/>
                <w:color w:val="111111"/>
                <w:sz w:val="17"/>
                <w:szCs w:val="17"/>
              </w:rPr>
              <w:t xml:space="preserve">Düşük risk (yalnız string değişimi) / Yüksek etki (AI'nın kendi karar ilkeleri dahil)</w:t>
            </w:r>
          </w:p>
        </w:tc>
      </w:tr>
    </w:tbl>
    <w:p>
      <w:pPr>
        <w:spacing w:after="120"/>
      </w:pPr>
      <w:r>
        <w:rPr>
          <w:sz w:val="20"/>
          <w:szCs w:val="20"/>
        </w:rPr>
        <w:t xml:space="preserve">Var olan test dosyasının GENİŞLETİLMESİ öneriliyor, yeni bir paralel Türkçe-doğrulama sistemi kurulması değil — tek bir kaynak of truth kalsın.</w:t>
      </w:r>
    </w:p>
    <w:p>
      <w:pPr>
        <w:shd w:fill="F2F1EC" w:color="auto" w:val="clear"/>
        <w:spacing w:after="100" w:before="280"/>
      </w:pPr>
      <w:r>
        <w:rPr>
          <w:b/>
          <w:bCs/>
          <w:color w:val="1F2A44"/>
          <w:sz w:val="24"/>
          <w:szCs w:val="24"/>
        </w:rPr>
        <w:t xml:space="preserve">ÖNCELİK 6 — Ortam Yansıması — Son Eksik İmza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200"/>
        <w:gridCol w:w="1626"/>
      </w:tblGrid>
      <w:tr>
        <w:trPr>
          <w:cantSplit/>
          <w:tblHeader/>
        </w:trPr>
        <w:tc>
          <w:tcPr>
            <w:tcW w:type="dxa" w:w="2800"/>
            <w:shd w:fill="1F2A44" w:color="auto" w:val="clear"/>
            <w:tcMar>
              <w:top w:type="dxa" w:w="60"/>
              <w:left w:type="dxa" w:w="90"/>
              <w:bottom w:type="dxa" w:w="60"/>
              <w:right w:type="dxa" w:w="90"/>
            </w:tcMar>
          </w:tcPr>
          <w:p>
            <w:pPr>
              <w:jc w:val="left"/>
            </w:pPr>
            <w:r>
              <w:rPr>
                <w:b/>
                <w:bCs/>
                <w:color w:val="FFFFFF"/>
                <w:sz w:val="18"/>
                <w:szCs w:val="18"/>
              </w:rPr>
              <w:t xml:space="preserve">Ne yapılacak</w:t>
            </w:r>
          </w:p>
        </w:tc>
        <w:tc>
          <w:tcPr>
            <w:tcW w:type="dxa" w:w="3400"/>
            <w:shd w:fill="1F2A44" w:color="auto" w:val="clear"/>
            <w:tcMar>
              <w:top w:type="dxa" w:w="60"/>
              <w:left w:type="dxa" w:w="90"/>
              <w:bottom w:type="dxa" w:w="60"/>
              <w:right w:type="dxa" w:w="90"/>
            </w:tcMar>
          </w:tcPr>
          <w:p>
            <w:pPr>
              <w:jc w:val="left"/>
            </w:pPr>
            <w:r>
              <w:rPr>
                <w:b/>
                <w:bCs/>
                <w:color w:val="FFFFFF"/>
                <w:sz w:val="18"/>
                <w:szCs w:val="18"/>
              </w:rPr>
              <w:t xml:space="preserve">Neden bu sırada</w:t>
            </w:r>
          </w:p>
        </w:tc>
        <w:tc>
          <w:tcPr>
            <w:tcW w:type="dxa" w:w="1200"/>
            <w:shd w:fill="1F2A44" w:color="auto" w:val="clear"/>
            <w:tcMar>
              <w:top w:type="dxa" w:w="60"/>
              <w:left w:type="dxa" w:w="90"/>
              <w:bottom w:type="dxa" w:w="60"/>
              <w:right w:type="dxa" w:w="90"/>
            </w:tcMar>
          </w:tcPr>
          <w:p>
            <w:pPr>
              <w:jc w:val="left"/>
            </w:pPr>
            <w:r>
              <w:rPr>
                <w:b/>
                <w:bCs/>
                <w:color w:val="FFFFFF"/>
                <w:sz w:val="18"/>
                <w:szCs w:val="18"/>
              </w:rPr>
              <w:t xml:space="preserve">Efor</w:t>
            </w:r>
          </w:p>
        </w:tc>
        <w:tc>
          <w:tcPr>
            <w:tcW w:type="dxa" w:w="1626"/>
            <w:shd w:fill="1F2A44" w:color="auto" w:val="clear"/>
            <w:tcMar>
              <w:top w:type="dxa" w:w="60"/>
              <w:left w:type="dxa" w:w="90"/>
              <w:bottom w:type="dxa" w:w="60"/>
              <w:right w:type="dxa" w:w="90"/>
            </w:tcMar>
          </w:tcPr>
          <w:p>
            <w:pPr>
              <w:jc w:val="left"/>
            </w:pPr>
            <w:r>
              <w:rPr>
                <w:b/>
                <w:bCs/>
                <w:color w:val="FFFFFF"/>
                <w:sz w:val="18"/>
                <w:szCs w:val="18"/>
              </w:rPr>
              <w:t xml:space="preserve">Risk / Etki</w:t>
            </w:r>
          </w:p>
        </w:tc>
      </w:tr>
      <w:tr>
        <w:trPr>
          <w:cantSplit/>
        </w:trPr>
        <w:tc>
          <w:tcPr>
            <w:tcW w:type="dxa" w:w="2800"/>
            <w:tcMar>
              <w:top w:type="dxa" w:w="60"/>
              <w:left w:type="dxa" w:w="90"/>
              <w:bottom w:type="dxa" w:w="60"/>
              <w:right w:type="dxa" w:w="90"/>
            </w:tcMar>
          </w:tcPr>
          <w:p>
            <w:pPr>
              <w:jc w:val="left"/>
            </w:pPr>
            <w:r>
              <w:rPr>
                <w:b w:val="null"/>
                <w:bCs w:val="null"/>
                <w:color w:val="111111"/>
                <w:sz w:val="17"/>
                <w:szCs w:val="17"/>
              </w:rPr>
              <w:t xml:space="preserve">9 imzadan hiç başlanmamış tek olan: gerçek Canonical Executive Assessment/risk state'inden çevresel ışık/aura mikro değişimi (800-1400ms geçiş, nötr platin → kehribar → soğuk). SignatureComponents.tsx deseniyle tutarlı, TEK merkezi bir yerden (ana chat/workspace kabuğu) enjekte edilir.</w:t>
            </w:r>
          </w:p>
        </w:tc>
        <w:tc>
          <w:tcPr>
            <w:tcW w:type="dxa" w:w="3400"/>
            <w:tcMar>
              <w:top w:type="dxa" w:w="60"/>
              <w:left w:type="dxa" w:w="90"/>
              <w:bottom w:type="dxa" w:w="60"/>
              <w:right w:type="dxa" w:w="90"/>
            </w:tcMar>
          </w:tcPr>
          <w:p>
            <w:pPr>
              <w:jc w:val="left"/>
            </w:pPr>
            <w:r>
              <w:rPr>
                <w:b w:val="false"/>
                <w:bCs w:val="false"/>
                <w:color w:val="111111"/>
                <w:sz w:val="17"/>
                <w:szCs w:val="17"/>
              </w:rPr>
              <w:t xml:space="preserve">Yeni özellik — önceki 5 öncelik tamamlanıp mimari zemin (tek-otorite, canonical motor, temiz metin) sağlamlaştıktan sonra en verimli şekilde inşa edilir.</w:t>
            </w:r>
          </w:p>
        </w:tc>
        <w:tc>
          <w:tcPr>
            <w:tcW w:type="dxa" w:w="1200"/>
            <w:tcMar>
              <w:top w:type="dxa" w:w="60"/>
              <w:left w:type="dxa" w:w="90"/>
              <w:bottom w:type="dxa" w:w="60"/>
              <w:right w:type="dxa" w:w="90"/>
            </w:tcMar>
          </w:tcPr>
          <w:p>
            <w:pPr>
              <w:jc w:val="left"/>
            </w:pPr>
            <w:r>
              <w:rPr>
                <w:b w:val="false"/>
                <w:bCs w:val="false"/>
                <w:color w:val="111111"/>
                <w:sz w:val="17"/>
                <w:szCs w:val="17"/>
              </w:rPr>
              <w:t xml:space="preserve">Orta (yeni UI katmanı, ama kaynak veri zaten var)</w:t>
            </w:r>
          </w:p>
        </w:tc>
        <w:tc>
          <w:tcPr>
            <w:tcW w:type="dxa" w:w="1626"/>
            <w:tcMar>
              <w:top w:type="dxa" w:w="60"/>
              <w:left w:type="dxa" w:w="90"/>
              <w:bottom w:type="dxa" w:w="60"/>
              <w:right w:type="dxa" w:w="90"/>
            </w:tcMar>
          </w:tcPr>
          <w:p>
            <w:pPr>
              <w:jc w:val="left"/>
            </w:pPr>
            <w:r>
              <w:rPr>
                <w:b w:val="false"/>
                <w:bCs w:val="false"/>
                <w:color w:val="111111"/>
                <w:sz w:val="17"/>
                <w:szCs w:val="17"/>
              </w:rPr>
              <w:t xml:space="preserve">Düşük risk / Orta-Yüksek etki (9 imzanın tamamlanması)</w:t>
            </w:r>
          </w:p>
        </w:tc>
      </w:tr>
    </w:tbl>
    <w:p>
      <w:pPr>
        <w:spacing w:after="120"/>
      </w:pPr>
      <w:r>
        <w:rPr>
          <w:sz w:val="20"/>
          <w:szCs w:val="20"/>
        </w:rPr>
        <w:t xml:space="preserve">Kritik kural: domain başına ayrı ayrı yazılmamalı — aksi halde Dosya Açılımı'nda görülen "tek domain'de kalma" hastalığı tekrarlanır. Tek enjeksiyon noktası şart.</w:t>
      </w:r>
    </w:p>
    <w:p>
      <w:pPr>
        <w:shd w:fill="F2F1EC" w:color="auto" w:val="clear"/>
        <w:spacing w:after="100" w:before="280"/>
      </w:pPr>
      <w:r>
        <w:rPr>
          <w:b/>
          <w:bCs/>
          <w:color w:val="8A5A00"/>
          <w:sz w:val="24"/>
          <w:szCs w:val="24"/>
        </w:rPr>
        <w:t xml:space="preserve">ÖNCELİK 7 — Yönetici Orkestrasyon / İletişim Motorları (BLOKE)</w:t>
      </w:r>
    </w:p>
    <w:p>
      <w:pPr>
        <w:spacing w:after="120"/>
      </w:pPr>
      <w:r>
        <w:rPr>
          <w:sz w:val="21"/>
          <w:szCs w:val="21"/>
        </w:rPr>
        <w:t xml:space="preserve">Bu madde sıralı akışın dışındadır — Domain Sözleşmesi'nin 4 Yönetici Motoru kavramı ile Cognitive Stack'in Decision/Orchestration Runtime katmanları arasındaki isim/kapsam çakışması hâlâ netleşmedi. Kodlama başlamadan önce bu mimari karar Murat'tan gelmeli. Öncelik 1-6 bu karardan bağımsız yürütülebilir, aynı anda beklemede kalabilir.</w:t>
      </w:r>
    </w:p>
    <w:p>
      <w:pPr>
        <w:pStyle w:val="Heading1"/>
        <w:spacing w:after="200" w:before="400"/>
      </w:pPr>
      <w:r>
        <w:rPr>
          <w:b/>
          <w:bCs/>
          <w:color w:val="1F2A44"/>
          <w:sz w:val="30"/>
          <w:szCs w:val="30"/>
        </w:rPr>
        <w:t xml:space="preserve">Nereden Başlayalım — Net Öneri</w:t>
      </w:r>
    </w:p>
    <w:p>
      <w:pPr>
        <w:spacing w:after="120"/>
      </w:pPr>
      <w:r>
        <w:rPr>
          <w:b/>
          <w:bCs/>
          <w:sz w:val="21"/>
          <w:szCs w:val="21"/>
        </w:rPr>
        <w:t xml:space="preserve">Öncelik 1 ve 2 ile başlanması öneriliyor: ikisi de küçük, düşük riskli, var olan yapıyı yeniden kullanıyor ve hemen kapatılabilir. Öncelik 3 (karar) hemen ardından, kod yazmadan önce netleştirilmeli. Onayınla birlikte bu ikisi için doğrudan uygulamaya geçebilirim; istersen Codex/Claude Code için ayrı görev metinleri de yazarım.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F6B"/>
        <w:sz w:val="15"/>
        <w:szCs w:val="15"/>
      </w:rPr>
      <w:t xml:space="preserve">Sayfa </w:t>
    </w:r>
    <w:r>
      <w:rPr>
        <w:color w:val="5B5F6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5F6B"/>
        <w:sz w:val="15"/>
        <w:szCs w:val="15"/>
      </w:rPr>
      <w:t xml:space="preserve">METRIX Yol Haritası — 14 Ağustos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2026-08-14T13:50:06.199Z</dcterms:created>
  <dcterms:modified xsi:type="dcterms:W3CDTF">2026-08-14T13:50:06.200Z</dcterms:modified>
</cp:coreProperties>
</file>

<file path=docProps/custom.xml><?xml version="1.0" encoding="utf-8"?>
<Properties xmlns="http://schemas.openxmlformats.org/officeDocument/2006/custom-properties" xmlns:vt="http://schemas.openxmlformats.org/officeDocument/2006/docPropsVTypes"/>
</file>