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jc w:val="left"/>
      </w:pPr>
      <w:r>
        <w:rPr>
          <w:b/>
          <w:color w:val="1F8A8A"/>
          <w:sz w:val="24"/>
        </w:rPr>
        <w:t>METRIX AI OS</w:t>
      </w:r>
    </w:p>
    <w:p>
      <w:pPr>
        <w:pStyle w:val="Title"/>
      </w:pPr>
      <w:r>
        <w:t>Şirketim Domain</w:t>
        <w:br/>
        <w:t>Kurucu Mimarisi 1.0</w:t>
      </w:r>
    </w:p>
    <w:p>
      <w:pPr>
        <w:pStyle w:val="Subtitle"/>
        <w:pBdr>
          <w:bottom w:val="single" w:sz="18" w:space="1" w:color="1F8A8A"/>
        </w:pBdr>
      </w:pPr>
      <w:r>
        <w:t>Company Operating System Foundation</w:t>
      </w:r>
    </w:p>
    <w:p>
      <w:pPr>
        <w:spacing w:before="440" w:after="300"/>
      </w:pPr>
      <w:r>
        <w:rPr>
          <w:b/>
          <w:color w:val="143B42"/>
          <w:sz w:val="24"/>
        </w:rPr>
        <w:t>Kurucu Hüküm</w:t>
      </w:r>
    </w:p>
    <w:p>
      <w:pPr>
        <w:spacing w:line="300" w:lineRule="auto"/>
        <w:ind w:left="360" w:right="720"/>
      </w:pPr>
      <w:r>
        <w:rPr>
          <w:b/>
          <w:color w:val="1C4348"/>
          <w:sz w:val="26"/>
        </w:rPr>
        <w:t>Şirketim, şirket bilgilerinin tutulduğu bir profil ekranı değildir. Şirketin doğrulanmış kimliğini, ekonomik gerçekliğini, hedeflerini, çalışma modelini, yönetim göstergelerini ve değişen kurumsal bilgisini tek canonical yönetim bağlamında birleştiren yaşayan Company Operating System’dir.</w:t>
      </w:r>
    </w:p>
    <w:p>
      <w:pPr>
        <w:spacing w:before="700"/>
      </w:pPr>
      <w:r>
        <w:rPr>
          <w:b/>
        </w:rPr>
        <w:t>Belge türü:</w:t>
      </w:r>
      <w:r>
        <w:t xml:space="preserve"> Foundation / Kurucu Mimari</w:t>
      </w:r>
    </w:p>
    <w:p>
      <w:r>
        <w:rPr>
          <w:b/>
        </w:rPr>
        <w:t>Durum:</w:t>
      </w:r>
      <w:r>
        <w:t xml:space="preserve"> Bağlayıcı ürün ve domain sözleşmesi</w:t>
      </w:r>
    </w:p>
    <w:p>
      <w:r>
        <w:rPr>
          <w:b/>
        </w:rPr>
        <w:t>Sürüm:</w:t>
      </w:r>
      <w:r>
        <w:t xml:space="preserve"> 1.0</w:t>
      </w:r>
    </w:p>
    <w:p>
      <w:r>
        <w:rPr>
          <w:b/>
        </w:rPr>
        <w:t>Tarih:</w:t>
      </w:r>
      <w:r>
        <w:t xml:space="preserve"> 28 Temmuz 2026</w:t>
      </w:r>
    </w:p>
    <w:p>
      <w:r>
        <w:br w:type="page"/>
      </w:r>
    </w:p>
    <w:p>
      <w:pPr>
        <w:pStyle w:val="Heading1"/>
        <w:keepNext/>
      </w:pPr>
      <w:r>
        <w:t>Belgenin Otoritesi</w:t>
      </w:r>
    </w:p>
    <w:p>
      <w:r>
        <w:t>Bu belge, METRIX İşletme Sistemi Kurucu Mimarisi 1.0’ın Şirketim domainine uygulanmış bağlayıcı alt sözleşmesidir. Ürün Anayasası, Executive Business Reality Architecture, Executive Personality Runtime Blueprint ve Runtime Completion kurallarıyla birlikte okunur. Çelişki halinde üst kurucu belgeler geçerlidir; uygulama kolaylığı bu belgedeki domain sınırlarını geçersiz kılamaz.</w:t>
      </w:r>
    </w:p>
    <w:tbl>
      <w:tblPr>
        <w:tblW w:type="auto" w:w="0"/>
        <w:jc w:val="center"/>
        <w:tblLayout w:type="fixed"/>
        <w:tblLook w:firstColumn="1" w:firstRow="1" w:lastColumn="0" w:lastRow="0" w:noHBand="0" w:noVBand="1" w:val="04A0"/>
      </w:tblPr>
      <w:tblGrid>
        <w:gridCol w:w="202"/>
        <w:gridCol w:w="9144"/>
      </w:tblGrid>
      <w:tr>
        <w:tc>
          <w:tcPr>
            <w:tcW w:type="dxa" w:w="5083"/>
            <w:shd w:fill="1F8A8A"/>
            <w:tcBorders>
              <w:top w:val="nil"/>
              <w:left w:val="nil"/>
              <w:bottom w:val="nil"/>
              <w:right w:val="nil"/>
            </w:tcBorders>
            <w:vAlign w:val="center"/>
          </w:tcPr>
          <w:p/>
        </w:tc>
        <w:tc>
          <w:tcPr>
            <w:tcW w:type="dxa" w:w="5083"/>
            <w:shd w:fill="F1F7F7"/>
            <w:tcBorders>
              <w:top w:val="nil"/>
              <w:left w:val="nil"/>
              <w:bottom w:val="nil"/>
              <w:right w:val="nil"/>
            </w:tcBorders>
            <w:vAlign w:val="center"/>
          </w:tcPr>
          <w:p>
            <w:r>
              <w:rPr>
                <w:b/>
                <w:color w:val="142D30"/>
                <w:sz w:val="21"/>
              </w:rPr>
              <w:t>Kesin sınır</w:t>
            </w:r>
          </w:p>
          <w:p>
            <w:pPr>
              <w:pStyle w:val="BodyText"/>
              <w:spacing w:after="0"/>
            </w:pPr>
            <w:r>
              <w:t>Executive Brain tamamlanmış platformdur. Şirketim geliştirmesi yeni bir muhakeme motoru, ikinci Company Model otoritesi veya paralel Executive katman oluşturamaz.</w:t>
            </w:r>
          </w:p>
        </w:tc>
      </w:tr>
    </w:tbl>
    <w:p>
      <w:pPr>
        <w:spacing w:after="20"/>
      </w:pPr>
    </w:p>
    <w:p>
      <w:pPr>
        <w:pStyle w:val="Heading2"/>
      </w:pPr>
      <w:r>
        <w:t>Bu belge neyi kesinleştirir?</w:t>
      </w:r>
    </w:p>
    <w:p>
      <w:pPr>
        <w:pStyle w:val="ListBullet"/>
        <w:spacing w:after="60"/>
      </w:pPr>
      <w:r>
        <w:t>Şirketim domaininin ürün içindeki amacı ve sınırları.</w:t>
      </w:r>
    </w:p>
    <w:p>
      <w:pPr>
        <w:pStyle w:val="ListBullet"/>
        <w:spacing w:after="60"/>
      </w:pPr>
      <w:r>
        <w:t>Organization, Company Reality, diğer domainler ve Executive Brain arasındaki sahiplik ilişkisi.</w:t>
      </w:r>
    </w:p>
    <w:p>
      <w:pPr>
        <w:pStyle w:val="ListBullet"/>
        <w:spacing w:after="60"/>
      </w:pPr>
      <w:r>
        <w:t>Canonical şirket verileri, dinamik kurumsal alanlar, finansal görünüm, hedefler, KPI’lar ve raporlamanın çalışma modeli.</w:t>
      </w:r>
    </w:p>
    <w:p>
      <w:pPr>
        <w:pStyle w:val="ListBullet"/>
        <w:spacing w:after="60"/>
      </w:pPr>
      <w:r>
        <w:t>Entegrasyonlardan, belgelerden, konuşmalardan ve kullanıcı aksiyonlarından gelen bilgilerin doğrulama ve promotion kuralları.</w:t>
      </w:r>
    </w:p>
    <w:p>
      <w:pPr>
        <w:pStyle w:val="ListBullet"/>
        <w:spacing w:after="60"/>
      </w:pPr>
      <w:r>
        <w:t>Şirketim sayfasının kullanıcı deneyimi, tasarım dili ve günlük yönetim değeri.</w:t>
      </w:r>
    </w:p>
    <w:p>
      <w:pPr>
        <w:pStyle w:val="ListBullet"/>
        <w:spacing w:after="60"/>
      </w:pPr>
      <w:r>
        <w:t>Kodlamadan önce bağlayıcı kabul kriterleri ve yasak mimari yaklaşımlar.</w:t>
      </w:r>
    </w:p>
    <w:p>
      <w:pPr>
        <w:pStyle w:val="Heading2"/>
      </w:pPr>
      <w:r>
        <w:t>Bu belge neyi yapmaz?</w:t>
      </w:r>
    </w:p>
    <w:p>
      <w:pPr>
        <w:pStyle w:val="ListBullet"/>
        <w:spacing w:after="60"/>
      </w:pPr>
      <w:r>
        <w:t>Prisma migration detaylarını veya endpoint isimlerini kesinleştirmez.</w:t>
      </w:r>
    </w:p>
    <w:p>
      <w:pPr>
        <w:pStyle w:val="ListBullet"/>
        <w:spacing w:after="60"/>
      </w:pPr>
      <w:r>
        <w:t>Muhasebe, Varlıklar, Ekip, Satış veya Raporlama domainlerinin bütün iç modellerini bu belge içinde sahiplenmez.</w:t>
      </w:r>
    </w:p>
    <w:p>
      <w:pPr>
        <w:pStyle w:val="ListBullet"/>
        <w:spacing w:after="60"/>
      </w:pPr>
      <w:r>
        <w:t>UI ekranlarını statik maket veya sabit form şablonu olarak tanımlamaz.</w:t>
      </w:r>
    </w:p>
    <w:p>
      <w:pPr>
        <w:pStyle w:val="ListBullet"/>
        <w:spacing w:after="60"/>
      </w:pPr>
      <w:r>
        <w:t>Executive Brain’in karar mekanizmasını yeniden tasarlamaz.</w:t>
      </w:r>
    </w:p>
    <w:p>
      <w:pPr>
        <w:pStyle w:val="ListBullet"/>
        <w:spacing w:after="60"/>
      </w:pPr>
      <w:r>
        <w:t>İlk production teslimine bütün entegrasyon sağlayıcılarını dahil etmez.</w:t>
      </w:r>
    </w:p>
    <w:p>
      <w:r>
        <w:br w:type="page"/>
      </w:r>
    </w:p>
    <w:p>
      <w:pPr>
        <w:pStyle w:val="Heading1"/>
      </w:pPr>
      <w:r>
        <w:t>İçindekiler</w:t>
      </w:r>
    </w:p>
    <w:p>
      <w:pPr>
        <w:spacing w:after="100"/>
      </w:pPr>
      <w:r>
        <w:rPr>
          <w:b/>
          <w:sz w:val="20"/>
        </w:rPr>
        <w:t>1. Kurucu Tanım</w:t>
      </w:r>
    </w:p>
    <w:p>
      <w:pPr>
        <w:spacing w:after="100"/>
      </w:pPr>
      <w:r>
        <w:rPr>
          <w:b/>
          <w:sz w:val="20"/>
        </w:rPr>
        <w:t>2. Mevcut Production Gerçeği ve Korunacak Temeller</w:t>
      </w:r>
    </w:p>
    <w:p>
      <w:pPr>
        <w:spacing w:after="100"/>
      </w:pPr>
      <w:r>
        <w:rPr>
          <w:b/>
          <w:sz w:val="20"/>
        </w:rPr>
        <w:t>3. Domain Sınırları ve Tek Sahiplik</w:t>
      </w:r>
    </w:p>
    <w:p>
      <w:pPr>
        <w:spacing w:after="100"/>
      </w:pPr>
      <w:r>
        <w:rPr>
          <w:b/>
          <w:sz w:val="20"/>
        </w:rPr>
        <w:t>4. Company Reality Veri Katmanları</w:t>
      </w:r>
    </w:p>
    <w:p>
      <w:pPr>
        <w:spacing w:after="100"/>
      </w:pPr>
      <w:r>
        <w:rPr>
          <w:b/>
          <w:sz w:val="20"/>
        </w:rPr>
        <w:t>5. Dinamik Kurumsal Alan Sistemi</w:t>
      </w:r>
    </w:p>
    <w:p>
      <w:pPr>
        <w:spacing w:after="100"/>
      </w:pPr>
      <w:r>
        <w:rPr>
          <w:b/>
          <w:sz w:val="20"/>
        </w:rPr>
        <w:t>6. Business Candidate, Doğrulama ve Promotion</w:t>
      </w:r>
    </w:p>
    <w:p>
      <w:pPr>
        <w:spacing w:after="100"/>
      </w:pPr>
      <w:r>
        <w:rPr>
          <w:b/>
          <w:sz w:val="20"/>
        </w:rPr>
        <w:t>7. Entegrasyon ve Dış Veri Stratejisi</w:t>
      </w:r>
    </w:p>
    <w:p>
      <w:pPr>
        <w:spacing w:after="100"/>
      </w:pPr>
      <w:r>
        <w:rPr>
          <w:b/>
          <w:sz w:val="20"/>
        </w:rPr>
        <w:t>8. Finansal Gerçeklik, Varlıklar ve Kâr-Zarar</w:t>
      </w:r>
    </w:p>
    <w:p>
      <w:pPr>
        <w:spacing w:after="100"/>
      </w:pPr>
      <w:r>
        <w:rPr>
          <w:b/>
          <w:sz w:val="20"/>
        </w:rPr>
        <w:t>9. KPI ve Yönetim Göstergeleri</w:t>
      </w:r>
    </w:p>
    <w:p>
      <w:pPr>
        <w:spacing w:after="100"/>
      </w:pPr>
      <w:r>
        <w:rPr>
          <w:b/>
          <w:sz w:val="20"/>
        </w:rPr>
        <w:t>10. Haftalık Satış ve Yönetim Raporlama Sistemi</w:t>
      </w:r>
    </w:p>
    <w:p>
      <w:pPr>
        <w:spacing w:after="100"/>
      </w:pPr>
      <w:r>
        <w:rPr>
          <w:b/>
          <w:sz w:val="20"/>
        </w:rPr>
        <w:t>11. Company Model 2.0 ve Executive Brain Bağlantısı</w:t>
      </w:r>
    </w:p>
    <w:p>
      <w:pPr>
        <w:spacing w:after="100"/>
      </w:pPr>
      <w:r>
        <w:rPr>
          <w:b/>
          <w:sz w:val="20"/>
        </w:rPr>
        <w:t>12. Şirketim Kullanıcı Deneyimi ve Tasarım Sistemi</w:t>
      </w:r>
    </w:p>
    <w:p>
      <w:pPr>
        <w:spacing w:after="100"/>
      </w:pPr>
      <w:r>
        <w:rPr>
          <w:b/>
          <w:sz w:val="20"/>
        </w:rPr>
        <w:t>13. Güvenlik, Yetki, Audit ve Veri Kalitesi</w:t>
      </w:r>
    </w:p>
    <w:p>
      <w:pPr>
        <w:spacing w:after="100"/>
      </w:pPr>
      <w:r>
        <w:rPr>
          <w:b/>
          <w:sz w:val="20"/>
        </w:rPr>
        <w:t>14. İlk Production Teslim Kapsamı</w:t>
      </w:r>
    </w:p>
    <w:p>
      <w:pPr>
        <w:spacing w:after="100"/>
      </w:pPr>
      <w:r>
        <w:rPr>
          <w:b/>
          <w:sz w:val="20"/>
        </w:rPr>
        <w:t>15. Geliştirme Sırası ve Mimari Geçiş</w:t>
      </w:r>
    </w:p>
    <w:p>
      <w:pPr>
        <w:spacing w:after="100"/>
      </w:pPr>
      <w:r>
        <w:rPr>
          <w:b/>
          <w:sz w:val="20"/>
        </w:rPr>
        <w:t>16. Production Kabul Kriterleri</w:t>
      </w:r>
    </w:p>
    <w:p>
      <w:pPr>
        <w:spacing w:after="100"/>
      </w:pPr>
      <w:r>
        <w:rPr>
          <w:b/>
          <w:sz w:val="20"/>
        </w:rPr>
        <w:t>17. Değişmez Yasaklar</w:t>
      </w:r>
    </w:p>
    <w:p>
      <w:pPr>
        <w:spacing w:after="100"/>
      </w:pPr>
      <w:r>
        <w:rPr>
          <w:b/>
          <w:sz w:val="20"/>
        </w:rPr>
        <w:t>18. Son Kurucu Hüküm</w:t>
      </w:r>
    </w:p>
    <w:p>
      <w:r>
        <w:br w:type="page"/>
      </w:r>
    </w:p>
    <w:p>
      <w:pPr>
        <w:pStyle w:val="Heading1"/>
      </w:pPr>
      <w:r>
        <w:t>1. Kurucu Tanım</w:t>
      </w:r>
    </w:p>
    <w:p>
      <w:pPr>
        <w:pStyle w:val="Heading2"/>
      </w:pPr>
      <w:r>
        <w:t>1.1 Şirketim nedir?</w:t>
      </w:r>
    </w:p>
    <w:p>
      <w:r>
        <w:t>Şirketim, kullanıcının şirketini METRIX’e tekrar tekrar anlatmasını ortadan kaldıran ve METRIX’in şirket düzeyindeki bütün yönetim muhakemesini doğrulanmış Business Reality üzerine kurmasını sağlayan ana kurumsal çalışma alanıdır.</w:t>
      </w:r>
    </w:p>
    <w:p>
      <w:r>
        <w:t>Şirketim iki yüzlü tek bir domain olarak çalışır:</w:t>
      </w:r>
    </w:p>
    <w:p>
      <w:pPr>
        <w:pStyle w:val="ListNumber"/>
        <w:spacing w:after="60"/>
      </w:pPr>
      <w:r>
        <w:t>Canonical Company Reality: şirketin kimliği, yapısı, politikaları, hedefleri ve şirkete özgü doğrulanmış kurumsal bilgilerin sahiplik katmanı.</w:t>
      </w:r>
    </w:p>
    <w:p>
      <w:pPr>
        <w:pStyle w:val="ListNumber"/>
        <w:spacing w:after="60"/>
      </w:pPr>
      <w:r>
        <w:t>Executive Company View: diğer canonical domainlerden gelen doğrulanmış kayıtların şirket düzeyinde birleştirilmiş yönetim görünümü.</w:t>
      </w:r>
    </w:p>
    <w:tbl>
      <w:tblPr>
        <w:tblW w:type="auto" w:w="0"/>
        <w:jc w:val="center"/>
        <w:tblLayout w:type="fixed"/>
        <w:tblLook w:firstColumn="1" w:firstRow="1" w:lastColumn="0" w:lastRow="0" w:noHBand="0" w:noVBand="1" w:val="04A0"/>
      </w:tblPr>
      <w:tblGrid>
        <w:gridCol w:w="202"/>
        <w:gridCol w:w="9144"/>
      </w:tblGrid>
      <w:tr>
        <w:tc>
          <w:tcPr>
            <w:tcW w:type="dxa" w:w="5083"/>
            <w:shd w:fill="1F8A8A"/>
            <w:tcBorders>
              <w:top w:val="nil"/>
              <w:left w:val="nil"/>
              <w:bottom w:val="nil"/>
              <w:right w:val="nil"/>
            </w:tcBorders>
            <w:vAlign w:val="center"/>
          </w:tcPr>
          <w:p/>
        </w:tc>
        <w:tc>
          <w:tcPr>
            <w:tcW w:type="dxa" w:w="5083"/>
            <w:shd w:fill="F1F7F7"/>
            <w:tcBorders>
              <w:top w:val="nil"/>
              <w:left w:val="nil"/>
              <w:bottom w:val="nil"/>
              <w:right w:val="nil"/>
            </w:tcBorders>
            <w:vAlign w:val="center"/>
          </w:tcPr>
          <w:p>
            <w:r>
              <w:rPr>
                <w:b/>
                <w:color w:val="142D30"/>
                <w:sz w:val="21"/>
              </w:rPr>
              <w:t>Temel ayrım</w:t>
            </w:r>
          </w:p>
          <w:p>
            <w:pPr>
              <w:pStyle w:val="BodyText"/>
              <w:spacing w:after="0"/>
            </w:pPr>
            <w:r>
              <w:t>Şirketim bütün verilerin saklandığı merkezi tablo değildir. Bütün şirketin yönetim açısından görüldüğü merkezdir.</w:t>
            </w:r>
          </w:p>
        </w:tc>
      </w:tr>
    </w:tbl>
    <w:p>
      <w:pPr>
        <w:spacing w:after="20"/>
      </w:pPr>
    </w:p>
    <w:p>
      <w:pPr>
        <w:pStyle w:val="Heading2"/>
      </w:pPr>
      <w:r>
        <w:t>1.2 Kullanıcıya verilen temel söz</w:t>
      </w:r>
    </w:p>
    <w:p>
      <w:r>
        <w:t>Kullanıcı Şirketim sayfasını açtığında şu hissi yaşamalıdır:</w:t>
      </w:r>
    </w:p>
    <w:tbl>
      <w:tblPr>
        <w:tblW w:type="auto" w:w="0"/>
        <w:jc w:val="center"/>
        <w:tblLayout w:type="fixed"/>
        <w:tblLook w:firstColumn="1" w:firstRow="1" w:lastColumn="0" w:lastRow="0" w:noHBand="0" w:noVBand="1" w:val="04A0"/>
      </w:tblPr>
      <w:tblGrid>
        <w:gridCol w:w="202"/>
        <w:gridCol w:w="9144"/>
      </w:tblGrid>
      <w:tr>
        <w:tc>
          <w:tcPr>
            <w:tcW w:type="dxa" w:w="5083"/>
            <w:shd w:fill="D7A12E"/>
            <w:tcBorders>
              <w:top w:val="nil"/>
              <w:left w:val="nil"/>
              <w:bottom w:val="nil"/>
              <w:right w:val="nil"/>
            </w:tcBorders>
            <w:vAlign w:val="center"/>
          </w:tcPr>
          <w:p/>
        </w:tc>
        <w:tc>
          <w:tcPr>
            <w:tcW w:type="dxa" w:w="5083"/>
            <w:shd w:fill="F1F7F7"/>
            <w:tcBorders>
              <w:top w:val="nil"/>
              <w:left w:val="nil"/>
              <w:bottom w:val="nil"/>
              <w:right w:val="nil"/>
            </w:tcBorders>
            <w:vAlign w:val="center"/>
          </w:tcPr>
          <w:p>
            <w:r>
              <w:rPr>
                <w:b/>
                <w:color w:val="142D30"/>
                <w:sz w:val="21"/>
              </w:rPr>
              <w:t>Kullanıcı hissi</w:t>
            </w:r>
          </w:p>
          <w:p>
            <w:pPr>
              <w:pStyle w:val="BodyText"/>
              <w:spacing w:after="0"/>
            </w:pPr>
            <w:r>
              <w:t>“METRIX şirketimi gerçekten tanıyor; eksikleri, hedefleri, ekonomik durumu ve değişen şartları benim için düzenli tutuyor. Bana bir form göstermiyor, şirketimi yönetmem için doğru resmi gösteriyor.”</w:t>
            </w:r>
          </w:p>
        </w:tc>
      </w:tr>
    </w:tbl>
    <w:p>
      <w:pPr>
        <w:spacing w:after="20"/>
      </w:pPr>
    </w:p>
    <w:p>
      <w:pPr>
        <w:pStyle w:val="Heading2"/>
      </w:pPr>
      <w:r>
        <w:t>1.3 METRIX’in yönetim becerisine katkısı</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173F46"/>
          </w:tcPr>
          <w:p>
            <w:pPr>
              <w:jc w:val="left"/>
            </w:pPr>
            <w:r>
              <w:rPr>
                <w:b/>
                <w:color w:val="FFFFFF"/>
                <w:sz w:val="18"/>
              </w:rPr>
              <w:t>Kabiliyet</w:t>
            </w:r>
          </w:p>
        </w:tc>
        <w:tc>
          <w:tcPr>
            <w:tcW w:type="dxa" w:w="7056"/>
            <w:shd w:fill="173F46"/>
          </w:tcPr>
          <w:p>
            <w:pPr>
              <w:jc w:val="left"/>
            </w:pPr>
            <w:r>
              <w:rPr>
                <w:b/>
                <w:color w:val="FFFFFF"/>
                <w:sz w:val="18"/>
              </w:rPr>
              <w:t>Şirketim katkısı</w:t>
            </w:r>
          </w:p>
        </w:tc>
      </w:tr>
      <w:tr>
        <w:tc>
          <w:tcPr>
            <w:tcW w:type="dxa" w:w="2160"/>
            <w:vAlign w:val="top"/>
          </w:tcPr>
          <w:p>
            <w:pPr>
              <w:spacing w:after="0"/>
            </w:pPr>
            <w:r>
              <w:rPr>
                <w:color w:val="232D30"/>
                <w:sz w:val="17"/>
              </w:rPr>
              <w:t>Bağlam</w:t>
            </w:r>
          </w:p>
        </w:tc>
        <w:tc>
          <w:tcPr>
            <w:tcW w:type="dxa" w:w="7056"/>
            <w:vAlign w:val="top"/>
          </w:tcPr>
          <w:p>
            <w:pPr>
              <w:spacing w:after="0"/>
            </w:pPr>
            <w:r>
              <w:rPr>
                <w:color w:val="232D30"/>
                <w:sz w:val="17"/>
              </w:rPr>
              <w:t>Şirketin ne yaptığı, nasıl para kazandığı, nasıl çalıştığı ve neyi önemsediği canonical olarak bilinir.</w:t>
            </w:r>
          </w:p>
        </w:tc>
      </w:tr>
      <w:tr>
        <w:tc>
          <w:tcPr>
            <w:tcW w:type="dxa" w:w="2160"/>
            <w:shd w:fill="F5F8F8"/>
            <w:vAlign w:val="top"/>
          </w:tcPr>
          <w:p>
            <w:pPr>
              <w:spacing w:after="0"/>
            </w:pPr>
            <w:r>
              <w:rPr>
                <w:color w:val="232D30"/>
                <w:sz w:val="17"/>
              </w:rPr>
              <w:t>Önceliklendirme</w:t>
            </w:r>
          </w:p>
        </w:tc>
        <w:tc>
          <w:tcPr>
            <w:tcW w:type="dxa" w:w="7056"/>
            <w:shd w:fill="F5F8F8"/>
            <w:vAlign w:val="top"/>
          </w:tcPr>
          <w:p>
            <w:pPr>
              <w:spacing w:after="0"/>
            </w:pPr>
            <w:r>
              <w:rPr>
                <w:color w:val="232D30"/>
                <w:sz w:val="17"/>
              </w:rPr>
              <w:t>Aynı sinyalin bu şirket için normal, önemli veya kritik olup olmadığı şirket bağlamında değerlendirilir.</w:t>
            </w:r>
          </w:p>
        </w:tc>
      </w:tr>
      <w:tr>
        <w:tc>
          <w:tcPr>
            <w:tcW w:type="dxa" w:w="2160"/>
            <w:vAlign w:val="top"/>
          </w:tcPr>
          <w:p>
            <w:pPr>
              <w:spacing w:after="0"/>
            </w:pPr>
            <w:r>
              <w:rPr>
                <w:color w:val="232D30"/>
                <w:sz w:val="17"/>
              </w:rPr>
              <w:t>Tutarlılık</w:t>
            </w:r>
          </w:p>
        </w:tc>
        <w:tc>
          <w:tcPr>
            <w:tcW w:type="dxa" w:w="7056"/>
            <w:vAlign w:val="top"/>
          </w:tcPr>
          <w:p>
            <w:pPr>
              <w:spacing w:after="0"/>
            </w:pPr>
            <w:r>
              <w:rPr>
                <w:color w:val="232D30"/>
                <w:sz w:val="17"/>
              </w:rPr>
              <w:t>Hedefler, politikalar ve şirket gerçekleri farklı konuşmalar arasında kaybolmaz.</w:t>
            </w:r>
          </w:p>
        </w:tc>
      </w:tr>
      <w:tr>
        <w:tc>
          <w:tcPr>
            <w:tcW w:type="dxa" w:w="2160"/>
            <w:shd w:fill="F5F8F8"/>
            <w:vAlign w:val="top"/>
          </w:tcPr>
          <w:p>
            <w:pPr>
              <w:spacing w:after="0"/>
            </w:pPr>
            <w:r>
              <w:rPr>
                <w:color w:val="232D30"/>
                <w:sz w:val="17"/>
              </w:rPr>
              <w:t>Proaktif yönetim</w:t>
            </w:r>
          </w:p>
        </w:tc>
        <w:tc>
          <w:tcPr>
            <w:tcW w:type="dxa" w:w="7056"/>
            <w:shd w:fill="F5F8F8"/>
            <w:vAlign w:val="top"/>
          </w:tcPr>
          <w:p>
            <w:pPr>
              <w:spacing w:after="0"/>
            </w:pPr>
            <w:r>
              <w:rPr>
                <w:color w:val="232D30"/>
                <w:sz w:val="17"/>
              </w:rPr>
              <w:t>Eksik bilgi, hedef sapması, finansal baskı, belge süresi veya operasyon riski kullanıcı sormadan görünür hâle gelir.</w:t>
            </w:r>
          </w:p>
        </w:tc>
      </w:tr>
      <w:tr>
        <w:tc>
          <w:tcPr>
            <w:tcW w:type="dxa" w:w="2160"/>
            <w:vAlign w:val="top"/>
          </w:tcPr>
          <w:p>
            <w:pPr>
              <w:spacing w:after="0"/>
            </w:pPr>
            <w:r>
              <w:rPr>
                <w:color w:val="232D30"/>
                <w:sz w:val="17"/>
              </w:rPr>
              <w:t>Şirkete özgü muhakeme</w:t>
            </w:r>
          </w:p>
        </w:tc>
        <w:tc>
          <w:tcPr>
            <w:tcW w:type="dxa" w:w="7056"/>
            <w:vAlign w:val="top"/>
          </w:tcPr>
          <w:p>
            <w:pPr>
              <w:spacing w:after="0"/>
            </w:pPr>
            <w:r>
              <w:rPr>
                <w:color w:val="232D30"/>
                <w:sz w:val="17"/>
              </w:rPr>
              <w:t>Genel tavsiye yerine sektör, iş modeli, ekip, müşteri ve finansal gerçeklere dayalı yönetim önerisi oluşur.</w:t>
            </w:r>
          </w:p>
        </w:tc>
      </w:tr>
      <w:tr>
        <w:tc>
          <w:tcPr>
            <w:tcW w:type="dxa" w:w="2160"/>
            <w:shd w:fill="F5F8F8"/>
            <w:vAlign w:val="top"/>
          </w:tcPr>
          <w:p>
            <w:pPr>
              <w:spacing w:after="0"/>
            </w:pPr>
            <w:r>
              <w:rPr>
                <w:color w:val="232D30"/>
                <w:sz w:val="17"/>
              </w:rPr>
              <w:t>Süreklilik</w:t>
            </w:r>
          </w:p>
        </w:tc>
        <w:tc>
          <w:tcPr>
            <w:tcW w:type="dxa" w:w="7056"/>
            <w:shd w:fill="F5F8F8"/>
            <w:vAlign w:val="top"/>
          </w:tcPr>
          <w:p>
            <w:pPr>
              <w:spacing w:after="0"/>
            </w:pPr>
            <w:r>
              <w:rPr>
                <w:color w:val="232D30"/>
                <w:sz w:val="17"/>
              </w:rPr>
              <w:t>Yeni modüller aynı şirket modelini besler; METRIX her modülde aynı şirketi yönetmeye devam eder.</w:t>
            </w:r>
          </w:p>
        </w:tc>
      </w:tr>
    </w:tbl>
    <w:p>
      <w:pPr>
        <w:spacing w:after="20"/>
      </w:pPr>
    </w:p>
    <w:p>
      <w:pPr>
        <w:pStyle w:val="Heading1"/>
      </w:pPr>
      <w:r>
        <w:t>2. Mevcut Production Gerçeği ve Korunacak Temeller</w:t>
      </w:r>
    </w:p>
    <w:p>
      <w:r>
        <w:t>Repository incelemesi, Şirketim domaininin sıfırdan kurulmayacağını; mevcut fakat sınırlı Company Model ve Organization çekirdeğinin kalıcı mimariye dönüştürüleceğini göstermiştir.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528"/>
            <w:shd w:fill="173F46"/>
          </w:tcPr>
          <w:p>
            <w:pPr>
              <w:jc w:val="left"/>
            </w:pPr>
            <w:r>
              <w:rPr>
                <w:b/>
                <w:color w:val="FFFFFF"/>
                <w:sz w:val="18"/>
              </w:rPr>
              <w:t>Mevcut kanıt</w:t>
            </w:r>
          </w:p>
        </w:tc>
        <w:tc>
          <w:tcPr>
            <w:tcW w:type="dxa" w:w="5688"/>
            <w:shd w:fill="173F46"/>
          </w:tcPr>
          <w:p>
            <w:pPr>
              <w:jc w:val="left"/>
            </w:pPr>
            <w:r>
              <w:rPr>
                <w:b/>
                <w:color w:val="FFFFFF"/>
                <w:sz w:val="18"/>
              </w:rPr>
              <w:t>Mimari hüküm</w:t>
            </w:r>
          </w:p>
        </w:tc>
      </w:tr>
      <w:tr>
        <w:tc>
          <w:tcPr>
            <w:tcW w:type="dxa" w:w="3528"/>
            <w:vAlign w:val="top"/>
          </w:tcPr>
          <w:p>
            <w:pPr>
              <w:spacing w:after="0"/>
            </w:pPr>
            <w:r>
              <w:rPr>
                <w:color w:val="232D30"/>
                <w:sz w:val="17"/>
              </w:rPr>
              <w:t>Organization modeli; üyelikler, müşteriler, ürünler, satış hedefleri, giderler, adaylar ve Executive kayıtlarla ilişkilidir.</w:t>
            </w:r>
          </w:p>
        </w:tc>
        <w:tc>
          <w:tcPr>
            <w:tcW w:type="dxa" w:w="5688"/>
            <w:vAlign w:val="top"/>
          </w:tcPr>
          <w:p>
            <w:pPr>
              <w:spacing w:after="0"/>
            </w:pPr>
            <w:r>
              <w:rPr>
                <w:color w:val="232D30"/>
                <w:sz w:val="17"/>
              </w:rPr>
              <w:t>Organization tenant ve ilişki kökü olarak korunur; her iş gerçeğinin sahibi yapılmaz.</w:t>
            </w:r>
          </w:p>
        </w:tc>
      </w:tr>
      <w:tr>
        <w:tc>
          <w:tcPr>
            <w:tcW w:type="dxa" w:w="3528"/>
            <w:shd w:fill="F5F8F8"/>
            <w:vAlign w:val="top"/>
          </w:tcPr>
          <w:p>
            <w:pPr>
              <w:spacing w:after="0"/>
            </w:pPr>
            <w:r>
              <w:rPr>
                <w:color w:val="232D30"/>
                <w:sz w:val="17"/>
              </w:rPr>
              <w:t>Organization alanları bugün name, industry, companySize, country, city, description ve onboarding JSON’larıyla sınırlıdır.</w:t>
            </w:r>
          </w:p>
        </w:tc>
        <w:tc>
          <w:tcPr>
            <w:tcW w:type="dxa" w:w="5688"/>
            <w:shd w:fill="F5F8F8"/>
            <w:vAlign w:val="top"/>
          </w:tcPr>
          <w:p>
            <w:pPr>
              <w:spacing w:after="0"/>
            </w:pPr>
            <w:r>
              <w:rPr>
                <w:color w:val="232D30"/>
                <w:sz w:val="17"/>
              </w:rPr>
              <w:t>Organization yalnız çekirdek kimliği taşır; geniş Company Reality tek JSON yığınına veya sınırsız kolonlara doldurulmaz.</w:t>
            </w:r>
          </w:p>
        </w:tc>
      </w:tr>
      <w:tr>
        <w:tc>
          <w:tcPr>
            <w:tcW w:type="dxa" w:w="3528"/>
            <w:vAlign w:val="top"/>
          </w:tcPr>
          <w:p>
            <w:pPr>
              <w:spacing w:after="0"/>
            </w:pPr>
            <w:r>
              <w:rPr>
                <w:color w:val="232D30"/>
                <w:sz w:val="17"/>
              </w:rPr>
              <w:t>buildCompanyModel; industry, city, teamSize, topGoal, cashPriority ve primaryCustomerType gibi sınırlı alanlar üretir.</w:t>
            </w:r>
          </w:p>
        </w:tc>
        <w:tc>
          <w:tcPr>
            <w:tcW w:type="dxa" w:w="5688"/>
            <w:vAlign w:val="top"/>
          </w:tcPr>
          <w:p>
            <w:pPr>
              <w:spacing w:after="0"/>
            </w:pPr>
            <w:r>
              <w:rPr>
                <w:color w:val="232D30"/>
                <w:sz w:val="17"/>
              </w:rPr>
              <w:t>Mevcut Company Model yıkılmaz; zengin canonical domainlerden beslenen Company Model 2.0 projection’a dönüştürülür.</w:t>
            </w:r>
          </w:p>
        </w:tc>
      </w:tr>
      <w:tr>
        <w:tc>
          <w:tcPr>
            <w:tcW w:type="dxa" w:w="3528"/>
            <w:shd w:fill="F5F8F8"/>
            <w:vAlign w:val="top"/>
          </w:tcPr>
          <w:p>
            <w:pPr>
              <w:spacing w:after="0"/>
            </w:pPr>
            <w:r>
              <w:rPr>
                <w:color w:val="232D30"/>
                <w:sz w:val="17"/>
              </w:rPr>
              <w:t>Canonical fact, opinion karşısında önceliklidir; opinion canonical fact olmaz.</w:t>
            </w:r>
          </w:p>
        </w:tc>
        <w:tc>
          <w:tcPr>
            <w:tcW w:type="dxa" w:w="5688"/>
            <w:shd w:fill="F5F8F8"/>
            <w:vAlign w:val="top"/>
          </w:tcPr>
          <w:p>
            <w:pPr>
              <w:spacing w:after="0"/>
            </w:pPr>
            <w:r>
              <w:rPr>
                <w:color w:val="232D30"/>
                <w:sz w:val="17"/>
              </w:rPr>
              <w:t>Bu truth boundary değişmez. Dinamik alan ve KPI’lar da aynı epistemik ayrımı taşır.</w:t>
            </w:r>
          </w:p>
        </w:tc>
      </w:tr>
      <w:tr>
        <w:tc>
          <w:tcPr>
            <w:tcW w:type="dxa" w:w="3528"/>
            <w:vAlign w:val="top"/>
          </w:tcPr>
          <w:p>
            <w:pPr>
              <w:spacing w:after="0"/>
            </w:pPr>
            <w:r>
              <w:rPr>
                <w:color w:val="232D30"/>
                <w:sz w:val="17"/>
              </w:rPr>
              <w:t>/metrix/company mevcut MetrixWorkspace içindeki eski CompanyView’a yönlenir.</w:t>
            </w:r>
          </w:p>
        </w:tc>
        <w:tc>
          <w:tcPr>
            <w:tcW w:type="dxa" w:w="5688"/>
            <w:vAlign w:val="top"/>
          </w:tcPr>
          <w:p>
            <w:pPr>
              <w:spacing w:after="0"/>
            </w:pPr>
            <w:r>
              <w:rPr>
                <w:color w:val="232D30"/>
                <w:sz w:val="17"/>
              </w:rPr>
              <w:t>Eski Workspace domain otoritesi değildir; yeni Şirketim sayfası gerçek API ve canonical domain servisleriyle kurulmalıdır.</w:t>
            </w:r>
          </w:p>
        </w:tc>
      </w:tr>
      <w:tr>
        <w:tc>
          <w:tcPr>
            <w:tcW w:type="dxa" w:w="3528"/>
            <w:shd w:fill="F5F8F8"/>
            <w:vAlign w:val="top"/>
          </w:tcPr>
          <w:p>
            <w:pPr>
              <w:spacing w:after="0"/>
            </w:pPr>
            <w:r>
              <w:rPr>
                <w:color w:val="232D30"/>
                <w:sz w:val="17"/>
              </w:rPr>
              <w:t>Customer domaininde field registry, custom fields, document extraction, candidate ve Universal Capture örnekleri vardır.</w:t>
            </w:r>
          </w:p>
        </w:tc>
        <w:tc>
          <w:tcPr>
            <w:tcW w:type="dxa" w:w="5688"/>
            <w:shd w:fill="F5F8F8"/>
            <w:vAlign w:val="top"/>
          </w:tcPr>
          <w:p>
            <w:pPr>
              <w:spacing w:after="0"/>
            </w:pPr>
            <w:r>
              <w:rPr>
                <w:color w:val="232D30"/>
                <w:sz w:val="17"/>
              </w:rPr>
              <w:t>Ortak sözleşmeler genelleştirilir; Company için kopya bir ikinci framework kurulmaz.</w:t>
            </w:r>
          </w:p>
        </w:tc>
      </w:tr>
      <w:tr>
        <w:tc>
          <w:tcPr>
            <w:tcW w:type="dxa" w:w="3528"/>
            <w:vAlign w:val="top"/>
          </w:tcPr>
          <w:p>
            <w:pPr>
              <w:spacing w:after="0"/>
            </w:pPr>
            <w:r>
              <w:rPr>
                <w:color w:val="232D30"/>
                <w:sz w:val="17"/>
              </w:rPr>
              <w:t>Executive Awareness, Scorecard, Focus ve Management Review mevcut verilerden yönetim çıktıları üretmektedir.</w:t>
            </w:r>
          </w:p>
        </w:tc>
        <w:tc>
          <w:tcPr>
            <w:tcW w:type="dxa" w:w="5688"/>
            <w:vAlign w:val="top"/>
          </w:tcPr>
          <w:p>
            <w:pPr>
              <w:spacing w:after="0"/>
            </w:pPr>
            <w:r>
              <w:rPr>
                <w:color w:val="232D30"/>
                <w:sz w:val="17"/>
              </w:rPr>
              <w:t>Şirketim yeni Executive motor yazmaz; mevcut motorlara daha zengin ve kanıtlı şirket gerçekliği sağlar.</w:t>
            </w:r>
          </w:p>
        </w:tc>
      </w:tr>
    </w:tbl>
    <w:p>
      <w:pPr>
        <w:spacing w:after="20"/>
      </w:pPr>
    </w:p>
    <w:tbl>
      <w:tblPr>
        <w:tblW w:type="auto" w:w="0"/>
        <w:jc w:val="center"/>
        <w:tblLayout w:type="fixed"/>
        <w:tblLook w:firstColumn="1" w:firstRow="1" w:lastColumn="0" w:lastRow="0" w:noHBand="0" w:noVBand="1" w:val="04A0"/>
      </w:tblPr>
      <w:tblGrid>
        <w:gridCol w:w="202"/>
        <w:gridCol w:w="9144"/>
      </w:tblGrid>
      <w:tr>
        <w:tc>
          <w:tcPr>
            <w:tcW w:type="dxa" w:w="5083"/>
            <w:shd w:fill="1F8A8A"/>
            <w:tcBorders>
              <w:top w:val="nil"/>
              <w:left w:val="nil"/>
              <w:bottom w:val="nil"/>
              <w:right w:val="nil"/>
            </w:tcBorders>
            <w:vAlign w:val="center"/>
          </w:tcPr>
          <w:p/>
        </w:tc>
        <w:tc>
          <w:tcPr>
            <w:tcW w:type="dxa" w:w="5083"/>
            <w:shd w:fill="F1F7F7"/>
            <w:tcBorders>
              <w:top w:val="nil"/>
              <w:left w:val="nil"/>
              <w:bottom w:val="nil"/>
              <w:right w:val="nil"/>
            </w:tcBorders>
            <w:vAlign w:val="center"/>
          </w:tcPr>
          <w:p>
            <w:r>
              <w:rPr>
                <w:b/>
                <w:color w:val="142D30"/>
                <w:sz w:val="21"/>
              </w:rPr>
              <w:t>Korunacak çekirdek</w:t>
            </w:r>
          </w:p>
          <w:p>
            <w:pPr>
              <w:pStyle w:val="BodyText"/>
              <w:spacing w:after="0"/>
            </w:pPr>
            <w:r>
              <w:t>Organization kimlik/tenant kökü, mevcut Business Candidate mimarisi, provenance sınırları, canonical fact önceliği ve tek Executive Brain otoritesi değiştirilmeyecektir.</w:t>
            </w:r>
          </w:p>
        </w:tc>
      </w:tr>
    </w:tbl>
    <w:p>
      <w:pPr>
        <w:spacing w:after="20"/>
      </w:pPr>
    </w:p>
    <w:p>
      <w:pPr>
        <w:pStyle w:val="Heading1"/>
      </w:pPr>
      <w:r>
        <w:t>3. Domain Sınırları ve Tek Sahiplik</w:t>
      </w:r>
    </w:p>
    <w:p>
      <w:pPr>
        <w:pStyle w:val="Heading2"/>
      </w:pPr>
      <w:r>
        <w:t>3.1 Organization ve Şirketim ayrımı</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F46"/>
          </w:tcPr>
          <w:p>
            <w:pPr>
              <w:jc w:val="left"/>
            </w:pPr>
            <w:r>
              <w:rPr>
                <w:b/>
                <w:color w:val="FFFFFF"/>
                <w:sz w:val="18"/>
              </w:rPr>
              <w:t>Katman</w:t>
            </w:r>
          </w:p>
        </w:tc>
        <w:tc>
          <w:tcPr>
            <w:tcW w:type="dxa" w:w="6336"/>
            <w:shd w:fill="173F46"/>
          </w:tcPr>
          <w:p>
            <w:pPr>
              <w:jc w:val="left"/>
            </w:pPr>
            <w:r>
              <w:rPr>
                <w:b/>
                <w:color w:val="FFFFFF"/>
                <w:sz w:val="18"/>
              </w:rPr>
              <w:t>Tek sorumluluk</w:t>
            </w:r>
          </w:p>
        </w:tc>
      </w:tr>
      <w:tr>
        <w:tc>
          <w:tcPr>
            <w:tcW w:type="dxa" w:w="2880"/>
            <w:vAlign w:val="top"/>
          </w:tcPr>
          <w:p>
            <w:pPr>
              <w:spacing w:after="0"/>
            </w:pPr>
            <w:r>
              <w:rPr>
                <w:color w:val="232D30"/>
                <w:sz w:val="17"/>
              </w:rPr>
              <w:t>Organization</w:t>
            </w:r>
          </w:p>
        </w:tc>
        <w:tc>
          <w:tcPr>
            <w:tcW w:type="dxa" w:w="6336"/>
            <w:vAlign w:val="top"/>
          </w:tcPr>
          <w:p>
            <w:pPr>
              <w:spacing w:after="0"/>
            </w:pPr>
            <w:r>
              <w:rPr>
                <w:color w:val="232D30"/>
                <w:sz w:val="17"/>
              </w:rPr>
              <w:t>Tenant kimliği, şirketin temel adı, üyelik ve bütün domain ilişkilerinin kökü.</w:t>
            </w:r>
          </w:p>
        </w:tc>
      </w:tr>
      <w:tr>
        <w:tc>
          <w:tcPr>
            <w:tcW w:type="dxa" w:w="2880"/>
            <w:shd w:fill="F5F8F8"/>
            <w:vAlign w:val="top"/>
          </w:tcPr>
          <w:p>
            <w:pPr>
              <w:spacing w:after="0"/>
            </w:pPr>
            <w:r>
              <w:rPr>
                <w:color w:val="232D30"/>
                <w:sz w:val="17"/>
              </w:rPr>
              <w:t>Company Core Profile</w:t>
            </w:r>
          </w:p>
        </w:tc>
        <w:tc>
          <w:tcPr>
            <w:tcW w:type="dxa" w:w="6336"/>
            <w:shd w:fill="F5F8F8"/>
            <w:vAlign w:val="top"/>
          </w:tcPr>
          <w:p>
            <w:pPr>
              <w:spacing w:after="0"/>
            </w:pPr>
            <w:r>
              <w:rPr>
                <w:color w:val="232D30"/>
                <w:sz w:val="17"/>
              </w:rPr>
              <w:t>Hukuki/ticari kimlik, faaliyet yapısı, adresler, birimler, şirket politikaları ve doğrulanmış şirket düzeyi nitelikler.</w:t>
            </w:r>
          </w:p>
        </w:tc>
      </w:tr>
      <w:tr>
        <w:tc>
          <w:tcPr>
            <w:tcW w:type="dxa" w:w="2880"/>
            <w:vAlign w:val="top"/>
          </w:tcPr>
          <w:p>
            <w:pPr>
              <w:spacing w:after="0"/>
            </w:pPr>
            <w:r>
              <w:rPr>
                <w:color w:val="232D30"/>
                <w:sz w:val="17"/>
              </w:rPr>
              <w:t>Domain Records</w:t>
            </w:r>
          </w:p>
        </w:tc>
        <w:tc>
          <w:tcPr>
            <w:tcW w:type="dxa" w:w="6336"/>
            <w:vAlign w:val="top"/>
          </w:tcPr>
          <w:p>
            <w:pPr>
              <w:spacing w:after="0"/>
            </w:pPr>
            <w:r>
              <w:rPr>
                <w:color w:val="232D30"/>
                <w:sz w:val="17"/>
              </w:rPr>
              <w:t>Müşteri, ürün, teklif, tahsilat, gider, varlık, ekip, hedef, belge gibi kendi alanlarının canonical kayıtları.</w:t>
            </w:r>
          </w:p>
        </w:tc>
      </w:tr>
      <w:tr>
        <w:tc>
          <w:tcPr>
            <w:tcW w:type="dxa" w:w="2880"/>
            <w:shd w:fill="F5F8F8"/>
            <w:vAlign w:val="top"/>
          </w:tcPr>
          <w:p>
            <w:pPr>
              <w:spacing w:after="0"/>
            </w:pPr>
            <w:r>
              <w:rPr>
                <w:color w:val="232D30"/>
                <w:sz w:val="17"/>
              </w:rPr>
              <w:t>Company Management Projection</w:t>
            </w:r>
          </w:p>
        </w:tc>
        <w:tc>
          <w:tcPr>
            <w:tcW w:type="dxa" w:w="6336"/>
            <w:shd w:fill="F5F8F8"/>
            <w:vAlign w:val="top"/>
          </w:tcPr>
          <w:p>
            <w:pPr>
              <w:spacing w:after="0"/>
            </w:pPr>
            <w:r>
              <w:rPr>
                <w:color w:val="232D30"/>
                <w:sz w:val="17"/>
              </w:rPr>
              <w:t>Diğer domain gerçeklerini şirket düzeyinde birleştiren deterministik veya provenance taşıyan yönetim görünümü.</w:t>
            </w:r>
          </w:p>
        </w:tc>
      </w:tr>
      <w:tr>
        <w:tc>
          <w:tcPr>
            <w:tcW w:type="dxa" w:w="2880"/>
            <w:vAlign w:val="top"/>
          </w:tcPr>
          <w:p>
            <w:pPr>
              <w:spacing w:after="0"/>
            </w:pPr>
            <w:r>
              <w:rPr>
                <w:color w:val="232D30"/>
                <w:sz w:val="17"/>
              </w:rPr>
              <w:t>Executive Assessment</w:t>
            </w:r>
          </w:p>
        </w:tc>
        <w:tc>
          <w:tcPr>
            <w:tcW w:type="dxa" w:w="6336"/>
            <w:vAlign w:val="top"/>
          </w:tcPr>
          <w:p>
            <w:pPr>
              <w:spacing w:after="0"/>
            </w:pPr>
            <w:r>
              <w:rPr>
                <w:color w:val="232D30"/>
                <w:sz w:val="17"/>
              </w:rPr>
              <w:t>Projection içindeki kanıtların şirket açısından ne ifade ettiğini yorumlayan geçici muhakeme çıktısı.</w:t>
            </w:r>
          </w:p>
        </w:tc>
      </w:tr>
      <w:tr>
        <w:tc>
          <w:tcPr>
            <w:tcW w:type="dxa" w:w="2880"/>
            <w:shd w:fill="F5F8F8"/>
            <w:vAlign w:val="top"/>
          </w:tcPr>
          <w:p>
            <w:pPr>
              <w:spacing w:after="0"/>
            </w:pPr>
            <w:r>
              <w:rPr>
                <w:color w:val="232D30"/>
                <w:sz w:val="17"/>
              </w:rPr>
              <w:t>Şirketim UI</w:t>
            </w:r>
          </w:p>
        </w:tc>
        <w:tc>
          <w:tcPr>
            <w:tcW w:type="dxa" w:w="6336"/>
            <w:shd w:fill="F5F8F8"/>
            <w:vAlign w:val="top"/>
          </w:tcPr>
          <w:p>
            <w:pPr>
              <w:spacing w:after="0"/>
            </w:pPr>
            <w:r>
              <w:rPr>
                <w:color w:val="232D30"/>
                <w:sz w:val="17"/>
              </w:rPr>
              <w:t>Canonical reality, projection ve Executive Assessment’ı sade, yönetim odaklı deneyimde sunan yüzey.</w:t>
            </w:r>
          </w:p>
        </w:tc>
      </w:tr>
    </w:tbl>
    <w:p>
      <w:pPr>
        <w:spacing w:after="20"/>
      </w:pPr>
    </w:p>
    <w:p>
      <w:pPr>
        <w:pStyle w:val="Heading2"/>
      </w:pPr>
      <w:r>
        <w:t>3.2 Canonical sahiplik matrisi</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12"/>
            <w:shd w:fill="173F46"/>
          </w:tcPr>
          <w:p>
            <w:pPr>
              <w:jc w:val="left"/>
            </w:pPr>
            <w:r>
              <w:rPr>
                <w:b/>
                <w:color w:val="FFFFFF"/>
                <w:sz w:val="18"/>
              </w:rPr>
              <w:t>Bilgi</w:t>
            </w:r>
          </w:p>
        </w:tc>
        <w:tc>
          <w:tcPr>
            <w:tcW w:type="dxa" w:w="2880"/>
            <w:shd w:fill="173F46"/>
          </w:tcPr>
          <w:p>
            <w:pPr>
              <w:jc w:val="left"/>
            </w:pPr>
            <w:r>
              <w:rPr>
                <w:b/>
                <w:color w:val="FFFFFF"/>
                <w:sz w:val="18"/>
              </w:rPr>
              <w:t>Canonical sahibi</w:t>
            </w:r>
          </w:p>
        </w:tc>
        <w:tc>
          <w:tcPr>
            <w:tcW w:type="dxa" w:w="3024"/>
            <w:shd w:fill="173F46"/>
          </w:tcPr>
          <w:p>
            <w:pPr>
              <w:jc w:val="left"/>
            </w:pPr>
            <w:r>
              <w:rPr>
                <w:b/>
                <w:color w:val="FFFFFF"/>
                <w:sz w:val="18"/>
              </w:rPr>
              <w:t>Şirketim rolü</w:t>
            </w:r>
          </w:p>
        </w:tc>
      </w:tr>
      <w:tr>
        <w:tc>
          <w:tcPr>
            <w:tcW w:type="dxa" w:w="3312"/>
            <w:vAlign w:val="top"/>
          </w:tcPr>
          <w:p>
            <w:pPr>
              <w:spacing w:after="0"/>
            </w:pPr>
            <w:r>
              <w:rPr>
                <w:color w:val="232D30"/>
                <w:sz w:val="17"/>
              </w:rPr>
              <w:t>Şirket unvanı, iş modeli, faaliyet alanı</w:t>
            </w:r>
          </w:p>
        </w:tc>
        <w:tc>
          <w:tcPr>
            <w:tcW w:type="dxa" w:w="2880"/>
            <w:vAlign w:val="top"/>
          </w:tcPr>
          <w:p>
            <w:pPr>
              <w:spacing w:after="0"/>
            </w:pPr>
            <w:r>
              <w:rPr>
                <w:color w:val="232D30"/>
                <w:sz w:val="17"/>
              </w:rPr>
              <w:t>Company Core Profile</w:t>
            </w:r>
          </w:p>
        </w:tc>
        <w:tc>
          <w:tcPr>
            <w:tcW w:type="dxa" w:w="3024"/>
            <w:vAlign w:val="top"/>
          </w:tcPr>
          <w:p>
            <w:pPr>
              <w:spacing w:after="0"/>
            </w:pPr>
            <w:r>
              <w:rPr>
                <w:color w:val="232D30"/>
                <w:sz w:val="17"/>
              </w:rPr>
              <w:t>Okur ve düzenler.</w:t>
            </w:r>
          </w:p>
        </w:tc>
      </w:tr>
      <w:tr>
        <w:tc>
          <w:tcPr>
            <w:tcW w:type="dxa" w:w="3312"/>
            <w:shd w:fill="F5F8F8"/>
            <w:vAlign w:val="top"/>
          </w:tcPr>
          <w:p>
            <w:pPr>
              <w:spacing w:after="0"/>
            </w:pPr>
            <w:r>
              <w:rPr>
                <w:color w:val="232D30"/>
                <w:sz w:val="17"/>
              </w:rPr>
              <w:t>Müşteri kayıtları ve müşteri bakiyeleri</w:t>
            </w:r>
          </w:p>
        </w:tc>
        <w:tc>
          <w:tcPr>
            <w:tcW w:type="dxa" w:w="2880"/>
            <w:shd w:fill="F5F8F8"/>
            <w:vAlign w:val="top"/>
          </w:tcPr>
          <w:p>
            <w:pPr>
              <w:spacing w:after="0"/>
            </w:pPr>
            <w:r>
              <w:rPr>
                <w:color w:val="232D30"/>
                <w:sz w:val="17"/>
              </w:rPr>
              <w:t>Customers / Accounting</w:t>
            </w:r>
          </w:p>
        </w:tc>
        <w:tc>
          <w:tcPr>
            <w:tcW w:type="dxa" w:w="3024"/>
            <w:shd w:fill="F5F8F8"/>
            <w:vAlign w:val="top"/>
          </w:tcPr>
          <w:p>
            <w:pPr>
              <w:spacing w:after="0"/>
            </w:pPr>
            <w:r>
              <w:rPr>
                <w:color w:val="232D30"/>
                <w:sz w:val="17"/>
              </w:rPr>
              <w:t>Şirket düzeyi yoğunlaşma ve risk görünümü sunar.</w:t>
            </w:r>
          </w:p>
        </w:tc>
      </w:tr>
      <w:tr>
        <w:tc>
          <w:tcPr>
            <w:tcW w:type="dxa" w:w="3312"/>
            <w:vAlign w:val="top"/>
          </w:tcPr>
          <w:p>
            <w:pPr>
              <w:spacing w:after="0"/>
            </w:pPr>
            <w:r>
              <w:rPr>
                <w:color w:val="232D30"/>
                <w:sz w:val="17"/>
              </w:rPr>
              <w:t>Ürün/hizmet ve maliyet verileri</w:t>
            </w:r>
          </w:p>
        </w:tc>
        <w:tc>
          <w:tcPr>
            <w:tcW w:type="dxa" w:w="2880"/>
            <w:vAlign w:val="top"/>
          </w:tcPr>
          <w:p>
            <w:pPr>
              <w:spacing w:after="0"/>
            </w:pPr>
            <w:r>
              <w:rPr>
                <w:color w:val="232D30"/>
                <w:sz w:val="17"/>
              </w:rPr>
              <w:t>Products / Accounting</w:t>
            </w:r>
          </w:p>
        </w:tc>
        <w:tc>
          <w:tcPr>
            <w:tcW w:type="dxa" w:w="3024"/>
            <w:vAlign w:val="top"/>
          </w:tcPr>
          <w:p>
            <w:pPr>
              <w:spacing w:after="0"/>
            </w:pPr>
            <w:r>
              <w:rPr>
                <w:color w:val="232D30"/>
                <w:sz w:val="17"/>
              </w:rPr>
              <w:t>Kârlılık ve portföy görünümünde kullanır.</w:t>
            </w:r>
          </w:p>
        </w:tc>
      </w:tr>
      <w:tr>
        <w:tc>
          <w:tcPr>
            <w:tcW w:type="dxa" w:w="3312"/>
            <w:shd w:fill="F5F8F8"/>
            <w:vAlign w:val="top"/>
          </w:tcPr>
          <w:p>
            <w:pPr>
              <w:spacing w:after="0"/>
            </w:pPr>
            <w:r>
              <w:rPr>
                <w:color w:val="232D30"/>
                <w:sz w:val="17"/>
              </w:rPr>
              <w:t>Teklif, sipariş ve satış</w:t>
            </w:r>
          </w:p>
        </w:tc>
        <w:tc>
          <w:tcPr>
            <w:tcW w:type="dxa" w:w="2880"/>
            <w:shd w:fill="F5F8F8"/>
            <w:vAlign w:val="top"/>
          </w:tcPr>
          <w:p>
            <w:pPr>
              <w:spacing w:after="0"/>
            </w:pPr>
            <w:r>
              <w:rPr>
                <w:color w:val="232D30"/>
                <w:sz w:val="17"/>
              </w:rPr>
              <w:t>Quotes / Sales</w:t>
            </w:r>
          </w:p>
        </w:tc>
        <w:tc>
          <w:tcPr>
            <w:tcW w:type="dxa" w:w="3024"/>
            <w:shd w:fill="F5F8F8"/>
            <w:vAlign w:val="top"/>
          </w:tcPr>
          <w:p>
            <w:pPr>
              <w:spacing w:after="0"/>
            </w:pPr>
            <w:r>
              <w:rPr>
                <w:color w:val="232D30"/>
                <w:sz w:val="17"/>
              </w:rPr>
              <w:t>Hedef-gerçekleşen ve pipeline görünümü üretir.</w:t>
            </w:r>
          </w:p>
        </w:tc>
      </w:tr>
      <w:tr>
        <w:tc>
          <w:tcPr>
            <w:tcW w:type="dxa" w:w="3312"/>
            <w:vAlign w:val="top"/>
          </w:tcPr>
          <w:p>
            <w:pPr>
              <w:spacing w:after="0"/>
            </w:pPr>
            <w:r>
              <w:rPr>
                <w:color w:val="232D30"/>
                <w:sz w:val="17"/>
              </w:rPr>
              <w:t>Tahsilatlar ve alacaklar</w:t>
            </w:r>
          </w:p>
        </w:tc>
        <w:tc>
          <w:tcPr>
            <w:tcW w:type="dxa" w:w="2880"/>
            <w:vAlign w:val="top"/>
          </w:tcPr>
          <w:p>
            <w:pPr>
              <w:spacing w:after="0"/>
            </w:pPr>
            <w:r>
              <w:rPr>
                <w:color w:val="232D30"/>
                <w:sz w:val="17"/>
              </w:rPr>
              <w:t>Collections / Accounting</w:t>
            </w:r>
          </w:p>
        </w:tc>
        <w:tc>
          <w:tcPr>
            <w:tcW w:type="dxa" w:w="3024"/>
            <w:vAlign w:val="top"/>
          </w:tcPr>
          <w:p>
            <w:pPr>
              <w:spacing w:after="0"/>
            </w:pPr>
            <w:r>
              <w:rPr>
                <w:color w:val="232D30"/>
                <w:sz w:val="17"/>
              </w:rPr>
              <w:t>Nakit ve tahsilat görünümünde kullanır.</w:t>
            </w:r>
          </w:p>
        </w:tc>
      </w:tr>
      <w:tr>
        <w:tc>
          <w:tcPr>
            <w:tcW w:type="dxa" w:w="3312"/>
            <w:shd w:fill="F5F8F8"/>
            <w:vAlign w:val="top"/>
          </w:tcPr>
          <w:p>
            <w:pPr>
              <w:spacing w:after="0"/>
            </w:pPr>
            <w:r>
              <w:rPr>
                <w:color w:val="232D30"/>
                <w:sz w:val="17"/>
              </w:rPr>
              <w:t>Gider hareketleri</w:t>
            </w:r>
          </w:p>
        </w:tc>
        <w:tc>
          <w:tcPr>
            <w:tcW w:type="dxa" w:w="2880"/>
            <w:shd w:fill="F5F8F8"/>
            <w:vAlign w:val="top"/>
          </w:tcPr>
          <w:p>
            <w:pPr>
              <w:spacing w:after="0"/>
            </w:pPr>
            <w:r>
              <w:rPr>
                <w:color w:val="232D30"/>
                <w:sz w:val="17"/>
              </w:rPr>
              <w:t>Accounting / Expenses</w:t>
            </w:r>
          </w:p>
        </w:tc>
        <w:tc>
          <w:tcPr>
            <w:tcW w:type="dxa" w:w="3024"/>
            <w:shd w:fill="F5F8F8"/>
            <w:vAlign w:val="top"/>
          </w:tcPr>
          <w:p>
            <w:pPr>
              <w:spacing w:after="0"/>
            </w:pPr>
            <w:r>
              <w:rPr>
                <w:color w:val="232D30"/>
                <w:sz w:val="17"/>
              </w:rPr>
              <w:t>Faaliyet gideri ve kâr-zarar projection’ında kullanır.</w:t>
            </w:r>
          </w:p>
        </w:tc>
      </w:tr>
      <w:tr>
        <w:tc>
          <w:tcPr>
            <w:tcW w:type="dxa" w:w="3312"/>
            <w:vAlign w:val="top"/>
          </w:tcPr>
          <w:p>
            <w:pPr>
              <w:spacing w:after="0"/>
            </w:pPr>
            <w:r>
              <w:rPr>
                <w:color w:val="232D30"/>
                <w:sz w:val="17"/>
              </w:rPr>
              <w:t>Makine, araç, stok, banka ve diğer varlıklar</w:t>
            </w:r>
          </w:p>
        </w:tc>
        <w:tc>
          <w:tcPr>
            <w:tcW w:type="dxa" w:w="2880"/>
            <w:vAlign w:val="top"/>
          </w:tcPr>
          <w:p>
            <w:pPr>
              <w:spacing w:after="0"/>
            </w:pPr>
            <w:r>
              <w:rPr>
                <w:color w:val="232D30"/>
                <w:sz w:val="17"/>
              </w:rPr>
              <w:t>Assets / Inventory / Accounting</w:t>
            </w:r>
          </w:p>
        </w:tc>
        <w:tc>
          <w:tcPr>
            <w:tcW w:type="dxa" w:w="3024"/>
            <w:vAlign w:val="top"/>
          </w:tcPr>
          <w:p>
            <w:pPr>
              <w:spacing w:after="0"/>
            </w:pPr>
            <w:r>
              <w:rPr>
                <w:color w:val="232D30"/>
                <w:sz w:val="17"/>
              </w:rPr>
              <w:t>Varlık yönetim görünümünü sunar.</w:t>
            </w:r>
          </w:p>
        </w:tc>
      </w:tr>
      <w:tr>
        <w:tc>
          <w:tcPr>
            <w:tcW w:type="dxa" w:w="3312"/>
            <w:shd w:fill="F5F8F8"/>
            <w:vAlign w:val="top"/>
          </w:tcPr>
          <w:p>
            <w:pPr>
              <w:spacing w:after="0"/>
            </w:pPr>
            <w:r>
              <w:rPr>
                <w:color w:val="232D30"/>
                <w:sz w:val="17"/>
              </w:rPr>
              <w:t>Personel ve satış temsilcileri</w:t>
            </w:r>
          </w:p>
        </w:tc>
        <w:tc>
          <w:tcPr>
            <w:tcW w:type="dxa" w:w="2880"/>
            <w:shd w:fill="F5F8F8"/>
            <w:vAlign w:val="top"/>
          </w:tcPr>
          <w:p>
            <w:pPr>
              <w:spacing w:after="0"/>
            </w:pPr>
            <w:r>
              <w:rPr>
                <w:color w:val="232D30"/>
                <w:sz w:val="17"/>
              </w:rPr>
              <w:t>Team</w:t>
            </w:r>
          </w:p>
        </w:tc>
        <w:tc>
          <w:tcPr>
            <w:tcW w:type="dxa" w:w="3024"/>
            <w:shd w:fill="F5F8F8"/>
            <w:vAlign w:val="top"/>
          </w:tcPr>
          <w:p>
            <w:pPr>
              <w:spacing w:after="0"/>
            </w:pPr>
            <w:r>
              <w:rPr>
                <w:color w:val="232D30"/>
                <w:sz w:val="17"/>
              </w:rPr>
              <w:t>Ekip kapasitesi ve performans özetini sunar.</w:t>
            </w:r>
          </w:p>
        </w:tc>
      </w:tr>
      <w:tr>
        <w:tc>
          <w:tcPr>
            <w:tcW w:type="dxa" w:w="3312"/>
            <w:vAlign w:val="top"/>
          </w:tcPr>
          <w:p>
            <w:pPr>
              <w:spacing w:after="0"/>
            </w:pPr>
            <w:r>
              <w:rPr>
                <w:color w:val="232D30"/>
                <w:sz w:val="17"/>
              </w:rPr>
              <w:t>Şirket, ekip ve temsilci hedefleri</w:t>
            </w:r>
          </w:p>
        </w:tc>
        <w:tc>
          <w:tcPr>
            <w:tcW w:type="dxa" w:w="2880"/>
            <w:vAlign w:val="top"/>
          </w:tcPr>
          <w:p>
            <w:pPr>
              <w:spacing w:after="0"/>
            </w:pPr>
            <w:r>
              <w:rPr>
                <w:color w:val="232D30"/>
                <w:sz w:val="17"/>
              </w:rPr>
              <w:t>Goals</w:t>
            </w:r>
          </w:p>
        </w:tc>
        <w:tc>
          <w:tcPr>
            <w:tcW w:type="dxa" w:w="3024"/>
            <w:vAlign w:val="top"/>
          </w:tcPr>
          <w:p>
            <w:pPr>
              <w:spacing w:after="0"/>
            </w:pPr>
            <w:r>
              <w:rPr>
                <w:color w:val="232D30"/>
                <w:sz w:val="17"/>
              </w:rPr>
              <w:t>Şirket düzeyinde hedef-gerçekleşen okur.</w:t>
            </w:r>
          </w:p>
        </w:tc>
      </w:tr>
      <w:tr>
        <w:tc>
          <w:tcPr>
            <w:tcW w:type="dxa" w:w="3312"/>
            <w:shd w:fill="F5F8F8"/>
            <w:vAlign w:val="top"/>
          </w:tcPr>
          <w:p>
            <w:pPr>
              <w:spacing w:after="0"/>
            </w:pPr>
            <w:r>
              <w:rPr>
                <w:color w:val="232D30"/>
                <w:sz w:val="17"/>
              </w:rPr>
              <w:t>Haftalık temsilci beyanları</w:t>
            </w:r>
          </w:p>
        </w:tc>
        <w:tc>
          <w:tcPr>
            <w:tcW w:type="dxa" w:w="2880"/>
            <w:shd w:fill="F5F8F8"/>
            <w:vAlign w:val="top"/>
          </w:tcPr>
          <w:p>
            <w:pPr>
              <w:spacing w:after="0"/>
            </w:pPr>
            <w:r>
              <w:rPr>
                <w:color w:val="232D30"/>
                <w:sz w:val="17"/>
              </w:rPr>
              <w:t>Reporting</w:t>
            </w:r>
          </w:p>
        </w:tc>
        <w:tc>
          <w:tcPr>
            <w:tcW w:type="dxa" w:w="3024"/>
            <w:shd w:fill="F5F8F8"/>
            <w:vAlign w:val="top"/>
          </w:tcPr>
          <w:p>
            <w:pPr>
              <w:spacing w:after="0"/>
            </w:pPr>
            <w:r>
              <w:rPr>
                <w:color w:val="232D30"/>
                <w:sz w:val="17"/>
              </w:rPr>
              <w:t>Yönetim raporlarında birleştirir.</w:t>
            </w:r>
          </w:p>
        </w:tc>
      </w:tr>
      <w:tr>
        <w:tc>
          <w:tcPr>
            <w:tcW w:type="dxa" w:w="3312"/>
            <w:vAlign w:val="top"/>
          </w:tcPr>
          <w:p>
            <w:pPr>
              <w:spacing w:after="0"/>
            </w:pPr>
            <w:r>
              <w:rPr>
                <w:color w:val="232D30"/>
                <w:sz w:val="17"/>
              </w:rPr>
              <w:t>Yönetim yorumu</w:t>
            </w:r>
          </w:p>
        </w:tc>
        <w:tc>
          <w:tcPr>
            <w:tcW w:type="dxa" w:w="2880"/>
            <w:vAlign w:val="top"/>
          </w:tcPr>
          <w:p>
            <w:pPr>
              <w:spacing w:after="0"/>
            </w:pPr>
            <w:r>
              <w:rPr>
                <w:color w:val="232D30"/>
                <w:sz w:val="17"/>
              </w:rPr>
              <w:t>Executive Brain</w:t>
            </w:r>
          </w:p>
        </w:tc>
        <w:tc>
          <w:tcPr>
            <w:tcW w:type="dxa" w:w="3024"/>
            <w:vAlign w:val="top"/>
          </w:tcPr>
          <w:p>
            <w:pPr>
              <w:spacing w:after="0"/>
            </w:pPr>
            <w:r>
              <w:rPr>
                <w:color w:val="232D30"/>
                <w:sz w:val="17"/>
              </w:rPr>
              <w:t>Canonical kayıt yapmaz; kanıtlı assessment olarak sunar.</w:t>
            </w:r>
          </w:p>
        </w:tc>
      </w:tr>
    </w:tbl>
    <w:p>
      <w:pPr>
        <w:spacing w:after="20"/>
      </w:pPr>
    </w:p>
    <w:p>
      <w:pPr>
        <w:pStyle w:val="Heading2"/>
      </w:pPr>
      <w:r>
        <w:t>3.3 Yasak sahiplikler</w:t>
      </w:r>
    </w:p>
    <w:p>
      <w:pPr>
        <w:pStyle w:val="ListBullet"/>
        <w:spacing w:after="60"/>
      </w:pPr>
      <w:r>
        <w:t>Şirketim sayfasında gösterilen özetler, kaynak domain kayıtlarının kopyası olarak ikinci kez saklanamaz.</w:t>
      </w:r>
    </w:p>
    <w:p>
      <w:pPr>
        <w:pStyle w:val="ListBullet"/>
        <w:spacing w:after="60"/>
      </w:pPr>
      <w:r>
        <w:t>AI’ın ürettiği yönetim yorumu Company Reality’ye geri yazılamaz.</w:t>
      </w:r>
    </w:p>
    <w:p>
      <w:pPr>
        <w:pStyle w:val="ListBullet"/>
        <w:spacing w:after="60"/>
      </w:pPr>
      <w:r>
        <w:t>MetrixWorkspace local/demo state’i canonical kaynak sayılamaz.</w:t>
      </w:r>
    </w:p>
    <w:p>
      <w:pPr>
        <w:pStyle w:val="ListBullet"/>
        <w:spacing w:after="60"/>
      </w:pPr>
      <w:r>
        <w:t>Bir entegrasyon sağlayıcısının veri modeli METRIX’in Company modelini belirleyemez.</w:t>
      </w:r>
    </w:p>
    <w:p>
      <w:pPr>
        <w:pStyle w:val="ListBullet"/>
        <w:spacing w:after="60"/>
      </w:pPr>
      <w:r>
        <w:t>CompanyModel projection, yeni bir persistent truth authority olamaz.</w:t>
      </w:r>
    </w:p>
    <w:p>
      <w:pPr>
        <w:pStyle w:val="ListBullet"/>
        <w:spacing w:after="60"/>
      </w:pPr>
      <w:r>
        <w:t>Dinamik alan sistemi, bütün domainleri kontrol eden sınırsız JSON çöplüğüne dönüşemez.</w:t>
      </w:r>
    </w:p>
    <w:p>
      <w:pPr>
        <w:pStyle w:val="Heading1"/>
      </w:pPr>
      <w:r>
        <w:t>4. Company Reality Veri Katmanları</w:t>
      </w:r>
    </w:p>
    <w:p>
      <w:pPr>
        <w:pStyle w:val="Heading2"/>
      </w:pPr>
      <w:r>
        <w:t>4.1 Çekirdek şirket kimliği</w:t>
      </w:r>
    </w:p>
    <w:p>
      <w:pPr>
        <w:pStyle w:val="ListBullet"/>
        <w:spacing w:after="60"/>
      </w:pPr>
      <w:r>
        <w:t>Marka adı, ticari unvan, kısa ad, şirket türü ve kuruluş tarihi.</w:t>
      </w:r>
    </w:p>
    <w:p>
      <w:pPr>
        <w:pStyle w:val="ListBullet"/>
        <w:spacing w:after="60"/>
      </w:pPr>
      <w:r>
        <w:t>Ana sektör, alt sektörler, faaliyet alanları ve şirket açıklaması.</w:t>
      </w:r>
    </w:p>
    <w:p>
      <w:pPr>
        <w:pStyle w:val="ListBullet"/>
        <w:spacing w:after="60"/>
      </w:pPr>
      <w:r>
        <w:t>Ülke, zaman dilimi, ana dil, ana para birimi ve mali yıl başlangıcı.</w:t>
      </w:r>
    </w:p>
    <w:p>
      <w:pPr>
        <w:pStyle w:val="ListBullet"/>
        <w:spacing w:after="60"/>
      </w:pPr>
      <w:r>
        <w:t>Web sitesi, kurumsal iletişim kanalları ve logo/marka referansları.</w:t>
      </w:r>
    </w:p>
    <w:p>
      <w:pPr>
        <w:pStyle w:val="ListBullet"/>
        <w:spacing w:after="60"/>
      </w:pPr>
      <w:r>
        <w:t>Vergi numarası, vergi dairesi, MERSİS, ticaret sicili, KEP ve e-belge durumları.</w:t>
      </w:r>
    </w:p>
    <w:p>
      <w:pPr>
        <w:pStyle w:val="Heading2"/>
      </w:pPr>
      <w:r>
        <w:t>4.2 Adres, birim ve organizasyon yapısı</w:t>
      </w:r>
    </w:p>
    <w:p>
      <w:pPr>
        <w:pStyle w:val="ListBullet"/>
        <w:spacing w:after="60"/>
      </w:pPr>
      <w:r>
        <w:t>Merkez, fatura, sevkiyat ve diğer adres türleri canonical ve yapısal tutulur.</w:t>
      </w:r>
    </w:p>
    <w:p>
      <w:pPr>
        <w:pStyle w:val="ListBullet"/>
        <w:spacing w:after="60"/>
      </w:pPr>
      <w:r>
        <w:t>Şube, fabrika, depo, mağaza, saha ve iş birimleri ayrı kayıtlar olarak modellenebilir.</w:t>
      </w:r>
    </w:p>
    <w:p>
      <w:pPr>
        <w:pStyle w:val="ListBullet"/>
        <w:spacing w:after="60"/>
      </w:pPr>
      <w:r>
        <w:t>Her birimin sorumluları, çalışma durumu ve ilgili operasyonel bağları kurulabilir.</w:t>
      </w:r>
    </w:p>
    <w:p>
      <w:pPr>
        <w:pStyle w:val="ListBullet"/>
        <w:spacing w:after="60"/>
      </w:pPr>
      <w:r>
        <w:t>İlk kullanıcı deneyimi tek şirket/tek merkez kadar sade olabilir; model çoklu legal entity ve birim genişlemesini engellemez.</w:t>
      </w:r>
    </w:p>
    <w:p>
      <w:pPr>
        <w:pStyle w:val="Heading2"/>
      </w:pPr>
      <w:r>
        <w:t>4.3 İş modeli ve yönetim bağlamı</w:t>
      </w:r>
    </w:p>
    <w:p>
      <w:pPr>
        <w:pStyle w:val="ListBullet"/>
        <w:spacing w:after="60"/>
      </w:pPr>
      <w:r>
        <w:t>Gelir modeli, satış kanalları, ana müşteri türleri ve hizmet verilen bölgeler.</w:t>
      </w:r>
    </w:p>
    <w:p>
      <w:pPr>
        <w:pStyle w:val="ListBullet"/>
        <w:spacing w:after="60"/>
      </w:pPr>
      <w:r>
        <w:t>Ana ürün/hizmet grupları, mevsimsellik, kritik tedarik yapısı ve maliyet sürücüleri.</w:t>
      </w:r>
    </w:p>
    <w:p>
      <w:pPr>
        <w:pStyle w:val="ListBullet"/>
        <w:spacing w:after="60"/>
      </w:pPr>
      <w:r>
        <w:t>Şirketin büyüme evresi, kapasite sınırları ve operasyonel kısıtları.</w:t>
      </w:r>
    </w:p>
    <w:p>
      <w:pPr>
        <w:pStyle w:val="ListBullet"/>
        <w:spacing w:after="60"/>
      </w:pPr>
      <w:r>
        <w:t>Risk toleransı, onay/iskonto politikaları, standart vade ve ticari çalışma ilkeleri.</w:t>
      </w:r>
    </w:p>
    <w:p>
      <w:pPr>
        <w:pStyle w:val="ListBullet"/>
        <w:spacing w:after="60"/>
      </w:pPr>
      <w:r>
        <w:t>Şirketin ölçmek istediği başarı sonuçları ve mevcut stratejik öncelikleri.</w:t>
      </w:r>
    </w:p>
    <w:p>
      <w:pPr>
        <w:pStyle w:val="Heading2"/>
      </w:pPr>
      <w:r>
        <w:t>4.4 Hedefler ve yönetim öncelikleri</w:t>
      </w:r>
    </w:p>
    <w:p>
      <w:r>
        <w:t>Şirketim hedeflerin canonical sahibi değildir; ancak şirket düzeyinde hedefleri ve gerçekleşenleri aynı yönetim resminde birleştirir. Hedef kayıtları en az kapsam, dönem, ölçü, hedef değer, sahip, kaynak, durum ve gerçekleşme hesaplama sözleşmesi taşır.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73F46"/>
          </w:tcPr>
          <w:p>
            <w:pPr>
              <w:jc w:val="left"/>
            </w:pPr>
            <w:r>
              <w:rPr>
                <w:b/>
                <w:color w:val="FFFFFF"/>
                <w:sz w:val="18"/>
              </w:rPr>
              <w:t>Hedef türü</w:t>
            </w:r>
          </w:p>
        </w:tc>
        <w:tc>
          <w:tcPr>
            <w:tcW w:type="dxa" w:w="3240"/>
            <w:shd w:fill="173F46"/>
          </w:tcPr>
          <w:p>
            <w:pPr>
              <w:jc w:val="left"/>
            </w:pPr>
            <w:r>
              <w:rPr>
                <w:b/>
                <w:color w:val="FFFFFF"/>
                <w:sz w:val="18"/>
              </w:rPr>
              <w:t>Örnek</w:t>
            </w:r>
          </w:p>
        </w:tc>
        <w:tc>
          <w:tcPr>
            <w:tcW w:type="dxa" w:w="3816"/>
            <w:shd w:fill="173F46"/>
          </w:tcPr>
          <w:p>
            <w:pPr>
              <w:jc w:val="left"/>
            </w:pPr>
            <w:r>
              <w:rPr>
                <w:b/>
                <w:color w:val="FFFFFF"/>
                <w:sz w:val="18"/>
              </w:rPr>
              <w:t>Şirketim görünümü</w:t>
            </w:r>
          </w:p>
        </w:tc>
      </w:tr>
      <w:tr>
        <w:tc>
          <w:tcPr>
            <w:tcW w:type="dxa" w:w="2160"/>
            <w:vAlign w:val="top"/>
          </w:tcPr>
          <w:p>
            <w:pPr>
              <w:spacing w:after="0"/>
            </w:pPr>
            <w:r>
              <w:rPr>
                <w:color w:val="232D30"/>
                <w:sz w:val="17"/>
              </w:rPr>
              <w:t>Şirket hedefi</w:t>
            </w:r>
          </w:p>
        </w:tc>
        <w:tc>
          <w:tcPr>
            <w:tcW w:type="dxa" w:w="3240"/>
            <w:vAlign w:val="top"/>
          </w:tcPr>
          <w:p>
            <w:pPr>
              <w:spacing w:after="0"/>
            </w:pPr>
            <w:r>
              <w:rPr>
                <w:color w:val="232D30"/>
                <w:sz w:val="17"/>
              </w:rPr>
              <w:t>Yıllık ciro, brüt kâr, yeni müşteri, ihracat payı</w:t>
            </w:r>
          </w:p>
        </w:tc>
        <w:tc>
          <w:tcPr>
            <w:tcW w:type="dxa" w:w="3816"/>
            <w:vAlign w:val="top"/>
          </w:tcPr>
          <w:p>
            <w:pPr>
              <w:spacing w:after="0"/>
            </w:pPr>
            <w:r>
              <w:rPr>
                <w:color w:val="232D30"/>
                <w:sz w:val="17"/>
              </w:rPr>
              <w:t>Öncelikli hedef kartları ve dönem sonu tahmini.</w:t>
            </w:r>
          </w:p>
        </w:tc>
      </w:tr>
      <w:tr>
        <w:tc>
          <w:tcPr>
            <w:tcW w:type="dxa" w:w="2160"/>
            <w:shd w:fill="F5F8F8"/>
            <w:vAlign w:val="top"/>
          </w:tcPr>
          <w:p>
            <w:pPr>
              <w:spacing w:after="0"/>
            </w:pPr>
            <w:r>
              <w:rPr>
                <w:color w:val="232D30"/>
                <w:sz w:val="17"/>
              </w:rPr>
              <w:t>Ekip hedefi</w:t>
            </w:r>
          </w:p>
        </w:tc>
        <w:tc>
          <w:tcPr>
            <w:tcW w:type="dxa" w:w="3240"/>
            <w:shd w:fill="F5F8F8"/>
            <w:vAlign w:val="top"/>
          </w:tcPr>
          <w:p>
            <w:pPr>
              <w:spacing w:after="0"/>
            </w:pPr>
            <w:r>
              <w:rPr>
                <w:color w:val="232D30"/>
                <w:sz w:val="17"/>
              </w:rPr>
              <w:t>Satış ekibi aylık satış ve tahsilat hedefi</w:t>
            </w:r>
          </w:p>
        </w:tc>
        <w:tc>
          <w:tcPr>
            <w:tcW w:type="dxa" w:w="3816"/>
            <w:shd w:fill="F5F8F8"/>
            <w:vAlign w:val="top"/>
          </w:tcPr>
          <w:p>
            <w:pPr>
              <w:spacing w:after="0"/>
            </w:pPr>
            <w:r>
              <w:rPr>
                <w:color w:val="232D30"/>
                <w:sz w:val="17"/>
              </w:rPr>
              <w:t>Ekip düzeyi gerçekleşme ve risk özeti.</w:t>
            </w:r>
          </w:p>
        </w:tc>
      </w:tr>
      <w:tr>
        <w:tc>
          <w:tcPr>
            <w:tcW w:type="dxa" w:w="2160"/>
            <w:vAlign w:val="top"/>
          </w:tcPr>
          <w:p>
            <w:pPr>
              <w:spacing w:after="0"/>
            </w:pPr>
            <w:r>
              <w:rPr>
                <w:color w:val="232D30"/>
                <w:sz w:val="17"/>
              </w:rPr>
              <w:t>Temsilci hedefi</w:t>
            </w:r>
          </w:p>
        </w:tc>
        <w:tc>
          <w:tcPr>
            <w:tcW w:type="dxa" w:w="3240"/>
            <w:vAlign w:val="top"/>
          </w:tcPr>
          <w:p>
            <w:pPr>
              <w:spacing w:after="0"/>
            </w:pPr>
            <w:r>
              <w:rPr>
                <w:color w:val="232D30"/>
                <w:sz w:val="17"/>
              </w:rPr>
              <w:t>Kişisel satış, tahsilat veya fırsat hedefi</w:t>
            </w:r>
          </w:p>
        </w:tc>
        <w:tc>
          <w:tcPr>
            <w:tcW w:type="dxa" w:w="3816"/>
            <w:vAlign w:val="top"/>
          </w:tcPr>
          <w:p>
            <w:pPr>
              <w:spacing w:after="0"/>
            </w:pPr>
            <w:r>
              <w:rPr>
                <w:color w:val="232D30"/>
                <w:sz w:val="17"/>
              </w:rPr>
              <w:t>Şirket düzeyinde yalnız önemli sapma/başarı; detay Ekip domaininde.</w:t>
            </w:r>
          </w:p>
        </w:tc>
      </w:tr>
      <w:tr>
        <w:tc>
          <w:tcPr>
            <w:tcW w:type="dxa" w:w="2160"/>
            <w:shd w:fill="F5F8F8"/>
            <w:vAlign w:val="top"/>
          </w:tcPr>
          <w:p>
            <w:pPr>
              <w:spacing w:after="0"/>
            </w:pPr>
            <w:r>
              <w:rPr>
                <w:color w:val="232D30"/>
                <w:sz w:val="17"/>
              </w:rPr>
              <w:t>Stratejik hedef</w:t>
            </w:r>
          </w:p>
        </w:tc>
        <w:tc>
          <w:tcPr>
            <w:tcW w:type="dxa" w:w="3240"/>
            <w:shd w:fill="F5F8F8"/>
            <w:vAlign w:val="top"/>
          </w:tcPr>
          <w:p>
            <w:pPr>
              <w:spacing w:after="0"/>
            </w:pPr>
            <w:r>
              <w:rPr>
                <w:color w:val="232D30"/>
                <w:sz w:val="17"/>
              </w:rPr>
              <w:t>Yeni pazar, kapasite yatırımı, şube açılışı</w:t>
            </w:r>
          </w:p>
        </w:tc>
        <w:tc>
          <w:tcPr>
            <w:tcW w:type="dxa" w:w="3816"/>
            <w:shd w:fill="F5F8F8"/>
            <w:vAlign w:val="top"/>
          </w:tcPr>
          <w:p>
            <w:pPr>
              <w:spacing w:after="0"/>
            </w:pPr>
            <w:r>
              <w:rPr>
                <w:color w:val="232D30"/>
                <w:sz w:val="17"/>
              </w:rPr>
              <w:t>Milestone, sahiplik, risk ve karar takibi.</w:t>
            </w:r>
          </w:p>
        </w:tc>
      </w:tr>
    </w:tbl>
    <w:p>
      <w:pPr>
        <w:spacing w:after="20"/>
      </w:pPr>
    </w:p>
    <w:p>
      <w:pPr>
        <w:pStyle w:val="Heading1"/>
      </w:pPr>
      <w:r>
        <w:t>5. Dinamik Kurumsal Alan Sistemi</w:t>
      </w:r>
    </w:p>
    <w:p>
      <w:pPr>
        <w:pStyle w:val="Heading2"/>
      </w:pPr>
      <w:r>
        <w:t>5.1 Kurucu ihtiyaç</w:t>
      </w:r>
    </w:p>
    <w:p>
      <w:r>
        <w:t>METRIX yalnız önceden düşünülmüş alanlarla sınırlanamaz. Sektör, şirket, dönem veya yönetim ihtiyacı nedeniyle daha önce tasarlanmamış fakat kalıcı yönetim değeri taşıyan bilgiler oluşabilir. Bu nedenle Şirketim, kontrollü Dinamik Kurumsal Alan Sistemi kullanır.</w:t>
      </w:r>
    </w:p>
    <w:tbl>
      <w:tblPr>
        <w:tblW w:type="auto" w:w="0"/>
        <w:jc w:val="center"/>
        <w:tblLayout w:type="fixed"/>
        <w:tblLook w:firstColumn="1" w:firstRow="1" w:lastColumn="0" w:lastRow="0" w:noHBand="0" w:noVBand="1" w:val="04A0"/>
      </w:tblPr>
      <w:tblGrid>
        <w:gridCol w:w="202"/>
        <w:gridCol w:w="9144"/>
      </w:tblGrid>
      <w:tr>
        <w:tc>
          <w:tcPr>
            <w:tcW w:type="dxa" w:w="5083"/>
            <w:shd w:fill="1F8A8A"/>
            <w:tcBorders>
              <w:top w:val="nil"/>
              <w:left w:val="nil"/>
              <w:bottom w:val="nil"/>
              <w:right w:val="nil"/>
            </w:tcBorders>
            <w:vAlign w:val="center"/>
          </w:tcPr>
          <w:p/>
        </w:tc>
        <w:tc>
          <w:tcPr>
            <w:tcW w:type="dxa" w:w="5083"/>
            <w:shd w:fill="F1F7F7"/>
            <w:tcBorders>
              <w:top w:val="nil"/>
              <w:left w:val="nil"/>
              <w:bottom w:val="nil"/>
              <w:right w:val="nil"/>
            </w:tcBorders>
            <w:vAlign w:val="center"/>
          </w:tcPr>
          <w:p>
            <w:r>
              <w:rPr>
                <w:b/>
                <w:color w:val="142D30"/>
                <w:sz w:val="21"/>
              </w:rPr>
              <w:t>Ana hüküm</w:t>
            </w:r>
          </w:p>
          <w:p>
            <w:pPr>
              <w:pStyle w:val="BodyText"/>
              <w:spacing w:after="0"/>
            </w:pPr>
            <w:r>
              <w:t>METRIX yeni bir input oluşturabilir; fakat fiziksel veritabanına rastgele kolon ekleyemez, alanı yanlış domaine bağlayamaz veya doğrulanmamış bilgiyi şirket gerçeği olarak kullanamaz.</w:t>
            </w:r>
          </w:p>
        </w:tc>
      </w:tr>
    </w:tbl>
    <w:p>
      <w:pPr>
        <w:spacing w:after="20"/>
      </w:pPr>
    </w:p>
    <w:p>
      <w:pPr>
        <w:pStyle w:val="Heading2"/>
      </w:pPr>
      <w:r>
        <w:t>5.2 Alan tanımı sözleşmesi</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F46"/>
          </w:tcPr>
          <w:p>
            <w:pPr>
              <w:jc w:val="left"/>
            </w:pPr>
            <w:r>
              <w:rPr>
                <w:b/>
                <w:color w:val="FFFFFF"/>
                <w:sz w:val="18"/>
              </w:rPr>
              <w:t>Zorunlu özellik</w:t>
            </w:r>
          </w:p>
        </w:tc>
        <w:tc>
          <w:tcPr>
            <w:tcW w:type="dxa" w:w="6336"/>
            <w:shd w:fill="173F46"/>
          </w:tcPr>
          <w:p>
            <w:pPr>
              <w:jc w:val="left"/>
            </w:pPr>
            <w:r>
              <w:rPr>
                <w:b/>
                <w:color w:val="FFFFFF"/>
                <w:sz w:val="18"/>
              </w:rPr>
              <w:t>Açıklama</w:t>
            </w:r>
          </w:p>
        </w:tc>
      </w:tr>
      <w:tr>
        <w:tc>
          <w:tcPr>
            <w:tcW w:type="dxa" w:w="2880"/>
            <w:vAlign w:val="top"/>
          </w:tcPr>
          <w:p>
            <w:pPr>
              <w:spacing w:after="0"/>
            </w:pPr>
            <w:r>
              <w:rPr>
                <w:color w:val="232D30"/>
                <w:sz w:val="17"/>
              </w:rPr>
              <w:t>Kimlik</w:t>
            </w:r>
          </w:p>
        </w:tc>
        <w:tc>
          <w:tcPr>
            <w:tcW w:type="dxa" w:w="6336"/>
            <w:vAlign w:val="top"/>
          </w:tcPr>
          <w:p>
            <w:pPr>
              <w:spacing w:after="0"/>
            </w:pPr>
            <w:r>
              <w:rPr>
                <w:color w:val="232D30"/>
                <w:sz w:val="17"/>
              </w:rPr>
              <w:t>Benzersiz alan kimliği, teknik key, kullanıcı etiketi ve açıklama.</w:t>
            </w:r>
          </w:p>
        </w:tc>
      </w:tr>
      <w:tr>
        <w:tc>
          <w:tcPr>
            <w:tcW w:type="dxa" w:w="2880"/>
            <w:shd w:fill="F5F8F8"/>
            <w:vAlign w:val="top"/>
          </w:tcPr>
          <w:p>
            <w:pPr>
              <w:spacing w:after="0"/>
            </w:pPr>
            <w:r>
              <w:rPr>
                <w:color w:val="232D30"/>
                <w:sz w:val="17"/>
              </w:rPr>
              <w:t>Domain sahipliği</w:t>
            </w:r>
          </w:p>
        </w:tc>
        <w:tc>
          <w:tcPr>
            <w:tcW w:type="dxa" w:w="6336"/>
            <w:shd w:fill="F5F8F8"/>
            <w:vAlign w:val="top"/>
          </w:tcPr>
          <w:p>
            <w:pPr>
              <w:spacing w:after="0"/>
            </w:pPr>
            <w:r>
              <w:rPr>
                <w:color w:val="232D30"/>
                <w:sz w:val="17"/>
              </w:rPr>
              <w:t>Company, branch, operation, asset, customer veya başka doğru subject türü.</w:t>
            </w:r>
          </w:p>
        </w:tc>
      </w:tr>
      <w:tr>
        <w:tc>
          <w:tcPr>
            <w:tcW w:type="dxa" w:w="2880"/>
            <w:vAlign w:val="top"/>
          </w:tcPr>
          <w:p>
            <w:pPr>
              <w:spacing w:after="0"/>
            </w:pPr>
            <w:r>
              <w:rPr>
                <w:color w:val="232D30"/>
                <w:sz w:val="17"/>
              </w:rPr>
              <w:t>Veri türü</w:t>
            </w:r>
          </w:p>
        </w:tc>
        <w:tc>
          <w:tcPr>
            <w:tcW w:type="dxa" w:w="6336"/>
            <w:vAlign w:val="top"/>
          </w:tcPr>
          <w:p>
            <w:pPr>
              <w:spacing w:after="0"/>
            </w:pPr>
            <w:r>
              <w:rPr>
                <w:color w:val="232D30"/>
                <w:sz w:val="17"/>
              </w:rPr>
              <w:t>Metin, sayı, para, yüzde, tarih, boolean, enum, ilişki veya yapılandırılmış değer.</w:t>
            </w:r>
          </w:p>
        </w:tc>
      </w:tr>
      <w:tr>
        <w:tc>
          <w:tcPr>
            <w:tcW w:type="dxa" w:w="2880"/>
            <w:shd w:fill="F5F8F8"/>
            <w:vAlign w:val="top"/>
          </w:tcPr>
          <w:p>
            <w:pPr>
              <w:spacing w:after="0"/>
            </w:pPr>
            <w:r>
              <w:rPr>
                <w:color w:val="232D30"/>
                <w:sz w:val="17"/>
              </w:rPr>
              <w:t>Ölçü ve dönem</w:t>
            </w:r>
          </w:p>
        </w:tc>
        <w:tc>
          <w:tcPr>
            <w:tcW w:type="dxa" w:w="6336"/>
            <w:shd w:fill="F5F8F8"/>
            <w:vAlign w:val="top"/>
          </w:tcPr>
          <w:p>
            <w:pPr>
              <w:spacing w:after="0"/>
            </w:pPr>
            <w:r>
              <w:rPr>
                <w:color w:val="232D30"/>
                <w:sz w:val="17"/>
              </w:rPr>
              <w:t>Birim, para birimi, tekil/dönemsel olma, geçerlilik başlangıcı ve bitişi.</w:t>
            </w:r>
          </w:p>
        </w:tc>
      </w:tr>
      <w:tr>
        <w:tc>
          <w:tcPr>
            <w:tcW w:type="dxa" w:w="2880"/>
            <w:vAlign w:val="top"/>
          </w:tcPr>
          <w:p>
            <w:pPr>
              <w:spacing w:after="0"/>
            </w:pPr>
            <w:r>
              <w:rPr>
                <w:color w:val="232D30"/>
                <w:sz w:val="17"/>
              </w:rPr>
              <w:t>Doğrulama</w:t>
            </w:r>
          </w:p>
        </w:tc>
        <w:tc>
          <w:tcPr>
            <w:tcW w:type="dxa" w:w="6336"/>
            <w:vAlign w:val="top"/>
          </w:tcPr>
          <w:p>
            <w:pPr>
              <w:spacing w:after="0"/>
            </w:pPr>
            <w:r>
              <w:rPr>
                <w:color w:val="232D30"/>
                <w:sz w:val="17"/>
              </w:rPr>
              <w:t>Normalizasyon, min/max, seçenekler, kaynak önceliği ve approval policy.</w:t>
            </w:r>
          </w:p>
        </w:tc>
      </w:tr>
      <w:tr>
        <w:tc>
          <w:tcPr>
            <w:tcW w:type="dxa" w:w="2880"/>
            <w:shd w:fill="F5F8F8"/>
            <w:vAlign w:val="top"/>
          </w:tcPr>
          <w:p>
            <w:pPr>
              <w:spacing w:after="0"/>
            </w:pPr>
            <w:r>
              <w:rPr>
                <w:color w:val="232D30"/>
                <w:sz w:val="17"/>
              </w:rPr>
              <w:t>Yetki</w:t>
            </w:r>
          </w:p>
        </w:tc>
        <w:tc>
          <w:tcPr>
            <w:tcW w:type="dxa" w:w="6336"/>
            <w:shd w:fill="F5F8F8"/>
            <w:vAlign w:val="top"/>
          </w:tcPr>
          <w:p>
            <w:pPr>
              <w:spacing w:after="0"/>
            </w:pPr>
            <w:r>
              <w:rPr>
                <w:color w:val="232D30"/>
                <w:sz w:val="17"/>
              </w:rPr>
              <w:t>Okuma, yazma, hassasiyet ve risk seviyesi.</w:t>
            </w:r>
          </w:p>
        </w:tc>
      </w:tr>
      <w:tr>
        <w:tc>
          <w:tcPr>
            <w:tcW w:type="dxa" w:w="2880"/>
            <w:vAlign w:val="top"/>
          </w:tcPr>
          <w:p>
            <w:pPr>
              <w:spacing w:after="0"/>
            </w:pPr>
            <w:r>
              <w:rPr>
                <w:color w:val="232D30"/>
                <w:sz w:val="17"/>
              </w:rPr>
              <w:t>Yönetim kullanımı</w:t>
            </w:r>
          </w:p>
        </w:tc>
        <w:tc>
          <w:tcPr>
            <w:tcW w:type="dxa" w:w="6336"/>
            <w:vAlign w:val="top"/>
          </w:tcPr>
          <w:p>
            <w:pPr>
              <w:spacing w:after="0"/>
            </w:pPr>
            <w:r>
              <w:rPr>
                <w:color w:val="232D30"/>
                <w:sz w:val="17"/>
              </w:rPr>
              <w:t>Hangi KPI, karar, rapor veya risk değerlendirmesinde kullanılabileceği.</w:t>
            </w:r>
          </w:p>
        </w:tc>
      </w:tr>
      <w:tr>
        <w:tc>
          <w:tcPr>
            <w:tcW w:type="dxa" w:w="2880"/>
            <w:shd w:fill="F5F8F8"/>
            <w:vAlign w:val="top"/>
          </w:tcPr>
          <w:p>
            <w:pPr>
              <w:spacing w:after="0"/>
            </w:pPr>
            <w:r>
              <w:rPr>
                <w:color w:val="232D30"/>
                <w:sz w:val="17"/>
              </w:rPr>
              <w:t>Yaşam döngüsü</w:t>
            </w:r>
          </w:p>
        </w:tc>
        <w:tc>
          <w:tcPr>
            <w:tcW w:type="dxa" w:w="6336"/>
            <w:shd w:fill="F5F8F8"/>
            <w:vAlign w:val="top"/>
          </w:tcPr>
          <w:p>
            <w:pPr>
              <w:spacing w:after="0"/>
            </w:pPr>
            <w:r>
              <w:rPr>
                <w:color w:val="232D30"/>
                <w:sz w:val="17"/>
              </w:rPr>
              <w:t>Taslak, aktif, pasif, birleşmiş veya emekli; versiyon ve değişiklik gerekçesi.</w:t>
            </w:r>
          </w:p>
        </w:tc>
      </w:tr>
      <w:tr>
        <w:tc>
          <w:tcPr>
            <w:tcW w:type="dxa" w:w="2880"/>
            <w:vAlign w:val="top"/>
          </w:tcPr>
          <w:p>
            <w:pPr>
              <w:spacing w:after="0"/>
            </w:pPr>
            <w:r>
              <w:rPr>
                <w:color w:val="232D30"/>
                <w:sz w:val="17"/>
              </w:rPr>
              <w:t>Provenance</w:t>
            </w:r>
          </w:p>
        </w:tc>
        <w:tc>
          <w:tcPr>
            <w:tcW w:type="dxa" w:w="6336"/>
            <w:vAlign w:val="top"/>
          </w:tcPr>
          <w:p>
            <w:pPr>
              <w:spacing w:after="0"/>
            </w:pPr>
            <w:r>
              <w:rPr>
                <w:color w:val="232D30"/>
                <w:sz w:val="17"/>
              </w:rPr>
              <w:t>Oluşturan, kaynak, zaman, doğrulayan ve ilgili evidence referansları.</w:t>
            </w:r>
          </w:p>
        </w:tc>
      </w:tr>
    </w:tbl>
    <w:p>
      <w:pPr>
        <w:spacing w:after="20"/>
      </w:pPr>
    </w:p>
    <w:p>
      <w:pPr>
        <w:pStyle w:val="Heading2"/>
      </w:pPr>
      <w:r>
        <w:t>5.3 Alan oluşturma kararı</w:t>
      </w:r>
    </w:p>
    <w:p>
      <w:pPr>
        <w:pStyle w:val="ListNumber"/>
        <w:spacing w:after="60"/>
      </w:pPr>
      <w:r>
        <w:t>Yeni bilgi mevcut built-in veya dinamik alanlarla eşleştirilir.</w:t>
      </w:r>
    </w:p>
    <w:p>
      <w:pPr>
        <w:pStyle w:val="ListNumber"/>
        <w:spacing w:after="60"/>
      </w:pPr>
      <w:r>
        <w:t>Eşleşme yoksa bilginin geçici konuşma bağlamı mı yoksa kalıcı yönetim değeri mi taşıdığı belirlenir.</w:t>
      </w:r>
    </w:p>
    <w:p>
      <w:pPr>
        <w:pStyle w:val="ListNumber"/>
        <w:spacing w:after="60"/>
      </w:pPr>
      <w:r>
        <w:t>Kalıcıysa doğru domain ve subject kapsamı belirlenir.</w:t>
      </w:r>
    </w:p>
    <w:p>
      <w:pPr>
        <w:pStyle w:val="ListNumber"/>
        <w:spacing w:after="60"/>
      </w:pPr>
      <w:r>
        <w:t>Alan tanımı, veri türü, ölçü birimi, yetki ve yönetim kullanım gerekçesi oluşturulur.</w:t>
      </w:r>
    </w:p>
    <w:p>
      <w:pPr>
        <w:pStyle w:val="ListNumber"/>
        <w:spacing w:after="60"/>
      </w:pPr>
      <w:r>
        <w:t>Yüksek riskli veya yapısal alanlar için kullanıcı/yönetici onayı alınır.</w:t>
      </w:r>
    </w:p>
    <w:p>
      <w:pPr>
        <w:pStyle w:val="ListNumber"/>
        <w:spacing w:after="60"/>
      </w:pPr>
      <w:r>
        <w:t>Alan tanımı versiyonlu olarak aktif edilir; değer ayrıca Candidate doğrulama akışından geçer.</w:t>
      </w:r>
    </w:p>
    <w:p>
      <w:pPr>
        <w:pStyle w:val="ListNumber"/>
        <w:spacing w:after="60"/>
      </w:pPr>
      <w:r>
        <w:t>Doğrulanmış değer Business Reality’ye dahil edilir ve yetkili Executive projection’larda kullanılabilir.</w:t>
      </w:r>
    </w:p>
    <w:p>
      <w:pPr>
        <w:pStyle w:val="Heading2"/>
      </w:pPr>
      <w:r>
        <w:t>5.4 Genel framework kararı</w:t>
      </w:r>
    </w:p>
    <w:p>
      <w:r>
        <w:t>Customer domainindeki mevcut field registry ve custom field altyapısı önemli bir referanstır. Ancak Company için Customer kodu kopyalanmayacaktır. Ortak field definition, registry, validation, provenance ve permission sözleşmeleri domain bağımsız foundation’a çıkarılacak; her domain kendi built-in alanlarını ve canonical value storage adapter’ını sahiplenmeye devam edecektir.</w:t>
      </w:r>
    </w:p>
    <w:p>
      <w:pPr>
        <w:pStyle w:val="Heading1"/>
      </w:pPr>
      <w:r>
        <w:t>6. Business Candidate, Doğrulama ve Promotion</w:t>
      </w:r>
    </w:p>
    <w:p>
      <w:pPr>
        <w:pStyle w:val="Heading2"/>
      </w:pPr>
      <w:r>
        <w:t>6.1 Girdi kaynakları</w:t>
      </w:r>
    </w:p>
    <w:p>
      <w:pPr>
        <w:pStyle w:val="ListBullet"/>
        <w:spacing w:after="60"/>
      </w:pPr>
      <w:r>
        <w:t>Kullanıcının yazılı veya sesli talebi.</w:t>
      </w:r>
    </w:p>
    <w:p>
      <w:pPr>
        <w:pStyle w:val="ListBullet"/>
        <w:spacing w:after="60"/>
      </w:pPr>
      <w:r>
        <w:t>Onboarding veya Şirketim düzenleme ekranı.</w:t>
      </w:r>
    </w:p>
    <w:p>
      <w:pPr>
        <w:pStyle w:val="ListBullet"/>
        <w:spacing w:after="60"/>
      </w:pPr>
      <w:r>
        <w:t>Belge, OCR, kamera veya görselden bilgi çıkarma.</w:t>
      </w:r>
    </w:p>
    <w:p>
      <w:pPr>
        <w:pStyle w:val="ListBullet"/>
        <w:spacing w:after="60"/>
      </w:pPr>
      <w:r>
        <w:t>Muhasebe, CRM, ERP, banka ve diğer entegrasyonlar.</w:t>
      </w:r>
    </w:p>
    <w:p>
      <w:pPr>
        <w:pStyle w:val="ListBullet"/>
        <w:spacing w:after="60"/>
      </w:pPr>
      <w:r>
        <w:t>Sistem içinde doğrulanmış başka domain kayıtlarından deterministik türetim.</w:t>
      </w:r>
    </w:p>
    <w:p>
      <w:pPr>
        <w:pStyle w:val="ListBullet"/>
        <w:spacing w:after="60"/>
      </w:pPr>
      <w:r>
        <w:t>METRIX’in fark ettiği veri boşluğu veya alan önerisi.</w:t>
      </w:r>
    </w:p>
    <w:p>
      <w:pPr>
        <w:pStyle w:val="Heading2"/>
      </w:pPr>
      <w:r>
        <w:t>6.2 Promotion ilkeleri</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240"/>
            <w:shd w:fill="173F46"/>
          </w:tcPr>
          <w:p>
            <w:pPr>
              <w:jc w:val="left"/>
            </w:pPr>
            <w:r>
              <w:rPr>
                <w:b/>
                <w:color w:val="FFFFFF"/>
                <w:sz w:val="18"/>
              </w:rPr>
              <w:t>Durum</w:t>
            </w:r>
          </w:p>
        </w:tc>
        <w:tc>
          <w:tcPr>
            <w:tcW w:type="dxa" w:w="5976"/>
            <w:shd w:fill="173F46"/>
          </w:tcPr>
          <w:p>
            <w:pPr>
              <w:jc w:val="left"/>
            </w:pPr>
            <w:r>
              <w:rPr>
                <w:b/>
                <w:color w:val="FFFFFF"/>
                <w:sz w:val="18"/>
              </w:rPr>
              <w:t>Davranış</w:t>
            </w:r>
          </w:p>
        </w:tc>
      </w:tr>
      <w:tr>
        <w:tc>
          <w:tcPr>
            <w:tcW w:type="dxa" w:w="3240"/>
            <w:vAlign w:val="top"/>
          </w:tcPr>
          <w:p>
            <w:pPr>
              <w:spacing w:after="0"/>
            </w:pPr>
            <w:r>
              <w:rPr>
                <w:color w:val="232D30"/>
                <w:sz w:val="17"/>
              </w:rPr>
              <w:t>Açık, güvenilir ve çelişkisiz kaynak</w:t>
            </w:r>
          </w:p>
        </w:tc>
        <w:tc>
          <w:tcPr>
            <w:tcW w:type="dxa" w:w="5976"/>
            <w:vAlign w:val="top"/>
          </w:tcPr>
          <w:p>
            <w:pPr>
              <w:spacing w:after="0"/>
            </w:pPr>
            <w:r>
              <w:rPr>
                <w:color w:val="232D30"/>
                <w:sz w:val="17"/>
              </w:rPr>
              <w:t>Yetki ve alan politikası izin veriyorsa otomatik promotion yapılabilir.</w:t>
            </w:r>
          </w:p>
        </w:tc>
      </w:tr>
      <w:tr>
        <w:tc>
          <w:tcPr>
            <w:tcW w:type="dxa" w:w="3240"/>
            <w:shd w:fill="F5F8F8"/>
            <w:vAlign w:val="top"/>
          </w:tcPr>
          <w:p>
            <w:pPr>
              <w:spacing w:after="0"/>
            </w:pPr>
            <w:r>
              <w:rPr>
                <w:color w:val="232D30"/>
                <w:sz w:val="17"/>
              </w:rPr>
              <w:t>Yeni fakat doğrulama isteyen bilgi</w:t>
            </w:r>
          </w:p>
        </w:tc>
        <w:tc>
          <w:tcPr>
            <w:tcW w:type="dxa" w:w="5976"/>
            <w:shd w:fill="F5F8F8"/>
            <w:vAlign w:val="top"/>
          </w:tcPr>
          <w:p>
            <w:pPr>
              <w:spacing w:after="0"/>
            </w:pPr>
            <w:r>
              <w:rPr>
                <w:color w:val="232D30"/>
                <w:sz w:val="17"/>
              </w:rPr>
              <w:t>Business Candidate oluşur; kullanıcıdan doğal doğrulama istenir.</w:t>
            </w:r>
          </w:p>
        </w:tc>
      </w:tr>
      <w:tr>
        <w:tc>
          <w:tcPr>
            <w:tcW w:type="dxa" w:w="3240"/>
            <w:vAlign w:val="top"/>
          </w:tcPr>
          <w:p>
            <w:pPr>
              <w:spacing w:after="0"/>
            </w:pPr>
            <w:r>
              <w:rPr>
                <w:color w:val="232D30"/>
                <w:sz w:val="17"/>
              </w:rPr>
              <w:t>Mevcut canonical değerle çelişme</w:t>
            </w:r>
          </w:p>
        </w:tc>
        <w:tc>
          <w:tcPr>
            <w:tcW w:type="dxa" w:w="5976"/>
            <w:vAlign w:val="top"/>
          </w:tcPr>
          <w:p>
            <w:pPr>
              <w:spacing w:after="0"/>
            </w:pPr>
            <w:r>
              <w:rPr>
                <w:color w:val="232D30"/>
                <w:sz w:val="17"/>
              </w:rPr>
              <w:t>Hiçbiri sessizce seçilmez; conflict kaydı ve kaynak karşılaştırması sunulur.</w:t>
            </w:r>
          </w:p>
        </w:tc>
      </w:tr>
      <w:tr>
        <w:tc>
          <w:tcPr>
            <w:tcW w:type="dxa" w:w="3240"/>
            <w:shd w:fill="F5F8F8"/>
            <w:vAlign w:val="top"/>
          </w:tcPr>
          <w:p>
            <w:pPr>
              <w:spacing w:after="0"/>
            </w:pPr>
            <w:r>
              <w:rPr>
                <w:color w:val="232D30"/>
                <w:sz w:val="17"/>
              </w:rPr>
              <w:t>AI çıkarımı veya kanaati</w:t>
            </w:r>
          </w:p>
        </w:tc>
        <w:tc>
          <w:tcPr>
            <w:tcW w:type="dxa" w:w="5976"/>
            <w:shd w:fill="F5F8F8"/>
            <w:vAlign w:val="top"/>
          </w:tcPr>
          <w:p>
            <w:pPr>
              <w:spacing w:after="0"/>
            </w:pPr>
            <w:r>
              <w:rPr>
                <w:color w:val="232D30"/>
                <w:sz w:val="17"/>
              </w:rPr>
              <w:t>Canonical gerçeğe promote edilemez; hypothesis/opinion sınırında kalır.</w:t>
            </w:r>
          </w:p>
        </w:tc>
      </w:tr>
      <w:tr>
        <w:tc>
          <w:tcPr>
            <w:tcW w:type="dxa" w:w="3240"/>
            <w:vAlign w:val="top"/>
          </w:tcPr>
          <w:p>
            <w:pPr>
              <w:spacing w:after="0"/>
            </w:pPr>
            <w:r>
              <w:rPr>
                <w:color w:val="232D30"/>
                <w:sz w:val="17"/>
              </w:rPr>
              <w:t>Riskli resmî veya finansal bilgi</w:t>
            </w:r>
          </w:p>
        </w:tc>
        <w:tc>
          <w:tcPr>
            <w:tcW w:type="dxa" w:w="5976"/>
            <w:vAlign w:val="top"/>
          </w:tcPr>
          <w:p>
            <w:pPr>
              <w:spacing w:after="0"/>
            </w:pPr>
            <w:r>
              <w:rPr>
                <w:color w:val="232D30"/>
                <w:sz w:val="17"/>
              </w:rPr>
              <w:t>Açık kullanıcı onayı ve gerekirse yetkili rol gerekir.</w:t>
            </w:r>
          </w:p>
        </w:tc>
      </w:tr>
      <w:tr>
        <w:tc>
          <w:tcPr>
            <w:tcW w:type="dxa" w:w="3240"/>
            <w:shd w:fill="F5F8F8"/>
            <w:vAlign w:val="top"/>
          </w:tcPr>
          <w:p>
            <w:pPr>
              <w:spacing w:after="0"/>
            </w:pPr>
            <w:r>
              <w:rPr>
                <w:color w:val="232D30"/>
                <w:sz w:val="17"/>
              </w:rPr>
              <w:t>Deterministik hesaplanan değer</w:t>
            </w:r>
          </w:p>
        </w:tc>
        <w:tc>
          <w:tcPr>
            <w:tcW w:type="dxa" w:w="5976"/>
            <w:shd w:fill="F5F8F8"/>
            <w:vAlign w:val="top"/>
          </w:tcPr>
          <w:p>
            <w:pPr>
              <w:spacing w:after="0"/>
            </w:pPr>
            <w:r>
              <w:rPr>
                <w:color w:val="232D30"/>
                <w:sz w:val="17"/>
              </w:rPr>
              <w:t>Kaynak kayıtları ve formül/projection sürümüyle türetilmiş evidence olarak sunulur.</w:t>
            </w:r>
          </w:p>
        </w:tc>
      </w:tr>
    </w:tbl>
    <w:p>
      <w:pPr>
        <w:spacing w:after="20"/>
      </w:pPr>
    </w:p>
    <w:p>
      <w:pPr>
        <w:pStyle w:val="Heading2"/>
      </w:pPr>
      <w:r>
        <w:t>6.3 Provenance zorunluluğu</w:t>
      </w:r>
    </w:p>
    <w:p>
      <w:pPr>
        <w:pStyle w:val="ListBullet"/>
        <w:spacing w:after="60"/>
      </w:pPr>
      <w:r>
        <w:t>source type ve source record/reference</w:t>
      </w:r>
    </w:p>
    <w:p>
      <w:pPr>
        <w:pStyle w:val="ListBullet"/>
        <w:spacing w:after="60"/>
      </w:pPr>
      <w:r>
        <w:t>organization ve subject kimliği</w:t>
      </w:r>
    </w:p>
    <w:p>
      <w:pPr>
        <w:pStyle w:val="ListBullet"/>
        <w:spacing w:after="60"/>
      </w:pPr>
      <w:r>
        <w:t>created/observed/effective zamanları</w:t>
      </w:r>
    </w:p>
    <w:p>
      <w:pPr>
        <w:pStyle w:val="ListBullet"/>
        <w:spacing w:after="60"/>
      </w:pPr>
      <w:r>
        <w:t>verification ve approval durumu</w:t>
      </w:r>
    </w:p>
    <w:p>
      <w:pPr>
        <w:pStyle w:val="ListBullet"/>
        <w:spacing w:after="60"/>
      </w:pPr>
      <w:r>
        <w:t>confidence yalnız yardımcı sinyaldir; doğrulamanın yerine geçmez</w:t>
      </w:r>
    </w:p>
    <w:p>
      <w:pPr>
        <w:pStyle w:val="ListBullet"/>
        <w:spacing w:after="60"/>
      </w:pPr>
      <w:r>
        <w:t>önceki canonical değer ve değişiklik geçmişi</w:t>
      </w:r>
    </w:p>
    <w:p>
      <w:pPr>
        <w:pStyle w:val="ListBullet"/>
        <w:spacing w:after="60"/>
      </w:pPr>
      <w:r>
        <w:t>promotion receipt, actor ve idempotency bilgisi</w:t>
      </w:r>
    </w:p>
    <w:p>
      <w:pPr>
        <w:pStyle w:val="Heading1"/>
      </w:pPr>
      <w:r>
        <w:t>7. Entegrasyon ve Dış Veri Stratejisi</w:t>
      </w:r>
    </w:p>
    <w:p>
      <w:pPr>
        <w:pStyle w:val="Heading2"/>
      </w:pPr>
      <w:r>
        <w:t>7.1 Entegrasyonların rolü</w:t>
      </w:r>
    </w:p>
    <w:p>
      <w:r>
        <w:t>Muhasebe, CRM, ERP, banka, WhatsApp ve diğer dış sistemler Şirketim domaininin veri üreticileridir; veri modeli otoritesi değildir. Her kaynak adapter üzerinden canonical METRIX sözleşmesine normalize edilir.</w:t>
      </w:r>
    </w:p>
    <w:tbl>
      <w:tblPr>
        <w:tblW w:type="auto" w:w="0"/>
        <w:jc w:val="center"/>
        <w:tblLayout w:type="fixed"/>
        <w:tblLook w:firstColumn="1" w:firstRow="1" w:lastColumn="0" w:lastRow="0" w:noHBand="0" w:noVBand="1" w:val="04A0"/>
      </w:tblPr>
      <w:tblGrid>
        <w:gridCol w:w="202"/>
        <w:gridCol w:w="9144"/>
      </w:tblGrid>
      <w:tr>
        <w:tc>
          <w:tcPr>
            <w:tcW w:type="dxa" w:w="5083"/>
            <w:shd w:fill="1F8A8A"/>
            <w:tcBorders>
              <w:top w:val="nil"/>
              <w:left w:val="nil"/>
              <w:bottom w:val="nil"/>
              <w:right w:val="nil"/>
            </w:tcBorders>
            <w:vAlign w:val="center"/>
          </w:tcPr>
          <w:p/>
        </w:tc>
        <w:tc>
          <w:tcPr>
            <w:tcW w:type="dxa" w:w="5083"/>
            <w:shd w:fill="F1F7F7"/>
            <w:tcBorders>
              <w:top w:val="nil"/>
              <w:left w:val="nil"/>
              <w:bottom w:val="nil"/>
              <w:right w:val="nil"/>
            </w:tcBorders>
            <w:vAlign w:val="center"/>
          </w:tcPr>
          <w:p>
            <w:r>
              <w:rPr>
                <w:b/>
                <w:color w:val="142D30"/>
                <w:sz w:val="21"/>
              </w:rPr>
              <w:t>Değişmez ilke</w:t>
            </w:r>
          </w:p>
          <w:p>
            <w:pPr>
              <w:pStyle w:val="BodyText"/>
              <w:spacing w:after="0"/>
            </w:pPr>
            <w:r>
              <w:t>METRIX, entegre olduğu sistemlerin verisini kendi yönetim modeline uyarlar; kendi yönetim modelini hiçbir entegrasyonun tablolarına göre değiştirmez.</w:t>
            </w:r>
          </w:p>
        </w:tc>
      </w:tr>
    </w:tbl>
    <w:p>
      <w:pPr>
        <w:spacing w:after="20"/>
      </w:pPr>
    </w:p>
    <w:p>
      <w:pPr>
        <w:pStyle w:val="Heading2"/>
      </w:pPr>
      <w:r>
        <w:t>7.2 Source adapter sözleşmesi</w:t>
      </w:r>
    </w:p>
    <w:p>
      <w:pPr>
        <w:pStyle w:val="ListBullet"/>
        <w:spacing w:after="60"/>
      </w:pPr>
      <w:r>
        <w:t>Kaynak kimliği, hesap/tenant eşleştirmesi ve bağlantı sağlığı.</w:t>
      </w:r>
    </w:p>
    <w:p>
      <w:pPr>
        <w:pStyle w:val="ListBullet"/>
        <w:spacing w:after="60"/>
      </w:pPr>
      <w:r>
        <w:t>Kaynak entity ve field mapping versiyonu.</w:t>
      </w:r>
    </w:p>
    <w:p>
      <w:pPr>
        <w:pStyle w:val="ListBullet"/>
        <w:spacing w:after="60"/>
      </w:pPr>
      <w:r>
        <w:t>Incremental sync, idempotency ve silme/deaktivasyon semantiği.</w:t>
      </w:r>
    </w:p>
    <w:p>
      <w:pPr>
        <w:pStyle w:val="ListBullet"/>
        <w:spacing w:after="60"/>
      </w:pPr>
      <w:r>
        <w:t>Ham kaynak değeri ile normalize edilen değerin birlikte izlenebilirliği.</w:t>
      </w:r>
    </w:p>
    <w:p>
      <w:pPr>
        <w:pStyle w:val="ListBullet"/>
        <w:spacing w:after="60"/>
      </w:pPr>
      <w:r>
        <w:t>Çakışma politikası ve source priority; tek başına “son yazan kazanır” kullanılmaz.</w:t>
      </w:r>
    </w:p>
    <w:p>
      <w:pPr>
        <w:pStyle w:val="ListBullet"/>
        <w:spacing w:after="60"/>
      </w:pPr>
      <w:r>
        <w:t>Kaynağa özgü bilinmeyen alanların extension storage’da korunması.</w:t>
      </w:r>
    </w:p>
    <w:p>
      <w:pPr>
        <w:pStyle w:val="ListBullet"/>
        <w:spacing w:after="60"/>
      </w:pPr>
      <w:r>
        <w:t>Kullanıcıya hangi sistemin hangi veriyi beslediğinin görünür olması.</w:t>
      </w:r>
    </w:p>
    <w:p>
      <w:pPr>
        <w:pStyle w:val="Heading2"/>
      </w:pPr>
      <w:r>
        <w:t>7.3 Otomasyon seviyeleri</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173F46"/>
          </w:tcPr>
          <w:p>
            <w:pPr>
              <w:jc w:val="left"/>
            </w:pPr>
            <w:r>
              <w:rPr>
                <w:b/>
                <w:color w:val="FFFFFF"/>
                <w:sz w:val="18"/>
              </w:rPr>
              <w:t>Seviye</w:t>
            </w:r>
          </w:p>
        </w:tc>
        <w:tc>
          <w:tcPr>
            <w:tcW w:type="dxa" w:w="3744"/>
            <w:shd w:fill="173F46"/>
          </w:tcPr>
          <w:p>
            <w:pPr>
              <w:jc w:val="left"/>
            </w:pPr>
            <w:r>
              <w:rPr>
                <w:b/>
                <w:color w:val="FFFFFF"/>
                <w:sz w:val="18"/>
              </w:rPr>
              <w:t>Örnek</w:t>
            </w:r>
          </w:p>
        </w:tc>
        <w:tc>
          <w:tcPr>
            <w:tcW w:type="dxa" w:w="3672"/>
            <w:shd w:fill="173F46"/>
          </w:tcPr>
          <w:p>
            <w:pPr>
              <w:jc w:val="left"/>
            </w:pPr>
            <w:r>
              <w:rPr>
                <w:b/>
                <w:color w:val="FFFFFF"/>
                <w:sz w:val="18"/>
              </w:rPr>
              <w:t>İşlem</w:t>
            </w:r>
          </w:p>
        </w:tc>
      </w:tr>
      <w:tr>
        <w:tc>
          <w:tcPr>
            <w:tcW w:type="dxa" w:w="1800"/>
            <w:vAlign w:val="top"/>
          </w:tcPr>
          <w:p>
            <w:pPr>
              <w:spacing w:after="0"/>
            </w:pPr>
            <w:r>
              <w:rPr>
                <w:color w:val="232D30"/>
                <w:sz w:val="17"/>
              </w:rPr>
              <w:t>Otomatik</w:t>
            </w:r>
          </w:p>
        </w:tc>
        <w:tc>
          <w:tcPr>
            <w:tcW w:type="dxa" w:w="3744"/>
            <w:vAlign w:val="top"/>
          </w:tcPr>
          <w:p>
            <w:pPr>
              <w:spacing w:after="0"/>
            </w:pPr>
            <w:r>
              <w:rPr>
                <w:color w:val="232D30"/>
                <w:sz w:val="17"/>
              </w:rPr>
              <w:t>Muhasebe sistemindeki açık bakiye veya onaylı fatura hareketi</w:t>
            </w:r>
          </w:p>
        </w:tc>
        <w:tc>
          <w:tcPr>
            <w:tcW w:type="dxa" w:w="3672"/>
            <w:vAlign w:val="top"/>
          </w:tcPr>
          <w:p>
            <w:pPr>
              <w:spacing w:after="0"/>
            </w:pPr>
            <w:r>
              <w:rPr>
                <w:color w:val="232D30"/>
                <w:sz w:val="17"/>
              </w:rPr>
              <w:t>Doğru domain kaydına idempotent sync.</w:t>
            </w:r>
          </w:p>
        </w:tc>
      </w:tr>
      <w:tr>
        <w:tc>
          <w:tcPr>
            <w:tcW w:type="dxa" w:w="1800"/>
            <w:shd w:fill="F5F8F8"/>
            <w:vAlign w:val="top"/>
          </w:tcPr>
          <w:p>
            <w:pPr>
              <w:spacing w:after="0"/>
            </w:pPr>
            <w:r>
              <w:rPr>
                <w:color w:val="232D30"/>
                <w:sz w:val="17"/>
              </w:rPr>
              <w:t>Candidate</w:t>
            </w:r>
          </w:p>
        </w:tc>
        <w:tc>
          <w:tcPr>
            <w:tcW w:type="dxa" w:w="3744"/>
            <w:shd w:fill="F5F8F8"/>
            <w:vAlign w:val="top"/>
          </w:tcPr>
          <w:p>
            <w:pPr>
              <w:spacing w:after="0"/>
            </w:pPr>
            <w:r>
              <w:rPr>
                <w:color w:val="232D30"/>
                <w:sz w:val="17"/>
              </w:rPr>
              <w:t>ERP’de farklı faaliyet tanımı veya yeni şube bilgisi</w:t>
            </w:r>
          </w:p>
        </w:tc>
        <w:tc>
          <w:tcPr>
            <w:tcW w:type="dxa" w:w="3672"/>
            <w:shd w:fill="F5F8F8"/>
            <w:vAlign w:val="top"/>
          </w:tcPr>
          <w:p>
            <w:pPr>
              <w:spacing w:after="0"/>
            </w:pPr>
            <w:r>
              <w:rPr>
                <w:color w:val="232D30"/>
                <w:sz w:val="17"/>
              </w:rPr>
              <w:t>Doğrulama kuyruğu ve kullanıcı onayı.</w:t>
            </w:r>
          </w:p>
        </w:tc>
      </w:tr>
      <w:tr>
        <w:tc>
          <w:tcPr>
            <w:tcW w:type="dxa" w:w="1800"/>
            <w:vAlign w:val="top"/>
          </w:tcPr>
          <w:p>
            <w:pPr>
              <w:spacing w:after="0"/>
            </w:pPr>
            <w:r>
              <w:rPr>
                <w:color w:val="232D30"/>
                <w:sz w:val="17"/>
              </w:rPr>
              <w:t>Conflict</w:t>
            </w:r>
          </w:p>
        </w:tc>
        <w:tc>
          <w:tcPr>
            <w:tcW w:type="dxa" w:w="3744"/>
            <w:vAlign w:val="top"/>
          </w:tcPr>
          <w:p>
            <w:pPr>
              <w:spacing w:after="0"/>
            </w:pPr>
            <w:r>
              <w:rPr>
                <w:color w:val="232D30"/>
                <w:sz w:val="17"/>
              </w:rPr>
              <w:t>Vergi levhası ile CRM adresinin farklı olması</w:t>
            </w:r>
          </w:p>
        </w:tc>
        <w:tc>
          <w:tcPr>
            <w:tcW w:type="dxa" w:w="3672"/>
            <w:vAlign w:val="top"/>
          </w:tcPr>
          <w:p>
            <w:pPr>
              <w:spacing w:after="0"/>
            </w:pPr>
            <w:r>
              <w:rPr>
                <w:color w:val="232D30"/>
                <w:sz w:val="17"/>
              </w:rPr>
              <w:t>Kaynakları karşılaştır, canonical değeri koru.</w:t>
            </w:r>
          </w:p>
        </w:tc>
      </w:tr>
      <w:tr>
        <w:tc>
          <w:tcPr>
            <w:tcW w:type="dxa" w:w="1800"/>
            <w:shd w:fill="F5F8F8"/>
            <w:vAlign w:val="top"/>
          </w:tcPr>
          <w:p>
            <w:pPr>
              <w:spacing w:after="0"/>
            </w:pPr>
            <w:r>
              <w:rPr>
                <w:color w:val="232D30"/>
                <w:sz w:val="17"/>
              </w:rPr>
              <w:t>Derived</w:t>
            </w:r>
          </w:p>
        </w:tc>
        <w:tc>
          <w:tcPr>
            <w:tcW w:type="dxa" w:w="3744"/>
            <w:shd w:fill="F5F8F8"/>
            <w:vAlign w:val="top"/>
          </w:tcPr>
          <w:p>
            <w:pPr>
              <w:spacing w:after="0"/>
            </w:pPr>
            <w:r>
              <w:rPr>
                <w:color w:val="232D30"/>
                <w:sz w:val="17"/>
              </w:rPr>
              <w:t>CRM ve satışlardan müşteri yoğunlaşma oranı</w:t>
            </w:r>
          </w:p>
        </w:tc>
        <w:tc>
          <w:tcPr>
            <w:tcW w:type="dxa" w:w="3672"/>
            <w:shd w:fill="F5F8F8"/>
            <w:vAlign w:val="top"/>
          </w:tcPr>
          <w:p>
            <w:pPr>
              <w:spacing w:after="0"/>
            </w:pPr>
            <w:r>
              <w:rPr>
                <w:color w:val="232D30"/>
                <w:sz w:val="17"/>
              </w:rPr>
              <w:t>Formül ve kaynak setiyle projection.</w:t>
            </w:r>
          </w:p>
        </w:tc>
      </w:tr>
    </w:tbl>
    <w:p>
      <w:pPr>
        <w:spacing w:after="20"/>
      </w:pPr>
    </w:p>
    <w:p>
      <w:pPr>
        <w:pStyle w:val="Heading1"/>
      </w:pPr>
      <w:r>
        <w:t>8. Finansal Gerçeklik, Varlıklar ve Kâr-Zarar</w:t>
      </w:r>
    </w:p>
    <w:p>
      <w:pPr>
        <w:pStyle w:val="Heading2"/>
      </w:pPr>
      <w:r>
        <w:t>8.1 Finansal verilerin sahipliği</w:t>
      </w:r>
    </w:p>
    <w:p>
      <w:r>
        <w:t>Şirketim finansal hareketlerin ana kayıt yeri değildir. Gider, gelir, tahsilat, borç, banka, stok ve varlık hareketleri kendi canonical domainlerinde yaşar. Şirketim bunları şirket seviyesinde güvenilir finansal yönetime dönüştürür.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20"/>
            <w:shd w:fill="173F46"/>
          </w:tcPr>
          <w:p>
            <w:pPr>
              <w:jc w:val="left"/>
            </w:pPr>
            <w:r>
              <w:rPr>
                <w:b/>
                <w:color w:val="FFFFFF"/>
                <w:sz w:val="18"/>
              </w:rPr>
              <w:t>Veri</w:t>
            </w:r>
          </w:p>
        </w:tc>
        <w:tc>
          <w:tcPr>
            <w:tcW w:type="dxa" w:w="3096"/>
            <w:shd w:fill="173F46"/>
          </w:tcPr>
          <w:p>
            <w:pPr>
              <w:jc w:val="left"/>
            </w:pPr>
            <w:r>
              <w:rPr>
                <w:b/>
                <w:color w:val="FFFFFF"/>
                <w:sz w:val="18"/>
              </w:rPr>
              <w:t>Sahip domain</w:t>
            </w:r>
          </w:p>
        </w:tc>
        <w:tc>
          <w:tcPr>
            <w:tcW w:type="dxa" w:w="3600"/>
            <w:shd w:fill="173F46"/>
          </w:tcPr>
          <w:p>
            <w:pPr>
              <w:jc w:val="left"/>
            </w:pPr>
            <w:r>
              <w:rPr>
                <w:b/>
                <w:color w:val="FFFFFF"/>
                <w:sz w:val="18"/>
              </w:rPr>
              <w:t>Şirketim projection</w:t>
            </w:r>
          </w:p>
        </w:tc>
      </w:tr>
      <w:tr>
        <w:tc>
          <w:tcPr>
            <w:tcW w:type="dxa" w:w="2520"/>
            <w:vAlign w:val="top"/>
          </w:tcPr>
          <w:p>
            <w:pPr>
              <w:spacing w:after="0"/>
            </w:pPr>
            <w:r>
              <w:rPr>
                <w:color w:val="232D30"/>
                <w:sz w:val="17"/>
              </w:rPr>
              <w:t>Gelir ve fatura</w:t>
            </w:r>
          </w:p>
        </w:tc>
        <w:tc>
          <w:tcPr>
            <w:tcW w:type="dxa" w:w="3096"/>
            <w:vAlign w:val="top"/>
          </w:tcPr>
          <w:p>
            <w:pPr>
              <w:spacing w:after="0"/>
            </w:pPr>
            <w:r>
              <w:rPr>
                <w:color w:val="232D30"/>
                <w:sz w:val="17"/>
              </w:rPr>
              <w:t>Accounting / Sales</w:t>
            </w:r>
          </w:p>
        </w:tc>
        <w:tc>
          <w:tcPr>
            <w:tcW w:type="dxa" w:w="3600"/>
            <w:vAlign w:val="top"/>
          </w:tcPr>
          <w:p>
            <w:pPr>
              <w:spacing w:after="0"/>
            </w:pPr>
            <w:r>
              <w:rPr>
                <w:color w:val="232D30"/>
                <w:sz w:val="17"/>
              </w:rPr>
              <w:t>Net satış ve dönemsel gelir.</w:t>
            </w:r>
          </w:p>
        </w:tc>
      </w:tr>
      <w:tr>
        <w:tc>
          <w:tcPr>
            <w:tcW w:type="dxa" w:w="2520"/>
            <w:shd w:fill="F5F8F8"/>
            <w:vAlign w:val="top"/>
          </w:tcPr>
          <w:p>
            <w:pPr>
              <w:spacing w:after="0"/>
            </w:pPr>
            <w:r>
              <w:rPr>
                <w:color w:val="232D30"/>
                <w:sz w:val="17"/>
              </w:rPr>
              <w:t>Doğrudan maliyet</w:t>
            </w:r>
          </w:p>
        </w:tc>
        <w:tc>
          <w:tcPr>
            <w:tcW w:type="dxa" w:w="3096"/>
            <w:shd w:fill="F5F8F8"/>
            <w:vAlign w:val="top"/>
          </w:tcPr>
          <w:p>
            <w:pPr>
              <w:spacing w:after="0"/>
            </w:pPr>
            <w:r>
              <w:rPr>
                <w:color w:val="232D30"/>
                <w:sz w:val="17"/>
              </w:rPr>
              <w:t>Accounting / Products / Inventory</w:t>
            </w:r>
          </w:p>
        </w:tc>
        <w:tc>
          <w:tcPr>
            <w:tcW w:type="dxa" w:w="3600"/>
            <w:shd w:fill="F5F8F8"/>
            <w:vAlign w:val="top"/>
          </w:tcPr>
          <w:p>
            <w:pPr>
              <w:spacing w:after="0"/>
            </w:pPr>
            <w:r>
              <w:rPr>
                <w:color w:val="232D30"/>
                <w:sz w:val="17"/>
              </w:rPr>
              <w:t>Brüt kâr ve ürün/müşteri kârlılığı.</w:t>
            </w:r>
          </w:p>
        </w:tc>
      </w:tr>
      <w:tr>
        <w:tc>
          <w:tcPr>
            <w:tcW w:type="dxa" w:w="2520"/>
            <w:vAlign w:val="top"/>
          </w:tcPr>
          <w:p>
            <w:pPr>
              <w:spacing w:after="0"/>
            </w:pPr>
            <w:r>
              <w:rPr>
                <w:color w:val="232D30"/>
                <w:sz w:val="17"/>
              </w:rPr>
              <w:t>Genel gider</w:t>
            </w:r>
          </w:p>
        </w:tc>
        <w:tc>
          <w:tcPr>
            <w:tcW w:type="dxa" w:w="3096"/>
            <w:vAlign w:val="top"/>
          </w:tcPr>
          <w:p>
            <w:pPr>
              <w:spacing w:after="0"/>
            </w:pPr>
            <w:r>
              <w:rPr>
                <w:color w:val="232D30"/>
                <w:sz w:val="17"/>
              </w:rPr>
              <w:t>Expenses / Accounting</w:t>
            </w:r>
          </w:p>
        </w:tc>
        <w:tc>
          <w:tcPr>
            <w:tcW w:type="dxa" w:w="3600"/>
            <w:vAlign w:val="top"/>
          </w:tcPr>
          <w:p>
            <w:pPr>
              <w:spacing w:after="0"/>
            </w:pPr>
            <w:r>
              <w:rPr>
                <w:color w:val="232D30"/>
                <w:sz w:val="17"/>
              </w:rPr>
              <w:t>Faaliyet gideri, kategori trendi ve bütçe farkı.</w:t>
            </w:r>
          </w:p>
        </w:tc>
      </w:tr>
      <w:tr>
        <w:tc>
          <w:tcPr>
            <w:tcW w:type="dxa" w:w="2520"/>
            <w:shd w:fill="F5F8F8"/>
            <w:vAlign w:val="top"/>
          </w:tcPr>
          <w:p>
            <w:pPr>
              <w:spacing w:after="0"/>
            </w:pPr>
            <w:r>
              <w:rPr>
                <w:color w:val="232D30"/>
                <w:sz w:val="17"/>
              </w:rPr>
              <w:t>Tahsilat ve alacak</w:t>
            </w:r>
          </w:p>
        </w:tc>
        <w:tc>
          <w:tcPr>
            <w:tcW w:type="dxa" w:w="3096"/>
            <w:shd w:fill="F5F8F8"/>
            <w:vAlign w:val="top"/>
          </w:tcPr>
          <w:p>
            <w:pPr>
              <w:spacing w:after="0"/>
            </w:pPr>
            <w:r>
              <w:rPr>
                <w:color w:val="232D30"/>
                <w:sz w:val="17"/>
              </w:rPr>
              <w:t>Collections / Accounting</w:t>
            </w:r>
          </w:p>
        </w:tc>
        <w:tc>
          <w:tcPr>
            <w:tcW w:type="dxa" w:w="3600"/>
            <w:shd w:fill="F5F8F8"/>
            <w:vAlign w:val="top"/>
          </w:tcPr>
          <w:p>
            <w:pPr>
              <w:spacing w:after="0"/>
            </w:pPr>
            <w:r>
              <w:rPr>
                <w:color w:val="232D30"/>
                <w:sz w:val="17"/>
              </w:rPr>
              <w:t>Nakit girişi, gecikme ve alacak kalitesi.</w:t>
            </w:r>
          </w:p>
        </w:tc>
      </w:tr>
      <w:tr>
        <w:tc>
          <w:tcPr>
            <w:tcW w:type="dxa" w:w="2520"/>
            <w:vAlign w:val="top"/>
          </w:tcPr>
          <w:p>
            <w:pPr>
              <w:spacing w:after="0"/>
            </w:pPr>
            <w:r>
              <w:rPr>
                <w:color w:val="232D30"/>
                <w:sz w:val="17"/>
              </w:rPr>
              <w:t>Borç ve finansman</w:t>
            </w:r>
          </w:p>
        </w:tc>
        <w:tc>
          <w:tcPr>
            <w:tcW w:type="dxa" w:w="3096"/>
            <w:vAlign w:val="top"/>
          </w:tcPr>
          <w:p>
            <w:pPr>
              <w:spacing w:after="0"/>
            </w:pPr>
            <w:r>
              <w:rPr>
                <w:color w:val="232D30"/>
                <w:sz w:val="17"/>
              </w:rPr>
              <w:t>Accounting</w:t>
            </w:r>
          </w:p>
        </w:tc>
        <w:tc>
          <w:tcPr>
            <w:tcW w:type="dxa" w:w="3600"/>
            <w:vAlign w:val="top"/>
          </w:tcPr>
          <w:p>
            <w:pPr>
              <w:spacing w:after="0"/>
            </w:pPr>
            <w:r>
              <w:rPr>
                <w:color w:val="232D30"/>
                <w:sz w:val="17"/>
              </w:rPr>
              <w:t>Yükümlülük, ödeme baskısı ve finansman maliyeti.</w:t>
            </w:r>
          </w:p>
        </w:tc>
      </w:tr>
      <w:tr>
        <w:tc>
          <w:tcPr>
            <w:tcW w:type="dxa" w:w="2520"/>
            <w:shd w:fill="F5F8F8"/>
            <w:vAlign w:val="top"/>
          </w:tcPr>
          <w:p>
            <w:pPr>
              <w:spacing w:after="0"/>
            </w:pPr>
            <w:r>
              <w:rPr>
                <w:color w:val="232D30"/>
                <w:sz w:val="17"/>
              </w:rPr>
              <w:t>Makine, araç, gayrimenkul</w:t>
            </w:r>
          </w:p>
        </w:tc>
        <w:tc>
          <w:tcPr>
            <w:tcW w:type="dxa" w:w="3096"/>
            <w:shd w:fill="F5F8F8"/>
            <w:vAlign w:val="top"/>
          </w:tcPr>
          <w:p>
            <w:pPr>
              <w:spacing w:after="0"/>
            </w:pPr>
            <w:r>
              <w:rPr>
                <w:color w:val="232D30"/>
                <w:sz w:val="17"/>
              </w:rPr>
              <w:t>Assets</w:t>
            </w:r>
          </w:p>
        </w:tc>
        <w:tc>
          <w:tcPr>
            <w:tcW w:type="dxa" w:w="3600"/>
            <w:shd w:fill="F5F8F8"/>
            <w:vAlign w:val="top"/>
          </w:tcPr>
          <w:p>
            <w:pPr>
              <w:spacing w:after="0"/>
            </w:pPr>
            <w:r>
              <w:rPr>
                <w:color w:val="232D30"/>
                <w:sz w:val="17"/>
              </w:rPr>
              <w:t>Varlık değeri, kullanım ve bakım/yenileme riski.</w:t>
            </w:r>
          </w:p>
        </w:tc>
      </w:tr>
      <w:tr>
        <w:tc>
          <w:tcPr>
            <w:tcW w:type="dxa" w:w="2520"/>
            <w:vAlign w:val="top"/>
          </w:tcPr>
          <w:p>
            <w:pPr>
              <w:spacing w:after="0"/>
            </w:pPr>
            <w:r>
              <w:rPr>
                <w:color w:val="232D30"/>
                <w:sz w:val="17"/>
              </w:rPr>
              <w:t>Stok</w:t>
            </w:r>
          </w:p>
        </w:tc>
        <w:tc>
          <w:tcPr>
            <w:tcW w:type="dxa" w:w="3096"/>
            <w:vAlign w:val="top"/>
          </w:tcPr>
          <w:p>
            <w:pPr>
              <w:spacing w:after="0"/>
            </w:pPr>
            <w:r>
              <w:rPr>
                <w:color w:val="232D30"/>
                <w:sz w:val="17"/>
              </w:rPr>
              <w:t>Inventory / Products</w:t>
            </w:r>
          </w:p>
        </w:tc>
        <w:tc>
          <w:tcPr>
            <w:tcW w:type="dxa" w:w="3600"/>
            <w:vAlign w:val="top"/>
          </w:tcPr>
          <w:p>
            <w:pPr>
              <w:spacing w:after="0"/>
            </w:pPr>
            <w:r>
              <w:rPr>
                <w:color w:val="232D30"/>
                <w:sz w:val="17"/>
              </w:rPr>
              <w:t>Stok değeri, devir ve bağlı nakit.</w:t>
            </w:r>
          </w:p>
        </w:tc>
      </w:tr>
      <w:tr>
        <w:tc>
          <w:tcPr>
            <w:tcW w:type="dxa" w:w="2520"/>
            <w:shd w:fill="F5F8F8"/>
            <w:vAlign w:val="top"/>
          </w:tcPr>
          <w:p>
            <w:pPr>
              <w:spacing w:after="0"/>
            </w:pPr>
            <w:r>
              <w:rPr>
                <w:color w:val="232D30"/>
                <w:sz w:val="17"/>
              </w:rPr>
              <w:t>Banka ve kasa</w:t>
            </w:r>
          </w:p>
        </w:tc>
        <w:tc>
          <w:tcPr>
            <w:tcW w:type="dxa" w:w="3096"/>
            <w:shd w:fill="F5F8F8"/>
            <w:vAlign w:val="top"/>
          </w:tcPr>
          <w:p>
            <w:pPr>
              <w:spacing w:after="0"/>
            </w:pPr>
            <w:r>
              <w:rPr>
                <w:color w:val="232D30"/>
                <w:sz w:val="17"/>
              </w:rPr>
              <w:t>Finance / Accounting</w:t>
            </w:r>
          </w:p>
        </w:tc>
        <w:tc>
          <w:tcPr>
            <w:tcW w:type="dxa" w:w="3600"/>
            <w:shd w:fill="F5F8F8"/>
            <w:vAlign w:val="top"/>
          </w:tcPr>
          <w:p>
            <w:pPr>
              <w:spacing w:after="0"/>
            </w:pPr>
            <w:r>
              <w:rPr>
                <w:color w:val="232D30"/>
                <w:sz w:val="17"/>
              </w:rPr>
              <w:t>Likidite ve nakit görünümü.</w:t>
            </w:r>
          </w:p>
        </w:tc>
      </w:tr>
    </w:tbl>
    <w:p>
      <w:pPr>
        <w:spacing w:after="20"/>
      </w:pPr>
    </w:p>
    <w:p>
      <w:pPr>
        <w:pStyle w:val="Heading2"/>
      </w:pPr>
      <w:r>
        <w:t>8.2 METRIX hesaplama otoritesi</w:t>
      </w:r>
    </w:p>
    <w:p>
      <w:r>
        <w:t>METRIX, canonical finansal kayıtları kullanarak deterministik yönetim hesaplamaları yapabilir ve yapmalıdır. LLM serbest hesabı finansal truth authority değildir. Hesaplama engine’i formül, dönem, para birimi, kur kaynağı, veri kapsamı ve sürüm taşır.</w:t>
      </w:r>
    </w:p>
    <w:tbl>
      <w:tblPr>
        <w:tblW w:type="auto" w:w="0"/>
        <w:jc w:val="center"/>
        <w:tblLayout w:type="fixed"/>
        <w:tblLook w:firstColumn="1" w:firstRow="1" w:lastColumn="0" w:lastRow="0" w:noHBand="0" w:noVBand="1" w:val="04A0"/>
      </w:tblPr>
      <w:tblGrid>
        <w:gridCol w:w="202"/>
        <w:gridCol w:w="9144"/>
      </w:tblGrid>
      <w:tr>
        <w:tc>
          <w:tcPr>
            <w:tcW w:type="dxa" w:w="5083"/>
            <w:shd w:fill="1F8A8A"/>
            <w:tcBorders>
              <w:top w:val="nil"/>
              <w:left w:val="nil"/>
              <w:bottom w:val="nil"/>
              <w:right w:val="nil"/>
            </w:tcBorders>
            <w:vAlign w:val="center"/>
          </w:tcPr>
          <w:p/>
        </w:tc>
        <w:tc>
          <w:tcPr>
            <w:tcW w:type="dxa" w:w="5083"/>
            <w:shd w:fill="F1F7F7"/>
            <w:tcBorders>
              <w:top w:val="nil"/>
              <w:left w:val="nil"/>
              <w:bottom w:val="nil"/>
              <w:right w:val="nil"/>
            </w:tcBorders>
            <w:vAlign w:val="center"/>
          </w:tcPr>
          <w:p>
            <w:r>
              <w:rPr>
                <w:b/>
                <w:color w:val="142D30"/>
                <w:sz w:val="21"/>
              </w:rPr>
              <w:t>Hesaplama zinciri</w:t>
            </w:r>
          </w:p>
          <w:p>
            <w:pPr>
              <w:pStyle w:val="BodyText"/>
              <w:spacing w:after="0"/>
            </w:pPr>
            <w:r>
              <w:t>Net satış − doğrudan maliyet = brüt kâr; brüt kâr − faaliyet giderleri = faaliyet kârı; finansman, diğer gelir/gider ve vergi etkileri ayrı evidence katmanlarıyla net sonuca bağlanır.</w:t>
            </w:r>
          </w:p>
        </w:tc>
      </w:tr>
    </w:tbl>
    <w:p>
      <w:pPr>
        <w:spacing w:after="20"/>
      </w:pPr>
    </w:p>
    <w:p>
      <w:pPr>
        <w:pStyle w:val="ListBullet"/>
        <w:spacing w:after="60"/>
      </w:pPr>
      <w:r>
        <w:t>Brüt kâr ve marj.</w:t>
      </w:r>
    </w:p>
    <w:p>
      <w:pPr>
        <w:pStyle w:val="ListBullet"/>
        <w:spacing w:after="60"/>
      </w:pPr>
      <w:r>
        <w:t>Faaliyet gideri ve gider oranı.</w:t>
      </w:r>
    </w:p>
    <w:p>
      <w:pPr>
        <w:pStyle w:val="ListBullet"/>
        <w:spacing w:after="60"/>
      </w:pPr>
      <w:r>
        <w:t>Faaliyet ve net kâr/zarar.</w:t>
      </w:r>
    </w:p>
    <w:p>
      <w:pPr>
        <w:pStyle w:val="ListBullet"/>
        <w:spacing w:after="60"/>
      </w:pPr>
      <w:r>
        <w:t>Bütçe–gerçekleşen ve dönemsel değişim.</w:t>
      </w:r>
    </w:p>
    <w:p>
      <w:pPr>
        <w:pStyle w:val="ListBullet"/>
        <w:spacing w:after="60"/>
      </w:pPr>
      <w:r>
        <w:t>Müşteri, ürün, temsilci, şube veya kanal bazında katkı.</w:t>
      </w:r>
    </w:p>
    <w:p>
      <w:pPr>
        <w:pStyle w:val="ListBullet"/>
        <w:spacing w:after="60"/>
      </w:pPr>
      <w:r>
        <w:t>Başa baş noktası, nakit tüketimi ve çalışma sermayesi göstergeleri.</w:t>
      </w:r>
    </w:p>
    <w:p>
      <w:pPr>
        <w:pStyle w:val="ListBullet"/>
        <w:spacing w:after="60"/>
      </w:pPr>
      <w:r>
        <w:t>Gerçekleşmiş, tahakkuk etmiş, tahmini ve senaryo değerlerinin kesin ayrımı.</w:t>
      </w:r>
    </w:p>
    <w:p>
      <w:pPr>
        <w:pStyle w:val="Heading2"/>
      </w:pPr>
      <w:r>
        <w:t>8.3 Resmî sonuç ve yönetim sonucu ayrımı</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76"/>
            <w:shd w:fill="173F46"/>
          </w:tcPr>
          <w:p>
            <w:pPr>
              <w:jc w:val="left"/>
            </w:pPr>
            <w:r>
              <w:rPr>
                <w:b/>
                <w:color w:val="FFFFFF"/>
                <w:sz w:val="18"/>
              </w:rPr>
              <w:t>Sonuç türü</w:t>
            </w:r>
          </w:p>
        </w:tc>
        <w:tc>
          <w:tcPr>
            <w:tcW w:type="dxa" w:w="3960"/>
            <w:shd w:fill="173F46"/>
          </w:tcPr>
          <w:p>
            <w:pPr>
              <w:jc w:val="left"/>
            </w:pPr>
            <w:r>
              <w:rPr>
                <w:b/>
                <w:color w:val="FFFFFF"/>
                <w:sz w:val="18"/>
              </w:rPr>
              <w:t>Tanım</w:t>
            </w:r>
          </w:p>
        </w:tc>
        <w:tc>
          <w:tcPr>
            <w:tcW w:type="dxa" w:w="2880"/>
            <w:shd w:fill="173F46"/>
          </w:tcPr>
          <w:p>
            <w:pPr>
              <w:jc w:val="left"/>
            </w:pPr>
            <w:r>
              <w:rPr>
                <w:b/>
                <w:color w:val="FFFFFF"/>
                <w:sz w:val="18"/>
              </w:rPr>
              <w:t>Gösterim kuralı</w:t>
            </w:r>
          </w:p>
        </w:tc>
      </w:tr>
      <w:tr>
        <w:tc>
          <w:tcPr>
            <w:tcW w:type="dxa" w:w="2376"/>
            <w:vAlign w:val="top"/>
          </w:tcPr>
          <w:p>
            <w:pPr>
              <w:spacing w:after="0"/>
            </w:pPr>
            <w:r>
              <w:rPr>
                <w:color w:val="232D30"/>
                <w:sz w:val="17"/>
              </w:rPr>
              <w:t>Resmî muhasebe sonucu</w:t>
            </w:r>
          </w:p>
        </w:tc>
        <w:tc>
          <w:tcPr>
            <w:tcW w:type="dxa" w:w="3960"/>
            <w:vAlign w:val="top"/>
          </w:tcPr>
          <w:p>
            <w:pPr>
              <w:spacing w:after="0"/>
            </w:pPr>
            <w:r>
              <w:rPr>
                <w:color w:val="232D30"/>
                <w:sz w:val="17"/>
              </w:rPr>
              <w:t>Onaylı muhasebe kayıtları ve mevzuat kuralları.</w:t>
            </w:r>
          </w:p>
        </w:tc>
        <w:tc>
          <w:tcPr>
            <w:tcW w:type="dxa" w:w="2880"/>
            <w:vAlign w:val="top"/>
          </w:tcPr>
          <w:p>
            <w:pPr>
              <w:spacing w:after="0"/>
            </w:pPr>
            <w:r>
              <w:rPr>
                <w:color w:val="232D30"/>
                <w:sz w:val="17"/>
              </w:rPr>
              <w:t>Kaynak ve kapanış durumu açık gösterilir.</w:t>
            </w:r>
          </w:p>
        </w:tc>
      </w:tr>
      <w:tr>
        <w:tc>
          <w:tcPr>
            <w:tcW w:type="dxa" w:w="2376"/>
            <w:shd w:fill="F5F8F8"/>
            <w:vAlign w:val="top"/>
          </w:tcPr>
          <w:p>
            <w:pPr>
              <w:spacing w:after="0"/>
            </w:pPr>
            <w:r>
              <w:rPr>
                <w:color w:val="232D30"/>
                <w:sz w:val="17"/>
              </w:rPr>
              <w:t>METRIX yönetim sonucu</w:t>
            </w:r>
          </w:p>
        </w:tc>
        <w:tc>
          <w:tcPr>
            <w:tcW w:type="dxa" w:w="3960"/>
            <w:shd w:fill="F5F8F8"/>
            <w:vAlign w:val="top"/>
          </w:tcPr>
          <w:p>
            <w:pPr>
              <w:spacing w:after="0"/>
            </w:pPr>
            <w:r>
              <w:rPr>
                <w:color w:val="232D30"/>
                <w:sz w:val="17"/>
              </w:rPr>
              <w:t>Yönetim kararları için canonical verilerden türetilen ekonomik görünüm.</w:t>
            </w:r>
          </w:p>
        </w:tc>
        <w:tc>
          <w:tcPr>
            <w:tcW w:type="dxa" w:w="2880"/>
            <w:shd w:fill="F5F8F8"/>
            <w:vAlign w:val="top"/>
          </w:tcPr>
          <w:p>
            <w:pPr>
              <w:spacing w:after="0"/>
            </w:pPr>
            <w:r>
              <w:rPr>
                <w:color w:val="232D30"/>
                <w:sz w:val="17"/>
              </w:rPr>
              <w:t>Resmî kâr olarak sunulamaz.</w:t>
            </w:r>
          </w:p>
        </w:tc>
      </w:tr>
      <w:tr>
        <w:tc>
          <w:tcPr>
            <w:tcW w:type="dxa" w:w="2376"/>
            <w:vAlign w:val="top"/>
          </w:tcPr>
          <w:p>
            <w:pPr>
              <w:spacing w:after="0"/>
            </w:pPr>
            <w:r>
              <w:rPr>
                <w:color w:val="232D30"/>
                <w:sz w:val="17"/>
              </w:rPr>
              <w:t>Tahmin</w:t>
            </w:r>
          </w:p>
        </w:tc>
        <w:tc>
          <w:tcPr>
            <w:tcW w:type="dxa" w:w="3960"/>
            <w:vAlign w:val="top"/>
          </w:tcPr>
          <w:p>
            <w:pPr>
              <w:spacing w:after="0"/>
            </w:pPr>
            <w:r>
              <w:rPr>
                <w:color w:val="232D30"/>
                <w:sz w:val="17"/>
              </w:rPr>
              <w:t>Mevcut tempo ve doğrulanmış varsayımlar üzerinden dönem sonu projection.</w:t>
            </w:r>
          </w:p>
        </w:tc>
        <w:tc>
          <w:tcPr>
            <w:tcW w:type="dxa" w:w="2880"/>
            <w:vAlign w:val="top"/>
          </w:tcPr>
          <w:p>
            <w:pPr>
              <w:spacing w:after="0"/>
            </w:pPr>
            <w:r>
              <w:rPr>
                <w:color w:val="232D30"/>
                <w:sz w:val="17"/>
              </w:rPr>
              <w:t>Confidence, varsayım ve senaryo etiketi zorunludur.</w:t>
            </w:r>
          </w:p>
        </w:tc>
      </w:tr>
      <w:tr>
        <w:tc>
          <w:tcPr>
            <w:tcW w:type="dxa" w:w="2376"/>
            <w:shd w:fill="F5F8F8"/>
            <w:vAlign w:val="top"/>
          </w:tcPr>
          <w:p>
            <w:pPr>
              <w:spacing w:after="0"/>
            </w:pPr>
            <w:r>
              <w:rPr>
                <w:color w:val="232D30"/>
                <w:sz w:val="17"/>
              </w:rPr>
              <w:t>Senaryo</w:t>
            </w:r>
          </w:p>
        </w:tc>
        <w:tc>
          <w:tcPr>
            <w:tcW w:type="dxa" w:w="3960"/>
            <w:shd w:fill="F5F8F8"/>
            <w:vAlign w:val="top"/>
          </w:tcPr>
          <w:p>
            <w:pPr>
              <w:spacing w:after="0"/>
            </w:pPr>
            <w:r>
              <w:rPr>
                <w:color w:val="232D30"/>
                <w:sz w:val="17"/>
              </w:rPr>
              <w:t>Henüz gerçekleşmemiş alternatif karar etkisi.</w:t>
            </w:r>
          </w:p>
        </w:tc>
        <w:tc>
          <w:tcPr>
            <w:tcW w:type="dxa" w:w="2880"/>
            <w:shd w:fill="F5F8F8"/>
            <w:vAlign w:val="top"/>
          </w:tcPr>
          <w:p>
            <w:pPr>
              <w:spacing w:after="0"/>
            </w:pPr>
            <w:r>
              <w:rPr>
                <w:color w:val="232D30"/>
                <w:sz w:val="17"/>
              </w:rPr>
              <w:t>Business Reality’ye yazılmaz.</w:t>
            </w:r>
          </w:p>
        </w:tc>
      </w:tr>
    </w:tbl>
    <w:p>
      <w:pPr>
        <w:spacing w:after="20"/>
      </w:pPr>
    </w:p>
    <w:p>
      <w:pPr>
        <w:pStyle w:val="Heading1"/>
      </w:pPr>
      <w:r>
        <w:t>9. KPI ve Yönetim Göstergeleri</w:t>
      </w:r>
    </w:p>
    <w:p>
      <w:pPr>
        <w:pStyle w:val="Heading2"/>
      </w:pPr>
      <w:r>
        <w:t>9.1 KPI tanımı ve KPI değeri ayrımı</w:t>
      </w:r>
    </w:p>
    <w:p>
      <w:r>
        <w:t>METRIX yeni KPI önerebilir veya tanımlayabilir. Ancak KPI değeri doğrulanmış kayıtlar ve deterministik hesaplama üzerinden oluşur. Bir Executive yorum, KPI sonucu sayılamaz.</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73F46"/>
          </w:tcPr>
          <w:p>
            <w:pPr>
              <w:jc w:val="left"/>
            </w:pPr>
            <w:r>
              <w:rPr>
                <w:b/>
                <w:color w:val="FFFFFF"/>
                <w:sz w:val="18"/>
              </w:rPr>
              <w:t>KPI sözleşmesi</w:t>
            </w:r>
          </w:p>
        </w:tc>
        <w:tc>
          <w:tcPr>
            <w:tcW w:type="dxa" w:w="6768"/>
            <w:shd w:fill="173F46"/>
          </w:tcPr>
          <w:p>
            <w:pPr>
              <w:jc w:val="left"/>
            </w:pPr>
            <w:r>
              <w:rPr>
                <w:b/>
                <w:color w:val="FFFFFF"/>
                <w:sz w:val="18"/>
              </w:rPr>
              <w:t>Zorunlu alanlar</w:t>
            </w:r>
          </w:p>
        </w:tc>
      </w:tr>
      <w:tr>
        <w:tc>
          <w:tcPr>
            <w:tcW w:type="dxa" w:w="2448"/>
            <w:vAlign w:val="top"/>
          </w:tcPr>
          <w:p>
            <w:pPr>
              <w:spacing w:after="0"/>
            </w:pPr>
            <w:r>
              <w:rPr>
                <w:color w:val="232D30"/>
                <w:sz w:val="17"/>
              </w:rPr>
              <w:t>Tanım</w:t>
            </w:r>
          </w:p>
        </w:tc>
        <w:tc>
          <w:tcPr>
            <w:tcW w:type="dxa" w:w="6768"/>
            <w:vAlign w:val="top"/>
          </w:tcPr>
          <w:p>
            <w:pPr>
              <w:spacing w:after="0"/>
            </w:pPr>
            <w:r>
              <w:rPr>
                <w:color w:val="232D30"/>
                <w:sz w:val="17"/>
              </w:rPr>
              <w:t>Ad, yönetim amacı, domain, ölçü, birim ve zaman penceresi.</w:t>
            </w:r>
          </w:p>
        </w:tc>
      </w:tr>
      <w:tr>
        <w:tc>
          <w:tcPr>
            <w:tcW w:type="dxa" w:w="2448"/>
            <w:shd w:fill="F5F8F8"/>
            <w:vAlign w:val="top"/>
          </w:tcPr>
          <w:p>
            <w:pPr>
              <w:spacing w:after="0"/>
            </w:pPr>
            <w:r>
              <w:rPr>
                <w:color w:val="232D30"/>
                <w:sz w:val="17"/>
              </w:rPr>
              <w:t>Formül</w:t>
            </w:r>
          </w:p>
        </w:tc>
        <w:tc>
          <w:tcPr>
            <w:tcW w:type="dxa" w:w="6768"/>
            <w:shd w:fill="F5F8F8"/>
            <w:vAlign w:val="top"/>
          </w:tcPr>
          <w:p>
            <w:pPr>
              <w:spacing w:after="0"/>
            </w:pPr>
            <w:r>
              <w:rPr>
                <w:color w:val="232D30"/>
                <w:sz w:val="17"/>
              </w:rPr>
              <w:t>Kaynak kayıtları, filtreler, aggregation, boş/veri kalitesi davranışı ve versiyon.</w:t>
            </w:r>
          </w:p>
        </w:tc>
      </w:tr>
      <w:tr>
        <w:tc>
          <w:tcPr>
            <w:tcW w:type="dxa" w:w="2448"/>
            <w:vAlign w:val="top"/>
          </w:tcPr>
          <w:p>
            <w:pPr>
              <w:spacing w:after="0"/>
            </w:pPr>
            <w:r>
              <w:rPr>
                <w:color w:val="232D30"/>
                <w:sz w:val="17"/>
              </w:rPr>
              <w:t>Hedef</w:t>
            </w:r>
          </w:p>
        </w:tc>
        <w:tc>
          <w:tcPr>
            <w:tcW w:type="dxa" w:w="6768"/>
            <w:vAlign w:val="top"/>
          </w:tcPr>
          <w:p>
            <w:pPr>
              <w:spacing w:after="0"/>
            </w:pPr>
            <w:r>
              <w:rPr>
                <w:color w:val="232D30"/>
                <w:sz w:val="17"/>
              </w:rPr>
              <w:t>Hedef değer/aralık, dönem ve sahip.</w:t>
            </w:r>
          </w:p>
        </w:tc>
      </w:tr>
      <w:tr>
        <w:tc>
          <w:tcPr>
            <w:tcW w:type="dxa" w:w="2448"/>
            <w:shd w:fill="F5F8F8"/>
            <w:vAlign w:val="top"/>
          </w:tcPr>
          <w:p>
            <w:pPr>
              <w:spacing w:after="0"/>
            </w:pPr>
            <w:r>
              <w:rPr>
                <w:color w:val="232D30"/>
                <w:sz w:val="17"/>
              </w:rPr>
              <w:t>Sunum</w:t>
            </w:r>
          </w:p>
        </w:tc>
        <w:tc>
          <w:tcPr>
            <w:tcW w:type="dxa" w:w="6768"/>
            <w:shd w:fill="F5F8F8"/>
            <w:vAlign w:val="top"/>
          </w:tcPr>
          <w:p>
            <w:pPr>
              <w:spacing w:after="0"/>
            </w:pPr>
            <w:r>
              <w:rPr>
                <w:color w:val="232D30"/>
                <w:sz w:val="17"/>
              </w:rPr>
              <w:t>Kritik eşikler, yön, trend ve hangi kullanıcıya ne zaman gösterileceği.</w:t>
            </w:r>
          </w:p>
        </w:tc>
      </w:tr>
      <w:tr>
        <w:tc>
          <w:tcPr>
            <w:tcW w:type="dxa" w:w="2448"/>
            <w:vAlign w:val="top"/>
          </w:tcPr>
          <w:p>
            <w:pPr>
              <w:spacing w:after="0"/>
            </w:pPr>
            <w:r>
              <w:rPr>
                <w:color w:val="232D30"/>
                <w:sz w:val="17"/>
              </w:rPr>
              <w:t>Yaşam döngüsü</w:t>
            </w:r>
          </w:p>
        </w:tc>
        <w:tc>
          <w:tcPr>
            <w:tcW w:type="dxa" w:w="6768"/>
            <w:vAlign w:val="top"/>
          </w:tcPr>
          <w:p>
            <w:pPr>
              <w:spacing w:after="0"/>
            </w:pPr>
            <w:r>
              <w:rPr>
                <w:color w:val="232D30"/>
                <w:sz w:val="17"/>
              </w:rPr>
              <w:t>Öneri, onay, aktif, değiştirilmiş, emekli ve değişiklik gerekçesi.</w:t>
            </w:r>
          </w:p>
        </w:tc>
      </w:tr>
    </w:tbl>
    <w:p>
      <w:pPr>
        <w:spacing w:after="20"/>
      </w:pPr>
    </w:p>
    <w:p>
      <w:pPr>
        <w:pStyle w:val="Heading2"/>
      </w:pPr>
      <w:r>
        <w:t>9.2 Dinamik KPI ilkesi</w:t>
      </w:r>
    </w:p>
    <w:p>
      <w:pPr>
        <w:pStyle w:val="ListBullet"/>
        <w:spacing w:after="60"/>
      </w:pPr>
      <w:r>
        <w:t>KPI; sektör, şirket hedefi, rol, risk veya veri kalitesi ihtiyacından doğabilir.</w:t>
      </w:r>
    </w:p>
    <w:p>
      <w:pPr>
        <w:pStyle w:val="ListBullet"/>
        <w:spacing w:after="60"/>
      </w:pPr>
      <w:r>
        <w:t>Sırf ölçülebiliyor diye KPI oluşturulmaz; yönetim kararına katkısı kanıtlanmalıdır.</w:t>
      </w:r>
    </w:p>
    <w:p>
      <w:pPr>
        <w:pStyle w:val="ListBullet"/>
        <w:spacing w:after="60"/>
      </w:pPr>
      <w:r>
        <w:t>METRIX yeni KPI önerebilir; ücret, performans değerlendirmesi veya kritik yönetim sonucu doğuran KPI yapısı kullanıcı onayı ister.</w:t>
      </w:r>
    </w:p>
    <w:p>
      <w:pPr>
        <w:pStyle w:val="ListBullet"/>
        <w:spacing w:after="60"/>
      </w:pPr>
      <w:r>
        <w:t>KPI geçmişi versiyonlanır; formül değişikliği geçmiş değerleri sessizce yeniden anlamlandırmaz.</w:t>
      </w:r>
    </w:p>
    <w:p>
      <w:pPr>
        <w:pStyle w:val="ListBullet"/>
        <w:spacing w:after="60"/>
      </w:pPr>
      <w:r>
        <w:t>Karşılaştırılabilir çekirdek metrikler korunur; değişen ihtiyaçlar için dinamik göstergeler eklenebilir.</w:t>
      </w:r>
    </w:p>
    <w:p>
      <w:pPr>
        <w:pStyle w:val="Heading2"/>
      </w:pPr>
      <w:r>
        <w:t>9.3 Şirketim’de gösterim</w:t>
      </w:r>
    </w:p>
    <w:p>
      <w:r>
        <w:t>Şirketim bütün KPI’ları kalıcı ekranda göstermez. Kullanıcının dikkatini gerektiren en yüksek yönetim değerli göstergeler otomatik görünür; detay ve özel analiz METRIX tarafından istek üzerine hazırlanır.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608"/>
            <w:shd w:fill="173F46"/>
          </w:tcPr>
          <w:p>
            <w:pPr>
              <w:jc w:val="left"/>
            </w:pPr>
            <w:r>
              <w:rPr>
                <w:b/>
                <w:color w:val="FFFFFF"/>
                <w:sz w:val="18"/>
              </w:rPr>
              <w:t>Kendiliğinden görünür</w:t>
            </w:r>
          </w:p>
        </w:tc>
        <w:tc>
          <w:tcPr>
            <w:tcW w:type="dxa" w:w="4608"/>
            <w:shd w:fill="173F46"/>
          </w:tcPr>
          <w:p>
            <w:pPr>
              <w:jc w:val="left"/>
            </w:pPr>
            <w:r>
              <w:rPr>
                <w:b/>
                <w:color w:val="FFFFFF"/>
                <w:sz w:val="18"/>
              </w:rPr>
              <w:t>İstenince hazırlanır</w:t>
            </w:r>
          </w:p>
        </w:tc>
      </w:tr>
      <w:tr>
        <w:tc>
          <w:tcPr>
            <w:tcW w:type="dxa" w:w="4608"/>
            <w:vAlign w:val="top"/>
          </w:tcPr>
          <w:p>
            <w:pPr>
              <w:spacing w:after="0"/>
            </w:pPr>
            <w:r>
              <w:rPr>
                <w:color w:val="232D30"/>
                <w:sz w:val="17"/>
              </w:rPr>
              <w:t>Kritik hedef sapması, finansal baskı, önemli fırsat, sıra dışı başarı, veri kalitesi sorunu.</w:t>
            </w:r>
          </w:p>
        </w:tc>
        <w:tc>
          <w:tcPr>
            <w:tcW w:type="dxa" w:w="4608"/>
            <w:vAlign w:val="top"/>
          </w:tcPr>
          <w:p>
            <w:pPr>
              <w:spacing w:after="0"/>
            </w:pPr>
            <w:r>
              <w:rPr>
                <w:color w:val="232D30"/>
                <w:sz w:val="17"/>
              </w:rPr>
              <w:t>Temsilci karşılaştırması, ürün/müşteri kârlılığı, 12 haftalık trend, özel senaryo veya ayrıntılı yönetim raporu.</w:t>
            </w:r>
          </w:p>
        </w:tc>
      </w:tr>
    </w:tbl>
    <w:p>
      <w:pPr>
        <w:spacing w:after="20"/>
      </w:pPr>
    </w:p>
    <w:p>
      <w:pPr>
        <w:pStyle w:val="Heading1"/>
      </w:pPr>
      <w:r>
        <w:t>10. Haftalık Satış ve Yönetim Raporlama Sistemi</w:t>
      </w:r>
    </w:p>
    <w:p>
      <w:pPr>
        <w:pStyle w:val="Heading2"/>
      </w:pPr>
      <w:r>
        <w:t>10.1 Raporun amacı</w:t>
      </w:r>
    </w:p>
    <w:p>
      <w:r>
        <w:t>Haftalık raporlama, satış temsilcilerine aynı statik formu doldurtan bir veri toplama ekranı değildir. Otomatik sistem verisi ile sahadaki insan bilgisini birleştiren, taahhütleri takip eden ve bir sonraki yönetim haftasını hazırlayan yaşayan yönetim döngüsüdür.</w:t>
      </w:r>
    </w:p>
    <w:p>
      <w:pPr>
        <w:pStyle w:val="Heading2"/>
      </w:pPr>
      <w:r>
        <w:t>10.2 Raporun üç katmanı</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173F46"/>
          </w:tcPr>
          <w:p>
            <w:pPr>
              <w:jc w:val="left"/>
            </w:pPr>
            <w:r>
              <w:rPr>
                <w:b/>
                <w:color w:val="FFFFFF"/>
                <w:sz w:val="18"/>
              </w:rPr>
              <w:t>Katman</w:t>
            </w:r>
          </w:p>
        </w:tc>
        <w:tc>
          <w:tcPr>
            <w:tcW w:type="dxa" w:w="4608"/>
            <w:shd w:fill="173F46"/>
          </w:tcPr>
          <w:p>
            <w:pPr>
              <w:jc w:val="left"/>
            </w:pPr>
            <w:r>
              <w:rPr>
                <w:b/>
                <w:color w:val="FFFFFF"/>
                <w:sz w:val="18"/>
              </w:rPr>
              <w:t>İçerik</w:t>
            </w:r>
          </w:p>
        </w:tc>
        <w:tc>
          <w:tcPr>
            <w:tcW w:type="dxa" w:w="2304"/>
            <w:shd w:fill="173F46"/>
          </w:tcPr>
          <w:p>
            <w:pPr>
              <w:jc w:val="left"/>
            </w:pPr>
            <w:r>
              <w:rPr>
                <w:b/>
                <w:color w:val="FFFFFF"/>
                <w:sz w:val="18"/>
              </w:rPr>
              <w:t>Değişim kuralı</w:t>
            </w:r>
          </w:p>
        </w:tc>
      </w:tr>
      <w:tr>
        <w:tc>
          <w:tcPr>
            <w:tcW w:type="dxa" w:w="2304"/>
            <w:vAlign w:val="top"/>
          </w:tcPr>
          <w:p>
            <w:pPr>
              <w:spacing w:after="0"/>
            </w:pPr>
            <w:r>
              <w:rPr>
                <w:color w:val="232D30"/>
                <w:sz w:val="17"/>
              </w:rPr>
              <w:t>Sabit çekirdek</w:t>
            </w:r>
          </w:p>
        </w:tc>
        <w:tc>
          <w:tcPr>
            <w:tcW w:type="dxa" w:w="4608"/>
            <w:vAlign w:val="top"/>
          </w:tcPr>
          <w:p>
            <w:pPr>
              <w:spacing w:after="0"/>
            </w:pPr>
            <w:r>
              <w:rPr>
                <w:color w:val="232D30"/>
                <w:sz w:val="17"/>
              </w:rPr>
              <w:t>Hedef, gerçekleşen, açık fırsat, kritik risk, gelecek hafta odağı, destek ihtiyacı.</w:t>
            </w:r>
          </w:p>
        </w:tc>
        <w:tc>
          <w:tcPr>
            <w:tcW w:type="dxa" w:w="2304"/>
            <w:vAlign w:val="top"/>
          </w:tcPr>
          <w:p>
            <w:pPr>
              <w:spacing w:after="0"/>
            </w:pPr>
            <w:r>
              <w:rPr>
                <w:color w:val="232D30"/>
                <w:sz w:val="17"/>
              </w:rPr>
              <w:t>Karşılaştırılabilirlik için korunur.</w:t>
            </w:r>
          </w:p>
        </w:tc>
      </w:tr>
      <w:tr>
        <w:tc>
          <w:tcPr>
            <w:tcW w:type="dxa" w:w="2304"/>
            <w:shd w:fill="F5F8F8"/>
            <w:vAlign w:val="top"/>
          </w:tcPr>
          <w:p>
            <w:pPr>
              <w:spacing w:after="0"/>
            </w:pPr>
            <w:r>
              <w:rPr>
                <w:color w:val="232D30"/>
                <w:sz w:val="17"/>
              </w:rPr>
              <w:t>Rol/sektör katmanı</w:t>
            </w:r>
          </w:p>
        </w:tc>
        <w:tc>
          <w:tcPr>
            <w:tcW w:type="dxa" w:w="4608"/>
            <w:shd w:fill="F5F8F8"/>
            <w:vAlign w:val="top"/>
          </w:tcPr>
          <w:p>
            <w:pPr>
              <w:spacing w:after="0"/>
            </w:pPr>
            <w:r>
              <w:rPr>
                <w:color w:val="232D30"/>
                <w:sz w:val="17"/>
              </w:rPr>
              <w:t>İhracat, saha satış, kurumsal satış veya sektöre özel sorular/KPI’lar.</w:t>
            </w:r>
          </w:p>
        </w:tc>
        <w:tc>
          <w:tcPr>
            <w:tcW w:type="dxa" w:w="2304"/>
            <w:shd w:fill="F5F8F8"/>
            <w:vAlign w:val="top"/>
          </w:tcPr>
          <w:p>
            <w:pPr>
              <w:spacing w:after="0"/>
            </w:pPr>
            <w:r>
              <w:rPr>
                <w:color w:val="232D30"/>
                <w:sz w:val="17"/>
              </w:rPr>
              <w:t>Rol ve şirket bağlamına göre versiyonlanır.</w:t>
            </w:r>
          </w:p>
        </w:tc>
      </w:tr>
      <w:tr>
        <w:tc>
          <w:tcPr>
            <w:tcW w:type="dxa" w:w="2304"/>
            <w:vAlign w:val="top"/>
          </w:tcPr>
          <w:p>
            <w:pPr>
              <w:spacing w:after="0"/>
            </w:pPr>
            <w:r>
              <w:rPr>
                <w:color w:val="232D30"/>
                <w:sz w:val="17"/>
              </w:rPr>
              <w:t>Dinamik METRIX katmanı</w:t>
            </w:r>
          </w:p>
        </w:tc>
        <w:tc>
          <w:tcPr>
            <w:tcW w:type="dxa" w:w="4608"/>
            <w:vAlign w:val="top"/>
          </w:tcPr>
          <w:p>
            <w:pPr>
              <w:spacing w:after="0"/>
            </w:pPr>
            <w:r>
              <w:rPr>
                <w:color w:val="232D30"/>
                <w:sz w:val="17"/>
              </w:rPr>
              <w:t>O haftaki gerçek sinyallerden doğan hedefli sorular.</w:t>
            </w:r>
          </w:p>
        </w:tc>
        <w:tc>
          <w:tcPr>
            <w:tcW w:type="dxa" w:w="2304"/>
            <w:vAlign w:val="top"/>
          </w:tcPr>
          <w:p>
            <w:pPr>
              <w:spacing w:after="0"/>
            </w:pPr>
            <w:r>
              <w:rPr>
                <w:color w:val="232D30"/>
                <w:sz w:val="17"/>
              </w:rPr>
              <w:t>Her hafta yeniden oluşabilir; ezber şablon değildir.</w:t>
            </w:r>
          </w:p>
        </w:tc>
      </w:tr>
    </w:tbl>
    <w:p>
      <w:pPr>
        <w:spacing w:after="20"/>
      </w:pPr>
    </w:p>
    <w:p>
      <w:pPr>
        <w:pStyle w:val="Heading2"/>
      </w:pPr>
      <w:r>
        <w:t>10.3 Otomatik veri tekrar sorulmaz</w:t>
      </w:r>
    </w:p>
    <w:p>
      <w:r>
        <w:t>Sistem teklif, satış, tahsilat, aktivite ve görev verilerini biliyorsa temsilciden yeniden yazması istenmez. İnsan formu yalnız sistemde görünmeyen saha bağlamını, nedenleri, riskleri, öğrenmeleri ve gelecek hafta taahhütlerini toplar.</w:t>
      </w:r>
    </w:p>
    <w:p>
      <w:pPr>
        <w:pStyle w:val="Heading2"/>
      </w:pPr>
      <w:r>
        <w:t>10.4 Dinamik format yönetimi</w:t>
      </w:r>
    </w:p>
    <w:p>
      <w:pPr>
        <w:pStyle w:val="ListBullet"/>
        <w:spacing w:after="60"/>
      </w:pPr>
      <w:r>
        <w:t>METRIX alan/soru ekleyebilir, kaldırabilir veya açıklamasını iyileştirebilir.</w:t>
      </w:r>
    </w:p>
    <w:p>
      <w:pPr>
        <w:pStyle w:val="ListBullet"/>
        <w:spacing w:after="60"/>
      </w:pPr>
      <w:r>
        <w:t>Her rapor şablonu ve soru seti versiyonlanır.</w:t>
      </w:r>
    </w:p>
    <w:p>
      <w:pPr>
        <w:pStyle w:val="ListBullet"/>
        <w:spacing w:after="60"/>
      </w:pPr>
      <w:r>
        <w:t>Gönderilmiş geçmiş rapor değişmez.</w:t>
      </w:r>
    </w:p>
    <w:p>
      <w:pPr>
        <w:pStyle w:val="ListBullet"/>
        <w:spacing w:after="60"/>
      </w:pPr>
      <w:r>
        <w:t>Değişiklik gerekçesi ve etkilediği roller kaydedilir.</w:t>
      </w:r>
    </w:p>
    <w:p>
      <w:pPr>
        <w:pStyle w:val="ListBullet"/>
        <w:spacing w:after="60"/>
      </w:pPr>
      <w:r>
        <w:t>Çekirdek trend KPI’ları korunur.</w:t>
      </w:r>
    </w:p>
    <w:p>
      <w:pPr>
        <w:pStyle w:val="ListBullet"/>
        <w:spacing w:after="60"/>
      </w:pPr>
      <w:r>
        <w:t>Performans değerlendirmesini veya yetki/ücret sonucunu etkileyen yapısal değişiklik kullanıcı onayı ister.</w:t>
      </w:r>
    </w:p>
    <w:p>
      <w:pPr>
        <w:pStyle w:val="Heading2"/>
      </w:pPr>
      <w:r>
        <w:t>10.5 Cuma yönetim döngüsü</w:t>
      </w:r>
    </w:p>
    <w:p>
      <w:pPr>
        <w:pStyle w:val="ListNumber"/>
        <w:spacing w:after="60"/>
      </w:pPr>
      <w:r>
        <w:t>Hafta boyunca canonical satış, teklif, tahsilat ve görev verileri toplanır.</w:t>
      </w:r>
    </w:p>
    <w:p>
      <w:pPr>
        <w:pStyle w:val="ListNumber"/>
        <w:spacing w:after="60"/>
      </w:pPr>
      <w:r>
        <w:t>METRIX eksik yönetim bilgisini ve temsilci bazlı soru ihtiyacını belirler.</w:t>
      </w:r>
    </w:p>
    <w:p>
      <w:pPr>
        <w:pStyle w:val="ListNumber"/>
        <w:spacing w:after="60"/>
      </w:pPr>
      <w:r>
        <w:t>İlgili rapor sürümü oluşturulur ve hatırlatma gönderilir.</w:t>
      </w:r>
    </w:p>
    <w:p>
      <w:pPr>
        <w:pStyle w:val="ListNumber"/>
        <w:spacing w:after="60"/>
      </w:pPr>
      <w:r>
        <w:t>Temsilci kendi panelinden yalnız gerekli insan bilgisini girer.</w:t>
      </w:r>
    </w:p>
    <w:p>
      <w:pPr>
        <w:pStyle w:val="ListNumber"/>
        <w:spacing w:after="60"/>
      </w:pPr>
      <w:r>
        <w:t>METRIX cevapları otomatik kayıtlarla karşılaştırır; çelişki veya eksik varsa doğrulama ister.</w:t>
      </w:r>
    </w:p>
    <w:p>
      <w:pPr>
        <w:pStyle w:val="ListNumber"/>
        <w:spacing w:after="60"/>
      </w:pPr>
      <w:r>
        <w:t>Temsilci raporu gönderir; geçmiş sürüm değişmez biçimde saklanır.</w:t>
      </w:r>
    </w:p>
    <w:p>
      <w:pPr>
        <w:pStyle w:val="ListNumber"/>
        <w:spacing w:after="60"/>
      </w:pPr>
      <w:r>
        <w:t>Ekip ve şirket yönetim özeti, risk, fırsat, taahhüt ve gelecek hafta aksiyonları hazırlanır.</w:t>
      </w:r>
    </w:p>
    <w:p>
      <w:pPr>
        <w:pStyle w:val="ListNumber"/>
        <w:spacing w:after="60"/>
      </w:pPr>
      <w:r>
        <w:t>Açık taahhütler bir sonraki hafta sonuçlarıyla karşılaştırılır ve Decision/Outcome Review’ı besler.</w:t>
      </w:r>
    </w:p>
    <w:p>
      <w:pPr>
        <w:pStyle w:val="Heading1"/>
      </w:pPr>
      <w:r>
        <w:t>11. Company Model 2.0 ve Executive Brain Bağlantısı</w:t>
      </w:r>
    </w:p>
    <w:p>
      <w:pPr>
        <w:pStyle w:val="Heading2"/>
      </w:pPr>
      <w:r>
        <w:t>11.1 Projection ilkesi</w:t>
      </w:r>
    </w:p>
    <w:p>
      <w:r>
        <w:t>Company Model 2.0 yeni bir truth database değildir. Executive Understanding ve Brain için hazırlanmış, kaynakları belli, zaman kapsamı olan ve yetki sınırlarına uyan bir yönetim projection’ıdır.</w:t>
      </w:r>
    </w:p>
    <w:tbl>
      <w:tblPr>
        <w:tblW w:type="auto" w:w="0"/>
        <w:jc w:val="center"/>
        <w:tblLayout w:type="fixed"/>
        <w:tblLook w:firstColumn="1" w:firstRow="1" w:lastColumn="0" w:lastRow="0" w:noHBand="0" w:noVBand="1" w:val="04A0"/>
      </w:tblPr>
      <w:tblGrid>
        <w:gridCol w:w="202"/>
        <w:gridCol w:w="9144"/>
      </w:tblGrid>
      <w:tr>
        <w:tc>
          <w:tcPr>
            <w:tcW w:type="dxa" w:w="5083"/>
            <w:shd w:fill="1F8A8A"/>
            <w:tcBorders>
              <w:top w:val="nil"/>
              <w:left w:val="nil"/>
              <w:bottom w:val="nil"/>
              <w:right w:val="nil"/>
            </w:tcBorders>
            <w:vAlign w:val="center"/>
          </w:tcPr>
          <w:p/>
        </w:tc>
        <w:tc>
          <w:tcPr>
            <w:tcW w:type="dxa" w:w="5083"/>
            <w:shd w:fill="F1F7F7"/>
            <w:tcBorders>
              <w:top w:val="nil"/>
              <w:left w:val="nil"/>
              <w:bottom w:val="nil"/>
              <w:right w:val="nil"/>
            </w:tcBorders>
            <w:vAlign w:val="center"/>
          </w:tcPr>
          <w:p>
            <w:r>
              <w:rPr>
                <w:b/>
                <w:color w:val="142D30"/>
                <w:sz w:val="21"/>
              </w:rPr>
              <w:t>Tek otorite</w:t>
            </w:r>
          </w:p>
          <w:p>
            <w:pPr>
              <w:pStyle w:val="BodyText"/>
              <w:spacing w:after="0"/>
            </w:pPr>
            <w:r>
              <w:t>Canonical domain kayıtları gerçektir. Company Model yalnız bu gerçeklerin Executive katman tarafından verimli okunabilen projection’ıdır.</w:t>
            </w:r>
          </w:p>
        </w:tc>
      </w:tr>
    </w:tbl>
    <w:p>
      <w:pPr>
        <w:spacing w:after="20"/>
      </w:pPr>
    </w:p>
    <w:p>
      <w:pPr>
        <w:pStyle w:val="Heading2"/>
      </w:pPr>
      <w:r>
        <w:t>11.2 Önerilen projection bölümleri</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F46"/>
          </w:tcPr>
          <w:p>
            <w:pPr>
              <w:jc w:val="left"/>
            </w:pPr>
            <w:r>
              <w:rPr>
                <w:b/>
                <w:color w:val="FFFFFF"/>
                <w:sz w:val="18"/>
              </w:rPr>
              <w:t>Bölüm</w:t>
            </w:r>
          </w:p>
        </w:tc>
        <w:tc>
          <w:tcPr>
            <w:tcW w:type="dxa" w:w="6336"/>
            <w:shd w:fill="173F46"/>
          </w:tcPr>
          <w:p>
            <w:pPr>
              <w:jc w:val="left"/>
            </w:pPr>
            <w:r>
              <w:rPr>
                <w:b/>
                <w:color w:val="FFFFFF"/>
                <w:sz w:val="18"/>
              </w:rPr>
              <w:t>İçerik</w:t>
            </w:r>
          </w:p>
        </w:tc>
      </w:tr>
      <w:tr>
        <w:tc>
          <w:tcPr>
            <w:tcW w:type="dxa" w:w="2880"/>
            <w:vAlign w:val="top"/>
          </w:tcPr>
          <w:p>
            <w:pPr>
              <w:spacing w:after="0"/>
            </w:pPr>
            <w:r>
              <w:rPr>
                <w:color w:val="232D30"/>
                <w:sz w:val="17"/>
              </w:rPr>
              <w:t>Identity</w:t>
            </w:r>
          </w:p>
        </w:tc>
        <w:tc>
          <w:tcPr>
            <w:tcW w:type="dxa" w:w="6336"/>
            <w:vAlign w:val="top"/>
          </w:tcPr>
          <w:p>
            <w:pPr>
              <w:spacing w:after="0"/>
            </w:pPr>
            <w:r>
              <w:rPr>
                <w:color w:val="232D30"/>
                <w:sz w:val="17"/>
              </w:rPr>
              <w:t>Sektör, bölgeler, şirket ölçeği, iş modeli, birimler ve temel politikalar.</w:t>
            </w:r>
          </w:p>
        </w:tc>
      </w:tr>
      <w:tr>
        <w:tc>
          <w:tcPr>
            <w:tcW w:type="dxa" w:w="2880"/>
            <w:shd w:fill="F5F8F8"/>
            <w:vAlign w:val="top"/>
          </w:tcPr>
          <w:p>
            <w:pPr>
              <w:spacing w:after="0"/>
            </w:pPr>
            <w:r>
              <w:rPr>
                <w:color w:val="232D30"/>
                <w:sz w:val="17"/>
              </w:rPr>
              <w:t>Strategic Context</w:t>
            </w:r>
          </w:p>
        </w:tc>
        <w:tc>
          <w:tcPr>
            <w:tcW w:type="dxa" w:w="6336"/>
            <w:shd w:fill="F5F8F8"/>
            <w:vAlign w:val="top"/>
          </w:tcPr>
          <w:p>
            <w:pPr>
              <w:spacing w:after="0"/>
            </w:pPr>
            <w:r>
              <w:rPr>
                <w:color w:val="232D30"/>
                <w:sz w:val="17"/>
              </w:rPr>
              <w:t>Aktif hedefler, öncelikler, büyüme evresi ve kısıtlar.</w:t>
            </w:r>
          </w:p>
        </w:tc>
      </w:tr>
      <w:tr>
        <w:tc>
          <w:tcPr>
            <w:tcW w:type="dxa" w:w="2880"/>
            <w:vAlign w:val="top"/>
          </w:tcPr>
          <w:p>
            <w:pPr>
              <w:spacing w:after="0"/>
            </w:pPr>
            <w:r>
              <w:rPr>
                <w:color w:val="232D30"/>
                <w:sz w:val="17"/>
              </w:rPr>
              <w:t>Commercial Picture</w:t>
            </w:r>
          </w:p>
        </w:tc>
        <w:tc>
          <w:tcPr>
            <w:tcW w:type="dxa" w:w="6336"/>
            <w:vAlign w:val="top"/>
          </w:tcPr>
          <w:p>
            <w:pPr>
              <w:spacing w:after="0"/>
            </w:pPr>
            <w:r>
              <w:rPr>
                <w:color w:val="232D30"/>
                <w:sz w:val="17"/>
              </w:rPr>
              <w:t>Müşteri dağılımı, pipeline, satış, ürün/kanal performansı ve yoğunlaşma.</w:t>
            </w:r>
          </w:p>
        </w:tc>
      </w:tr>
      <w:tr>
        <w:tc>
          <w:tcPr>
            <w:tcW w:type="dxa" w:w="2880"/>
            <w:shd w:fill="F5F8F8"/>
            <w:vAlign w:val="top"/>
          </w:tcPr>
          <w:p>
            <w:pPr>
              <w:spacing w:after="0"/>
            </w:pPr>
            <w:r>
              <w:rPr>
                <w:color w:val="232D30"/>
                <w:sz w:val="17"/>
              </w:rPr>
              <w:t>Financial Picture</w:t>
            </w:r>
          </w:p>
        </w:tc>
        <w:tc>
          <w:tcPr>
            <w:tcW w:type="dxa" w:w="6336"/>
            <w:shd w:fill="F5F8F8"/>
            <w:vAlign w:val="top"/>
          </w:tcPr>
          <w:p>
            <w:pPr>
              <w:spacing w:after="0"/>
            </w:pPr>
            <w:r>
              <w:rPr>
                <w:color w:val="232D30"/>
                <w:sz w:val="17"/>
              </w:rPr>
              <w:t>Gelir, maliyet, gider, kâr, nakit, alacak, borç ve varlık projection’ları.</w:t>
            </w:r>
          </w:p>
        </w:tc>
      </w:tr>
      <w:tr>
        <w:tc>
          <w:tcPr>
            <w:tcW w:type="dxa" w:w="2880"/>
            <w:vAlign w:val="top"/>
          </w:tcPr>
          <w:p>
            <w:pPr>
              <w:spacing w:after="0"/>
            </w:pPr>
            <w:r>
              <w:rPr>
                <w:color w:val="232D30"/>
                <w:sz w:val="17"/>
              </w:rPr>
              <w:t>People &amp; Execution</w:t>
            </w:r>
          </w:p>
        </w:tc>
        <w:tc>
          <w:tcPr>
            <w:tcW w:type="dxa" w:w="6336"/>
            <w:vAlign w:val="top"/>
          </w:tcPr>
          <w:p>
            <w:pPr>
              <w:spacing w:after="0"/>
            </w:pPr>
            <w:r>
              <w:rPr>
                <w:color w:val="232D30"/>
                <w:sz w:val="17"/>
              </w:rPr>
              <w:t>Ekip, sahiplik, kapasite, hedefler, raporlar ve açık aksiyonlar.</w:t>
            </w:r>
          </w:p>
        </w:tc>
      </w:tr>
      <w:tr>
        <w:tc>
          <w:tcPr>
            <w:tcW w:type="dxa" w:w="2880"/>
            <w:shd w:fill="F5F8F8"/>
            <w:vAlign w:val="top"/>
          </w:tcPr>
          <w:p>
            <w:pPr>
              <w:spacing w:after="0"/>
            </w:pPr>
            <w:r>
              <w:rPr>
                <w:color w:val="232D30"/>
                <w:sz w:val="17"/>
              </w:rPr>
              <w:t>Evidence &amp; Quality</w:t>
            </w:r>
          </w:p>
        </w:tc>
        <w:tc>
          <w:tcPr>
            <w:tcW w:type="dxa" w:w="6336"/>
            <w:shd w:fill="F5F8F8"/>
            <w:vAlign w:val="top"/>
          </w:tcPr>
          <w:p>
            <w:pPr>
              <w:spacing w:after="0"/>
            </w:pPr>
            <w:r>
              <w:rPr>
                <w:color w:val="232D30"/>
                <w:sz w:val="17"/>
              </w:rPr>
              <w:t>Kaynaklar, freshness, conflict, completeness ve confidence sınırları.</w:t>
            </w:r>
          </w:p>
        </w:tc>
      </w:tr>
      <w:tr>
        <w:tc>
          <w:tcPr>
            <w:tcW w:type="dxa" w:w="2880"/>
            <w:vAlign w:val="top"/>
          </w:tcPr>
          <w:p>
            <w:pPr>
              <w:spacing w:after="0"/>
            </w:pPr>
            <w:r>
              <w:rPr>
                <w:color w:val="232D30"/>
                <w:sz w:val="17"/>
              </w:rPr>
              <w:t>Dynamic Facts</w:t>
            </w:r>
          </w:p>
        </w:tc>
        <w:tc>
          <w:tcPr>
            <w:tcW w:type="dxa" w:w="6336"/>
            <w:vAlign w:val="top"/>
          </w:tcPr>
          <w:p>
            <w:pPr>
              <w:spacing w:after="0"/>
            </w:pPr>
            <w:r>
              <w:rPr>
                <w:color w:val="232D30"/>
                <w:sz w:val="17"/>
              </w:rPr>
              <w:t>Doğrulanmış şirkete özgü alanlar ve hangi yönetim kullanımına sahip oldukları.</w:t>
            </w:r>
          </w:p>
        </w:tc>
      </w:tr>
    </w:tbl>
    <w:p>
      <w:pPr>
        <w:spacing w:after="20"/>
      </w:pPr>
    </w:p>
    <w:p>
      <w:pPr>
        <w:pStyle w:val="Heading2"/>
      </w:pPr>
      <w:r>
        <w:t>11.3 Epistemik sınırlar</w:t>
      </w:r>
    </w:p>
    <w:p>
      <w:pPr>
        <w:pStyle w:val="ListBullet"/>
        <w:spacing w:after="60"/>
      </w:pPr>
      <w:r>
        <w:t>Canonical fact her zaman opinion/hypothesis karşısında önceliklidir.</w:t>
      </w:r>
    </w:p>
    <w:p>
      <w:pPr>
        <w:pStyle w:val="ListBullet"/>
        <w:spacing w:after="60"/>
      </w:pPr>
      <w:r>
        <w:t>Opinion, canonical veri yokken bile “gerçek” gibi projection alanını sahiplenemez; açık epistemic label taşır.</w:t>
      </w:r>
    </w:p>
    <w:p>
      <w:pPr>
        <w:pStyle w:val="ListBullet"/>
        <w:spacing w:after="60"/>
      </w:pPr>
      <w:r>
        <w:t>Türetilmiş metrik, kaynak kayıtlar ve hesaplama sürümüyle evidence olur.</w:t>
      </w:r>
    </w:p>
    <w:p>
      <w:pPr>
        <w:pStyle w:val="ListBullet"/>
        <w:spacing w:after="60"/>
      </w:pPr>
      <w:r>
        <w:t>Conversation Reality, Company Model’in veri kaynağı değildir; yalnız Candidate oluşturabilir.</w:t>
      </w:r>
    </w:p>
    <w:p>
      <w:pPr>
        <w:pStyle w:val="ListBullet"/>
        <w:spacing w:after="60"/>
      </w:pPr>
      <w:r>
        <w:t>AI response veya önceki Executive Assessment sonraki assessment’a kanıt olamaz.</w:t>
      </w:r>
    </w:p>
    <w:p>
      <w:pPr>
        <w:pStyle w:val="ListBullet"/>
        <w:spacing w:after="60"/>
      </w:pPr>
      <w:r>
        <w:t>Eksik ve çelişkili veri model içinde gizlenmez; data quality olarak görünür hâle gelir.</w:t>
      </w:r>
    </w:p>
    <w:p>
      <w:pPr>
        <w:pStyle w:val="Heading1"/>
      </w:pPr>
      <w:r>
        <w:t>12. Şirketim Kullanıcı Deneyimi ve Tasarım Sistemi</w:t>
      </w:r>
    </w:p>
    <w:p>
      <w:pPr>
        <w:pStyle w:val="Heading2"/>
      </w:pPr>
      <w:r>
        <w:t>12.1 Tasarım sürekliliği</w:t>
      </w:r>
    </w:p>
    <w:p>
      <w:r>
        <w:t>Şirketim, daha önce kesinleştirilmiş Müşteriler sayfası ve global METRIX tasarım diliyle aynı ürün ailesinin parçası olarak görünmelidir: koyu mat siyah/grafit zemin, premium cam katmanlar, geniş radius, sakin tipografi, turkuaz/mavi aktif durum, amber uyarı, yeşil olumlu, kırmızı kritik ve aynı Executive Dock.</w:t>
      </w:r>
    </w:p>
    <w:tbl>
      <w:tblPr>
        <w:tblW w:type="auto" w:w="0"/>
        <w:jc w:val="center"/>
        <w:tblLayout w:type="fixed"/>
        <w:tblLook w:firstColumn="1" w:firstRow="1" w:lastColumn="0" w:lastRow="0" w:noHBand="0" w:noVBand="1" w:val="04A0"/>
      </w:tblPr>
      <w:tblGrid>
        <w:gridCol w:w="202"/>
        <w:gridCol w:w="9144"/>
      </w:tblGrid>
      <w:tr>
        <w:tc>
          <w:tcPr>
            <w:tcW w:type="dxa" w:w="5083"/>
            <w:shd w:fill="1F8A8A"/>
            <w:tcBorders>
              <w:top w:val="nil"/>
              <w:left w:val="nil"/>
              <w:bottom w:val="nil"/>
              <w:right w:val="nil"/>
            </w:tcBorders>
            <w:vAlign w:val="center"/>
          </w:tcPr>
          <w:p/>
        </w:tc>
        <w:tc>
          <w:tcPr>
            <w:tcW w:type="dxa" w:w="5083"/>
            <w:shd w:fill="F1F7F7"/>
            <w:tcBorders>
              <w:top w:val="nil"/>
              <w:left w:val="nil"/>
              <w:bottom w:val="nil"/>
              <w:right w:val="nil"/>
            </w:tcBorders>
            <w:vAlign w:val="center"/>
          </w:tcPr>
          <w:p>
            <w:r>
              <w:rPr>
                <w:b/>
                <w:color w:val="142D30"/>
                <w:sz w:val="21"/>
              </w:rPr>
              <w:t>Tasarım hükmü</w:t>
            </w:r>
          </w:p>
          <w:p>
            <w:pPr>
              <w:pStyle w:val="BodyText"/>
              <w:spacing w:after="0"/>
            </w:pPr>
            <w:r>
              <w:t>Aynı tasarım dili korunur; Müşteriler sayfasının ekran yapısı kopyalanmaz. Şirketim liste değil, şirket düzeyi yönetim çalışma alanıdır.</w:t>
            </w:r>
          </w:p>
        </w:tc>
      </w:tr>
    </w:tbl>
    <w:p>
      <w:pPr>
        <w:spacing w:after="20"/>
      </w:pPr>
    </w:p>
    <w:p>
      <w:pPr>
        <w:pStyle w:val="Heading2"/>
      </w:pPr>
      <w:r>
        <w:t>12.2 Ana sayfa yapısı</w:t>
      </w:r>
    </w:p>
    <w:p>
      <w:pPr>
        <w:pStyle w:val="ListNumber"/>
        <w:spacing w:after="60"/>
      </w:pPr>
      <w:r>
        <w:t>Şirket kimliği başlığı: logo, isim, faaliyet özeti, profil durumu, son güncelleme ve bağlı kaynaklar.</w:t>
      </w:r>
    </w:p>
    <w:p>
      <w:pPr>
        <w:pStyle w:val="ListNumber"/>
        <w:spacing w:after="60"/>
      </w:pPr>
      <w:r>
        <w:t>Dört yönetim KPI kartı: profil/veri hazırlığı, aktif hedefler, açık yönetim konuları, bağlı veri kaynakları veya dönemin en değerli eşdeğerleri.</w:t>
      </w:r>
    </w:p>
    <w:p>
      <w:pPr>
        <w:pStyle w:val="ListNumber"/>
        <w:spacing w:after="60"/>
      </w:pPr>
      <w:r>
        <w:t>METRIX Yönetim Özeti: yalnız canonical evidence üzerine kurulu kısa şirket okuması.</w:t>
      </w:r>
    </w:p>
    <w:p>
      <w:pPr>
        <w:pStyle w:val="ListNumber"/>
        <w:spacing w:after="60"/>
      </w:pPr>
      <w:r>
        <w:t>Önemli değişiklikler, eksik/çelişkili bilgiler ve yaklaşan yükümlülükler.</w:t>
      </w:r>
    </w:p>
    <w:p>
      <w:pPr>
        <w:pStyle w:val="ListNumber"/>
        <w:spacing w:after="60"/>
      </w:pPr>
      <w:r>
        <w:t>Hedef-gerçekleşen, finansal görünüm, satış/tahsilat ve ekip performansının şirket düzeyi özetleri.</w:t>
      </w:r>
    </w:p>
    <w:p>
      <w:pPr>
        <w:pStyle w:val="ListNumber"/>
        <w:spacing w:after="60"/>
      </w:pPr>
      <w:r>
        <w:t>Sekmeler veya mobil accordion alanları: Genel Bakış, Kimlik &amp; İletişim, Adresler &amp; Birimler, Resmî Bilgiler, İş Modeli, Finansal Ayarlar, Hedefler, Entegrasyonlar, Sistem Bilgileri.</w:t>
      </w:r>
    </w:p>
    <w:p>
      <w:pPr>
        <w:pStyle w:val="ListNumber"/>
        <w:spacing w:after="60"/>
      </w:pPr>
      <w:r>
        <w:t>Ayrı ve güvenli düzenleme yüzeyi; günlük görünüm uzun bir forma dönüşmez.</w:t>
      </w:r>
    </w:p>
    <w:p>
      <w:pPr>
        <w:pStyle w:val="Heading2"/>
      </w:pPr>
      <w:r>
        <w:t>12.3 Mobil deneyim</w:t>
      </w:r>
    </w:p>
    <w:p>
      <w:pPr>
        <w:pStyle w:val="ListBullet"/>
        <w:spacing w:after="60"/>
      </w:pPr>
      <w:r>
        <w:t>Mobil ilk tasarım; bütün temel yönetim özeti tek elle okunabilir.</w:t>
      </w:r>
    </w:p>
    <w:p>
      <w:pPr>
        <w:pStyle w:val="ListBullet"/>
        <w:spacing w:after="60"/>
      </w:pPr>
      <w:r>
        <w:t>KPI kartları 2×2 veya bağlama göre yatay akışta sunulur.</w:t>
      </w:r>
    </w:p>
    <w:p>
      <w:pPr>
        <w:pStyle w:val="ListBullet"/>
        <w:spacing w:after="60"/>
      </w:pPr>
      <w:r>
        <w:t>Küçük, sıkışık yatay tab bar yerine büyük accordion/section navigasyonu kullanılabilir.</w:t>
      </w:r>
    </w:p>
    <w:p>
      <w:pPr>
        <w:pStyle w:val="ListBullet"/>
        <w:spacing w:after="60"/>
      </w:pPr>
      <w:r>
        <w:t>Düzenleme tam ekran akışta yapılır; kayıt ve doğrulama sonucu kısa gösterilir.</w:t>
      </w:r>
    </w:p>
    <w:p>
      <w:pPr>
        <w:pStyle w:val="ListBullet"/>
        <w:spacing w:after="60"/>
      </w:pPr>
      <w:r>
        <w:t>Voice Experience sayfadan kopmaz; kullanıcı Şirketim’i konuşarak okuyabilir ve güvenli biçimde güncelleyebilir.</w:t>
      </w:r>
    </w:p>
    <w:p>
      <w:pPr>
        <w:pStyle w:val="Heading2"/>
      </w:pPr>
      <w:r>
        <w:t>12.4 Gösterim ilkesi</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608"/>
            <w:shd w:fill="173F46"/>
          </w:tcPr>
          <w:p>
            <w:pPr>
              <w:jc w:val="left"/>
            </w:pPr>
            <w:r>
              <w:rPr>
                <w:b/>
                <w:color w:val="FFFFFF"/>
                <w:sz w:val="18"/>
              </w:rPr>
              <w:t>Sürekli göster</w:t>
            </w:r>
          </w:p>
        </w:tc>
        <w:tc>
          <w:tcPr>
            <w:tcW w:type="dxa" w:w="4608"/>
            <w:shd w:fill="173F46"/>
          </w:tcPr>
          <w:p>
            <w:pPr>
              <w:jc w:val="left"/>
            </w:pPr>
            <w:r>
              <w:rPr>
                <w:b/>
                <w:color w:val="FFFFFF"/>
                <w:sz w:val="18"/>
              </w:rPr>
              <w:t>İhtiyaç doğunca göster</w:t>
            </w:r>
          </w:p>
        </w:tc>
      </w:tr>
      <w:tr>
        <w:tc>
          <w:tcPr>
            <w:tcW w:type="dxa" w:w="4608"/>
            <w:vAlign w:val="top"/>
          </w:tcPr>
          <w:p>
            <w:pPr>
              <w:spacing w:after="0"/>
            </w:pPr>
            <w:r>
              <w:rPr>
                <w:color w:val="232D30"/>
                <w:sz w:val="17"/>
              </w:rPr>
              <w:t>Şirket yönü, kritik risk/fırsat, ana hedefler, finansal sağlık, veri eksikleri ve yaklaşan yükümlülükler.</w:t>
            </w:r>
          </w:p>
        </w:tc>
        <w:tc>
          <w:tcPr>
            <w:tcW w:type="dxa" w:w="4608"/>
            <w:vAlign w:val="top"/>
          </w:tcPr>
          <w:p>
            <w:pPr>
              <w:spacing w:after="0"/>
            </w:pPr>
            <w:r>
              <w:rPr>
                <w:color w:val="232D30"/>
                <w:sz w:val="17"/>
              </w:rPr>
              <w:t>Ayrıntılı kayıt tabloları, bütün KPI’lar, temsilci satırları, mizan/fişler, geçmiş raporların tamamı ve özel analizler.</w:t>
            </w:r>
          </w:p>
        </w:tc>
      </w:tr>
    </w:tbl>
    <w:p>
      <w:pPr>
        <w:spacing w:after="20"/>
      </w:pPr>
    </w:p>
    <w:p>
      <w:pPr>
        <w:pStyle w:val="Heading1"/>
      </w:pPr>
      <w:r>
        <w:t>13. Güvenlik, Yetki, Audit ve Veri Kalitesi</w:t>
      </w:r>
    </w:p>
    <w:p>
      <w:pPr>
        <w:pStyle w:val="ListBullet"/>
        <w:spacing w:after="60"/>
      </w:pPr>
      <w:r>
        <w:t>Bütün okuma/yazma işlemleri organization scope içinde server-authoritative kimlik kullanır; client organizationId otorite değildir.</w:t>
      </w:r>
    </w:p>
    <w:p>
      <w:pPr>
        <w:pStyle w:val="ListBullet"/>
        <w:spacing w:after="60"/>
      </w:pPr>
      <w:r>
        <w:t>Resmî, finansal, hassas veya yüksek etkili alanlarda risk seviyesi ve approval policy uygulanır.</w:t>
      </w:r>
    </w:p>
    <w:p>
      <w:pPr>
        <w:pStyle w:val="ListBullet"/>
        <w:spacing w:after="60"/>
      </w:pPr>
      <w:r>
        <w:t>Her değişiklik actor, kaynak, önceki/yeni değer, zaman, correlation/idempotency ve promotion receipt taşır.</w:t>
      </w:r>
    </w:p>
    <w:p>
      <w:pPr>
        <w:pStyle w:val="ListBullet"/>
        <w:spacing w:after="60"/>
      </w:pPr>
      <w:r>
        <w:t>Dinamik alanlar permission ve sensitivity sözleşmesi olmadan aktif edilemez.</w:t>
      </w:r>
    </w:p>
    <w:p>
      <w:pPr>
        <w:pStyle w:val="ListBullet"/>
        <w:spacing w:after="60"/>
      </w:pPr>
      <w:r>
        <w:t>Entegrasyon sağlık durumu, son başarılı sync ve hata/yeniden bağlanma durumu kullanıcıya görünürdür.</w:t>
      </w:r>
    </w:p>
    <w:p>
      <w:pPr>
        <w:pStyle w:val="ListBullet"/>
        <w:spacing w:after="60"/>
      </w:pPr>
      <w:r>
        <w:t>Veri eksikliği ve conflict, Executive yorumun güven düzeyini sınırlar; sistem kesinlik uydurmaz.</w:t>
      </w:r>
    </w:p>
    <w:p>
      <w:pPr>
        <w:pStyle w:val="ListBullet"/>
        <w:spacing w:after="60"/>
      </w:pPr>
      <w:r>
        <w:t>Silme yerine tarihçe ve geçerlilik aralıkları tercih edilir; geçmiş rapor ve kararların anlamı korunur.</w:t>
      </w:r>
    </w:p>
    <w:p>
      <w:pPr>
        <w:pStyle w:val="ListBullet"/>
        <w:spacing w:after="60"/>
      </w:pPr>
      <w:r>
        <w:t>Multi-organization erişim ve tenant izolasyonu bütün API, service ve repository katmanlarında test edilir.</w:t>
      </w:r>
    </w:p>
    <w:p>
      <w:pPr>
        <w:pStyle w:val="Heading1"/>
      </w:pPr>
      <w:r>
        <w:t>14. İlk Production Teslim Kapsamı</w:t>
      </w:r>
    </w:p>
    <w:p>
      <w:r>
        <w:t>İlk teslim bütün gelecek modülleri tamamlamayacaktır. Ancak sonraki domainlerin yeniden yazım gerektirmeden bağlanabileceği kalıcı foundation’ı production’a koymalıdır.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680"/>
            <w:shd w:fill="173F46"/>
          </w:tcPr>
          <w:p>
            <w:pPr>
              <w:jc w:val="left"/>
            </w:pPr>
            <w:r>
              <w:rPr>
                <w:b/>
                <w:color w:val="FFFFFF"/>
                <w:sz w:val="18"/>
              </w:rPr>
              <w:t>İlk teslimde zorunlu</w:t>
            </w:r>
          </w:p>
        </w:tc>
        <w:tc>
          <w:tcPr>
            <w:tcW w:type="dxa" w:w="4536"/>
            <w:shd w:fill="173F46"/>
          </w:tcPr>
          <w:p>
            <w:pPr>
              <w:jc w:val="left"/>
            </w:pPr>
            <w:r>
              <w:rPr>
                <w:b/>
                <w:color w:val="FFFFFF"/>
                <w:sz w:val="18"/>
              </w:rPr>
              <w:t>Sonraki genişleme</w:t>
            </w:r>
          </w:p>
        </w:tc>
      </w:tr>
      <w:tr>
        <w:tc>
          <w:tcPr>
            <w:tcW w:type="dxa" w:w="4680"/>
            <w:vAlign w:val="top"/>
          </w:tcPr>
          <w:p>
            <w:pPr>
              <w:spacing w:after="0"/>
            </w:pPr>
            <w:r>
              <w:rPr>
                <w:color w:val="232D30"/>
                <w:sz w:val="17"/>
              </w:rPr>
              <w:t>Gerçek Company API/service/repository sınırı ve eski demo state’ten ayrılma.</w:t>
            </w:r>
          </w:p>
        </w:tc>
        <w:tc>
          <w:tcPr>
            <w:tcW w:type="dxa" w:w="4536"/>
            <w:vAlign w:val="top"/>
          </w:tcPr>
          <w:p>
            <w:pPr>
              <w:spacing w:after="0"/>
            </w:pPr>
            <w:r>
              <w:rPr>
                <w:color w:val="232D30"/>
                <w:sz w:val="17"/>
              </w:rPr>
              <w:t>Çoklu legal entity ve ileri birim yönetimi.</w:t>
            </w:r>
          </w:p>
        </w:tc>
      </w:tr>
      <w:tr>
        <w:tc>
          <w:tcPr>
            <w:tcW w:type="dxa" w:w="4680"/>
            <w:shd w:fill="F5F8F8"/>
            <w:vAlign w:val="top"/>
          </w:tcPr>
          <w:p>
            <w:pPr>
              <w:spacing w:after="0"/>
            </w:pPr>
            <w:r>
              <w:rPr>
                <w:color w:val="232D30"/>
                <w:sz w:val="17"/>
              </w:rPr>
              <w:t>Canonical şirket kimliği, resmî bilgiler, adres/birim, iş modeli ve ticari politikalar.</w:t>
            </w:r>
          </w:p>
        </w:tc>
        <w:tc>
          <w:tcPr>
            <w:tcW w:type="dxa" w:w="4536"/>
            <w:shd w:fill="F5F8F8"/>
            <w:vAlign w:val="top"/>
          </w:tcPr>
          <w:p>
            <w:pPr>
              <w:spacing w:after="0"/>
            </w:pPr>
            <w:r>
              <w:rPr>
                <w:color w:val="232D30"/>
                <w:sz w:val="17"/>
              </w:rPr>
              <w:t>Tam Varlıklar, Muhasebe ve Stok domainleri.</w:t>
            </w:r>
          </w:p>
        </w:tc>
      </w:tr>
      <w:tr>
        <w:tc>
          <w:tcPr>
            <w:tcW w:type="dxa" w:w="4680"/>
            <w:vAlign w:val="top"/>
          </w:tcPr>
          <w:p>
            <w:pPr>
              <w:spacing w:after="0"/>
            </w:pPr>
            <w:r>
              <w:rPr>
                <w:color w:val="232D30"/>
                <w:sz w:val="17"/>
              </w:rPr>
              <w:t>Company built-in field registry ve domain-genel custom field foundation’a bağlanma.</w:t>
            </w:r>
          </w:p>
        </w:tc>
        <w:tc>
          <w:tcPr>
            <w:tcW w:type="dxa" w:w="4536"/>
            <w:vAlign w:val="top"/>
          </w:tcPr>
          <w:p>
            <w:pPr>
              <w:spacing w:after="0"/>
            </w:pPr>
            <w:r>
              <w:rPr>
                <w:color w:val="232D30"/>
                <w:sz w:val="17"/>
              </w:rPr>
              <w:t>Sektörel hazır alan paketleri.</w:t>
            </w:r>
          </w:p>
        </w:tc>
      </w:tr>
      <w:tr>
        <w:tc>
          <w:tcPr>
            <w:tcW w:type="dxa" w:w="4680"/>
            <w:shd w:fill="F5F8F8"/>
            <w:vAlign w:val="top"/>
          </w:tcPr>
          <w:p>
            <w:pPr>
              <w:spacing w:after="0"/>
            </w:pPr>
            <w:r>
              <w:rPr>
                <w:color w:val="232D30"/>
                <w:sz w:val="17"/>
              </w:rPr>
              <w:t>Business Candidate, conflict, approval ve provenance ile yazma akışı.</w:t>
            </w:r>
          </w:p>
        </w:tc>
        <w:tc>
          <w:tcPr>
            <w:tcW w:type="dxa" w:w="4536"/>
            <w:shd w:fill="F5F8F8"/>
            <w:vAlign w:val="top"/>
          </w:tcPr>
          <w:p>
            <w:pPr>
              <w:spacing w:after="0"/>
            </w:pPr>
            <w:r>
              <w:rPr>
                <w:color w:val="232D30"/>
                <w:sz w:val="17"/>
              </w:rPr>
              <w:t>Gelişmiş otomatik source trust politikaları.</w:t>
            </w:r>
          </w:p>
        </w:tc>
      </w:tr>
      <w:tr>
        <w:tc>
          <w:tcPr>
            <w:tcW w:type="dxa" w:w="4680"/>
            <w:vAlign w:val="top"/>
          </w:tcPr>
          <w:p>
            <w:pPr>
              <w:spacing w:after="0"/>
            </w:pPr>
            <w:r>
              <w:rPr>
                <w:color w:val="232D30"/>
                <w:sz w:val="17"/>
              </w:rPr>
              <w:t>Company Model 2.0’ın ilk projection sözleşmesi ve Executive context’e bağlanması.</w:t>
            </w:r>
          </w:p>
        </w:tc>
        <w:tc>
          <w:tcPr>
            <w:tcW w:type="dxa" w:w="4536"/>
            <w:vAlign w:val="top"/>
          </w:tcPr>
          <w:p>
            <w:pPr>
              <w:spacing w:after="0"/>
            </w:pPr>
            <w:r>
              <w:rPr>
                <w:color w:val="232D30"/>
                <w:sz w:val="17"/>
              </w:rPr>
              <w:t>Gelişmiş finansal projection ve senaryo motoru.</w:t>
            </w:r>
          </w:p>
        </w:tc>
      </w:tr>
      <w:tr>
        <w:tc>
          <w:tcPr>
            <w:tcW w:type="dxa" w:w="4680"/>
            <w:shd w:fill="F5F8F8"/>
            <w:vAlign w:val="top"/>
          </w:tcPr>
          <w:p>
            <w:pPr>
              <w:spacing w:after="0"/>
            </w:pPr>
            <w:r>
              <w:rPr>
                <w:color w:val="232D30"/>
                <w:sz w:val="17"/>
              </w:rPr>
              <w:t>Şirketim premium, mobil-first, Müşteriler ile aynı design system üzerinde gerçek veriyle çalışan sayfa.</w:t>
            </w:r>
          </w:p>
        </w:tc>
        <w:tc>
          <w:tcPr>
            <w:tcW w:type="dxa" w:w="4536"/>
            <w:shd w:fill="F5F8F8"/>
            <w:vAlign w:val="top"/>
          </w:tcPr>
          <w:p>
            <w:pPr>
              <w:spacing w:after="0"/>
            </w:pPr>
            <w:r>
              <w:rPr>
                <w:color w:val="232D30"/>
                <w:sz w:val="17"/>
              </w:rPr>
              <w:t>Tam haftalık raporlama ve adaptif KPI katalogları.</w:t>
            </w:r>
          </w:p>
        </w:tc>
      </w:tr>
      <w:tr>
        <w:tc>
          <w:tcPr>
            <w:tcW w:type="dxa" w:w="4680"/>
            <w:vAlign w:val="top"/>
          </w:tcPr>
          <w:p>
            <w:pPr>
              <w:spacing w:after="0"/>
            </w:pPr>
            <w:r>
              <w:rPr>
                <w:color w:val="232D30"/>
                <w:sz w:val="17"/>
              </w:rPr>
              <w:t>Entegrasyon-ready source model ve bağlantı görünümü.</w:t>
            </w:r>
          </w:p>
        </w:tc>
        <w:tc>
          <w:tcPr>
            <w:tcW w:type="dxa" w:w="4536"/>
            <w:vAlign w:val="top"/>
          </w:tcPr>
          <w:p>
            <w:pPr>
              <w:spacing w:after="0"/>
            </w:pPr>
            <w:r>
              <w:rPr>
                <w:color w:val="232D30"/>
                <w:sz w:val="17"/>
              </w:rPr>
              <w:t>Muhasebe/ERP/CRM sağlayıcı adapter’ları.</w:t>
            </w:r>
          </w:p>
        </w:tc>
      </w:tr>
      <w:tr>
        <w:tc>
          <w:tcPr>
            <w:tcW w:type="dxa" w:w="4680"/>
            <w:shd w:fill="F5F8F8"/>
            <w:vAlign w:val="top"/>
          </w:tcPr>
          <w:p>
            <w:pPr>
              <w:spacing w:after="0"/>
            </w:pPr>
            <w:r>
              <w:rPr>
                <w:color w:val="232D30"/>
                <w:sz w:val="17"/>
              </w:rPr>
              <w:t>Test, migration, audit, tenant isolation ve production acceptance.</w:t>
            </w:r>
          </w:p>
        </w:tc>
        <w:tc>
          <w:tcPr>
            <w:tcW w:type="dxa" w:w="4536"/>
            <w:shd w:fill="F5F8F8"/>
            <w:vAlign w:val="top"/>
          </w:tcPr>
          <w:p>
            <w:pPr>
              <w:spacing w:after="0"/>
            </w:pPr>
            <w:r>
              <w:rPr>
                <w:color w:val="232D30"/>
                <w:sz w:val="17"/>
              </w:rPr>
              <w:t>Geniş sektör ve ölçek paketleri.</w:t>
            </w:r>
          </w:p>
        </w:tc>
      </w:tr>
    </w:tbl>
    <w:p>
      <w:pPr>
        <w:spacing w:after="20"/>
      </w:pPr>
    </w:p>
    <w:p>
      <w:pPr>
        <w:pStyle w:val="Heading2"/>
      </w:pPr>
      <w:r>
        <w:t>14.1 İlk teslimde özellikle yapılmayacaklar</w:t>
      </w:r>
    </w:p>
    <w:p>
      <w:pPr>
        <w:pStyle w:val="ListBullet"/>
        <w:spacing w:after="60"/>
      </w:pPr>
      <w:r>
        <w:t>Executive Brain’in yeniden yazılması veya yeni bir “Company Intelligence Engine” kurulması.</w:t>
      </w:r>
    </w:p>
    <w:p>
      <w:pPr>
        <w:pStyle w:val="ListBullet"/>
        <w:spacing w:after="60"/>
      </w:pPr>
      <w:r>
        <w:t>Bütün muhasebe hesaplarının Company tablosunda tutulması.</w:t>
      </w:r>
    </w:p>
    <w:p>
      <w:pPr>
        <w:pStyle w:val="ListBullet"/>
        <w:spacing w:after="60"/>
      </w:pPr>
      <w:r>
        <w:t>Tek bir JSON içine bütün şirket gerçekliğinin doldurulması.</w:t>
      </w:r>
    </w:p>
    <w:p>
      <w:pPr>
        <w:pStyle w:val="ListBullet"/>
        <w:spacing w:after="60"/>
      </w:pPr>
      <w:r>
        <w:t>Müşteri custom field kodunun kopyalanarak Company’ye yapıştırılması.</w:t>
      </w:r>
    </w:p>
    <w:p>
      <w:pPr>
        <w:pStyle w:val="ListBullet"/>
        <w:spacing w:after="60"/>
      </w:pPr>
      <w:r>
        <w:t>Bütün ERP/CRM/muhasebe entegrasyonlarının aynı anda tamamlanması.</w:t>
      </w:r>
    </w:p>
    <w:p>
      <w:pPr>
        <w:pStyle w:val="ListBullet"/>
        <w:spacing w:after="60"/>
      </w:pPr>
      <w:r>
        <w:t>Eski MetrixWorkspace local state’inin geçici olarak “gerçek veri” gibi korunması.</w:t>
      </w:r>
    </w:p>
    <w:p>
      <w:pPr>
        <w:pStyle w:val="ListBullet"/>
        <w:spacing w:after="60"/>
      </w:pPr>
      <w:r>
        <w:t>Kullanıcıya onlarca zorunlu alan doldurtan onboarding veya uzun tek sayfa form.</w:t>
      </w:r>
    </w:p>
    <w:p>
      <w:pPr>
        <w:pStyle w:val="Heading1"/>
      </w:pPr>
      <w:r>
        <w:t>15. Geliştirme Sırası ve Mimari Geçiş</w:t>
      </w:r>
    </w:p>
    <w:p>
      <w:pPr>
        <w:pStyle w:val="ListNumber"/>
        <w:spacing w:after="60"/>
      </w:pPr>
      <w:r>
        <w:t>Mevcut Company/Profile/Workspace, Organization, CompanyModel, Candidate ve field registry çağrı zincirleri hedefli Claude analiziyle kesinleştirilir.</w:t>
      </w:r>
    </w:p>
    <w:p>
      <w:pPr>
        <w:pStyle w:val="ListNumber"/>
        <w:spacing w:after="60"/>
      </w:pPr>
      <w:r>
        <w:t>Domain contracts: CompanyProfile, Address/Unit, Field Definition, Candidate target mapping, projection ve API sınırları hazırlanır.</w:t>
      </w:r>
    </w:p>
    <w:p>
      <w:pPr>
        <w:pStyle w:val="ListNumber"/>
        <w:spacing w:after="60"/>
      </w:pPr>
      <w:r>
        <w:t>Mevcut demo CompanyProfile ve localStorage/Workspace state’in gerçek production akışındaki rolü kanıtlanır; migration/retirement planı çıkarılır.</w:t>
      </w:r>
    </w:p>
    <w:p>
      <w:pPr>
        <w:pStyle w:val="ListNumber"/>
        <w:spacing w:after="60"/>
      </w:pPr>
      <w:r>
        <w:t>Prisma ve migration planı; mevcut Organization verisini kaybetmeden additive ve geri dönüş güvenli biçimde tasarlanır.</w:t>
      </w:r>
    </w:p>
    <w:p>
      <w:pPr>
        <w:pStyle w:val="ListNumber"/>
        <w:spacing w:after="60"/>
      </w:pPr>
      <w:r>
        <w:t>Canonical Company write/read servisleri ve field/candidate adapter’ları uygulanır.</w:t>
      </w:r>
    </w:p>
    <w:p>
      <w:pPr>
        <w:pStyle w:val="ListNumber"/>
        <w:spacing w:after="60"/>
      </w:pPr>
      <w:r>
        <w:t>Company Model 2.0 projection, mevcut Executive context assembly’ye tek authority olarak bağlanır.</w:t>
      </w:r>
    </w:p>
    <w:p>
      <w:pPr>
        <w:pStyle w:val="ListNumber"/>
        <w:spacing w:after="60"/>
      </w:pPr>
      <w:r>
        <w:t>Şirketim sayfası gerçek API üzerine, mevcut design system ve mobil kabul kriterleriyle kurulur.</w:t>
      </w:r>
    </w:p>
    <w:p>
      <w:pPr>
        <w:pStyle w:val="ListNumber"/>
        <w:spacing w:after="60"/>
      </w:pPr>
      <w:r>
        <w:t>Voice/text action execution aynı Company command surface’i kullanır.</w:t>
      </w:r>
    </w:p>
    <w:p>
      <w:pPr>
        <w:pStyle w:val="ListNumber"/>
        <w:spacing w:after="60"/>
      </w:pPr>
      <w:r>
        <w:t>Test, tenant güvenliği, provenance, migration, production acceptance ve rollback doğrulanır.</w:t>
      </w:r>
    </w:p>
    <w:p>
      <w:pPr>
        <w:pStyle w:val="ListNumber"/>
        <w:spacing w:after="60"/>
      </w:pPr>
      <w:r>
        <w:t>Codex commit, push ve yalnız production deployment yapar; preview deployment yapılmaz.</w:t>
      </w:r>
    </w:p>
    <w:p>
      <w:pPr>
        <w:pStyle w:val="Heading1"/>
      </w:pPr>
      <w:r>
        <w:t>16. Production Kabul Kriterleri</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173F46"/>
          </w:tcPr>
          <w:p>
            <w:pPr>
              <w:jc w:val="left"/>
            </w:pPr>
            <w:r>
              <w:rPr>
                <w:b/>
                <w:color w:val="FFFFFF"/>
                <w:sz w:val="18"/>
              </w:rPr>
              <w:t>Alan</w:t>
            </w:r>
          </w:p>
        </w:tc>
        <w:tc>
          <w:tcPr>
            <w:tcW w:type="dxa" w:w="7128"/>
            <w:shd w:fill="173F46"/>
          </w:tcPr>
          <w:p>
            <w:pPr>
              <w:jc w:val="left"/>
            </w:pPr>
            <w:r>
              <w:rPr>
                <w:b/>
                <w:color w:val="FFFFFF"/>
                <w:sz w:val="18"/>
              </w:rPr>
              <w:t>Kabul hükmü</w:t>
            </w:r>
          </w:p>
        </w:tc>
      </w:tr>
      <w:tr>
        <w:tc>
          <w:tcPr>
            <w:tcW w:type="dxa" w:w="2088"/>
            <w:vAlign w:val="top"/>
          </w:tcPr>
          <w:p>
            <w:pPr>
              <w:spacing w:after="0"/>
            </w:pPr>
            <w:r>
              <w:rPr>
                <w:color w:val="232D30"/>
                <w:sz w:val="17"/>
              </w:rPr>
              <w:t>Canonical truth</w:t>
            </w:r>
          </w:p>
        </w:tc>
        <w:tc>
          <w:tcPr>
            <w:tcW w:type="dxa" w:w="7128"/>
            <w:vAlign w:val="top"/>
          </w:tcPr>
          <w:p>
            <w:pPr>
              <w:spacing w:after="0"/>
            </w:pPr>
            <w:r>
              <w:rPr>
                <w:color w:val="232D30"/>
                <w:sz w:val="17"/>
              </w:rPr>
              <w:t>Şirketim’de gösterilen her gerçek alanın tek canonical sahibi ve source/provenance yolu vardır.</w:t>
            </w:r>
          </w:p>
        </w:tc>
      </w:tr>
      <w:tr>
        <w:tc>
          <w:tcPr>
            <w:tcW w:type="dxa" w:w="2088"/>
            <w:shd w:fill="F5F8F8"/>
            <w:vAlign w:val="top"/>
          </w:tcPr>
          <w:p>
            <w:pPr>
              <w:spacing w:after="0"/>
            </w:pPr>
            <w:r>
              <w:rPr>
                <w:color w:val="232D30"/>
                <w:sz w:val="17"/>
              </w:rPr>
              <w:t>Executive Brain</w:t>
            </w:r>
          </w:p>
        </w:tc>
        <w:tc>
          <w:tcPr>
            <w:tcW w:type="dxa" w:w="7128"/>
            <w:shd w:fill="F5F8F8"/>
            <w:vAlign w:val="top"/>
          </w:tcPr>
          <w:p>
            <w:pPr>
              <w:spacing w:after="0"/>
            </w:pPr>
            <w:r>
              <w:rPr>
                <w:color w:val="232D30"/>
                <w:sz w:val="17"/>
              </w:rPr>
              <w:t>Yeni Company verileri mevcut tek Executive context ve Company Model projection üzerinden okunur; ikinci reasoning yolu yoktur.</w:t>
            </w:r>
          </w:p>
        </w:tc>
      </w:tr>
      <w:tr>
        <w:tc>
          <w:tcPr>
            <w:tcW w:type="dxa" w:w="2088"/>
            <w:vAlign w:val="top"/>
          </w:tcPr>
          <w:p>
            <w:pPr>
              <w:spacing w:after="0"/>
            </w:pPr>
            <w:r>
              <w:rPr>
                <w:color w:val="232D30"/>
                <w:sz w:val="17"/>
              </w:rPr>
              <w:t>Dynamic fields</w:t>
            </w:r>
          </w:p>
        </w:tc>
        <w:tc>
          <w:tcPr>
            <w:tcW w:type="dxa" w:w="7128"/>
            <w:vAlign w:val="top"/>
          </w:tcPr>
          <w:p>
            <w:pPr>
              <w:spacing w:after="0"/>
            </w:pPr>
            <w:r>
              <w:rPr>
                <w:color w:val="232D30"/>
                <w:sz w:val="17"/>
              </w:rPr>
              <w:t>METRIX/kullanıcı yeni alan oluşturabilir; alan domain, type, permission, validation, lifecycle ve yönetim kullanım sözleşmesi taşır.</w:t>
            </w:r>
          </w:p>
        </w:tc>
      </w:tr>
      <w:tr>
        <w:tc>
          <w:tcPr>
            <w:tcW w:type="dxa" w:w="2088"/>
            <w:shd w:fill="F5F8F8"/>
            <w:vAlign w:val="top"/>
          </w:tcPr>
          <w:p>
            <w:pPr>
              <w:spacing w:after="0"/>
            </w:pPr>
            <w:r>
              <w:rPr>
                <w:color w:val="232D30"/>
                <w:sz w:val="17"/>
              </w:rPr>
              <w:t>Candidate</w:t>
            </w:r>
          </w:p>
        </w:tc>
        <w:tc>
          <w:tcPr>
            <w:tcW w:type="dxa" w:w="7128"/>
            <w:shd w:fill="F5F8F8"/>
            <w:vAlign w:val="top"/>
          </w:tcPr>
          <w:p>
            <w:pPr>
              <w:spacing w:after="0"/>
            </w:pPr>
            <w:r>
              <w:rPr>
                <w:color w:val="232D30"/>
                <w:sz w:val="17"/>
              </w:rPr>
              <w:t>Conversation, OCR ve entegrasyon verisi doğrulama/approval olmadan riskli canonical değeri değiştiremez.</w:t>
            </w:r>
          </w:p>
        </w:tc>
      </w:tr>
      <w:tr>
        <w:tc>
          <w:tcPr>
            <w:tcW w:type="dxa" w:w="2088"/>
            <w:vAlign w:val="top"/>
          </w:tcPr>
          <w:p>
            <w:pPr>
              <w:spacing w:after="0"/>
            </w:pPr>
            <w:r>
              <w:rPr>
                <w:color w:val="232D30"/>
                <w:sz w:val="17"/>
              </w:rPr>
              <w:t>Financial</w:t>
            </w:r>
          </w:p>
        </w:tc>
        <w:tc>
          <w:tcPr>
            <w:tcW w:type="dxa" w:w="7128"/>
            <w:vAlign w:val="top"/>
          </w:tcPr>
          <w:p>
            <w:pPr>
              <w:spacing w:after="0"/>
            </w:pPr>
            <w:r>
              <w:rPr>
                <w:color w:val="232D30"/>
                <w:sz w:val="17"/>
              </w:rPr>
              <w:t>Kâr-zarar ve KPI değerleri deterministik, versiyonlu ve kaynaklanabilir hesaplamadır; resmî/tahmin/senaryo ayrımı görünürdür.</w:t>
            </w:r>
          </w:p>
        </w:tc>
      </w:tr>
      <w:tr>
        <w:tc>
          <w:tcPr>
            <w:tcW w:type="dxa" w:w="2088"/>
            <w:shd w:fill="F5F8F8"/>
            <w:vAlign w:val="top"/>
          </w:tcPr>
          <w:p>
            <w:pPr>
              <w:spacing w:after="0"/>
            </w:pPr>
            <w:r>
              <w:rPr>
                <w:color w:val="232D30"/>
                <w:sz w:val="17"/>
              </w:rPr>
              <w:t>UI</w:t>
            </w:r>
          </w:p>
        </w:tc>
        <w:tc>
          <w:tcPr>
            <w:tcW w:type="dxa" w:w="7128"/>
            <w:shd w:fill="F5F8F8"/>
            <w:vAlign w:val="top"/>
          </w:tcPr>
          <w:p>
            <w:pPr>
              <w:spacing w:after="0"/>
            </w:pPr>
            <w:r>
              <w:rPr>
                <w:color w:val="232D30"/>
                <w:sz w:val="17"/>
              </w:rPr>
              <w:t>Müşteriler ile aynı design system, premium mobil deneyim, sade yönetim görünümü ve ayrı edit akışı vardır.</w:t>
            </w:r>
          </w:p>
        </w:tc>
      </w:tr>
      <w:tr>
        <w:tc>
          <w:tcPr>
            <w:tcW w:type="dxa" w:w="2088"/>
            <w:vAlign w:val="top"/>
          </w:tcPr>
          <w:p>
            <w:pPr>
              <w:spacing w:after="0"/>
            </w:pPr>
            <w:r>
              <w:rPr>
                <w:color w:val="232D30"/>
                <w:sz w:val="17"/>
              </w:rPr>
              <w:t>Legacy</w:t>
            </w:r>
          </w:p>
        </w:tc>
        <w:tc>
          <w:tcPr>
            <w:tcW w:type="dxa" w:w="7128"/>
            <w:vAlign w:val="top"/>
          </w:tcPr>
          <w:p>
            <w:pPr>
              <w:spacing w:after="0"/>
            </w:pPr>
            <w:r>
              <w:rPr>
                <w:color w:val="232D30"/>
                <w:sz w:val="17"/>
              </w:rPr>
              <w:t>MetrixWorkspace/demo CompanyProfile canonical authority değildir; production sayfa local/mock state’e düşmez.</w:t>
            </w:r>
          </w:p>
        </w:tc>
      </w:tr>
      <w:tr>
        <w:tc>
          <w:tcPr>
            <w:tcW w:type="dxa" w:w="2088"/>
            <w:shd w:fill="F5F8F8"/>
            <w:vAlign w:val="top"/>
          </w:tcPr>
          <w:p>
            <w:pPr>
              <w:spacing w:after="0"/>
            </w:pPr>
            <w:r>
              <w:rPr>
                <w:color w:val="232D30"/>
                <w:sz w:val="17"/>
              </w:rPr>
              <w:t>Security</w:t>
            </w:r>
          </w:p>
        </w:tc>
        <w:tc>
          <w:tcPr>
            <w:tcW w:type="dxa" w:w="7128"/>
            <w:shd w:fill="F5F8F8"/>
            <w:vAlign w:val="top"/>
          </w:tcPr>
          <w:p>
            <w:pPr>
              <w:spacing w:after="0"/>
            </w:pPr>
            <w:r>
              <w:rPr>
                <w:color w:val="232D30"/>
                <w:sz w:val="17"/>
              </w:rPr>
              <w:t>Cross-tenant erişim, client-supplied organization override ve yetkisiz yüksek riskli mutation testlerle engellenir.</w:t>
            </w:r>
          </w:p>
        </w:tc>
      </w:tr>
      <w:tr>
        <w:tc>
          <w:tcPr>
            <w:tcW w:type="dxa" w:w="2088"/>
            <w:vAlign w:val="top"/>
          </w:tcPr>
          <w:p>
            <w:pPr>
              <w:spacing w:after="0"/>
            </w:pPr>
            <w:r>
              <w:rPr>
                <w:color w:val="232D30"/>
                <w:sz w:val="17"/>
              </w:rPr>
              <w:t>Audit</w:t>
            </w:r>
          </w:p>
        </w:tc>
        <w:tc>
          <w:tcPr>
            <w:tcW w:type="dxa" w:w="7128"/>
            <w:vAlign w:val="top"/>
          </w:tcPr>
          <w:p>
            <w:pPr>
              <w:spacing w:after="0"/>
            </w:pPr>
            <w:r>
              <w:rPr>
                <w:color w:val="232D30"/>
                <w:sz w:val="17"/>
              </w:rPr>
              <w:t>Önemli değişiklikler önceki değer, actor, source, approval ve receipt ile izlenebilir.</w:t>
            </w:r>
          </w:p>
        </w:tc>
      </w:tr>
      <w:tr>
        <w:tc>
          <w:tcPr>
            <w:tcW w:type="dxa" w:w="2088"/>
            <w:shd w:fill="F5F8F8"/>
            <w:vAlign w:val="top"/>
          </w:tcPr>
          <w:p>
            <w:pPr>
              <w:spacing w:after="0"/>
            </w:pPr>
            <w:r>
              <w:rPr>
                <w:color w:val="232D30"/>
                <w:sz w:val="17"/>
              </w:rPr>
              <w:t>Deployment</w:t>
            </w:r>
          </w:p>
        </w:tc>
        <w:tc>
          <w:tcPr>
            <w:tcW w:type="dxa" w:w="7128"/>
            <w:shd w:fill="F5F8F8"/>
            <w:vAlign w:val="top"/>
          </w:tcPr>
          <w:p>
            <w:pPr>
              <w:spacing w:after="0"/>
            </w:pPr>
            <w:r>
              <w:rPr>
                <w:color w:val="232D30"/>
                <w:sz w:val="17"/>
              </w:rPr>
              <w:t>Testler, migration ve production acceptance tamamlanır; origin/main ile HEAD eşit ve Vercel Production READY olur.</w:t>
            </w:r>
          </w:p>
        </w:tc>
      </w:tr>
    </w:tbl>
    <w:p>
      <w:pPr>
        <w:spacing w:after="20"/>
      </w:pPr>
    </w:p>
    <w:p>
      <w:pPr>
        <w:pStyle w:val="Heading2"/>
      </w:pPr>
      <w:r>
        <w:t>16.1 Kurucu Mimari Kontrolü</w:t>
      </w:r>
    </w:p>
    <w:p>
      <w:pPr>
        <w:pStyle w:val="ListNumber"/>
        <w:spacing w:after="60"/>
      </w:pPr>
      <w:r>
        <w:t>METRIX Anayasaları ve Executive Business Reality sınırlarıyla tamamen uyumlu mu?</w:t>
      </w:r>
    </w:p>
    <w:p>
      <w:pPr>
        <w:pStyle w:val="ListNumber"/>
        <w:spacing w:after="60"/>
      </w:pPr>
      <w:r>
        <w:t>Aynı Company foundation gelecekte Muhasebe, Varlıklar, Ekip, Raporlama ve entegrasyonlara genişleyebilir mi?</w:t>
      </w:r>
    </w:p>
    <w:p>
      <w:pPr>
        <w:pStyle w:val="ListNumber"/>
        <w:spacing w:after="60"/>
      </w:pPr>
      <w:r>
        <w:t>Çözüm sonradan sökülecek geçici yama değil, kurucu mimarinin kalıcı parçası mı?</w:t>
      </w:r>
    </w:p>
    <w:p>
      <w:pPr>
        <w:pStyle w:val="ListNumber"/>
        <w:spacing w:after="60"/>
      </w:pPr>
      <w:r>
        <w:t>Tek canonical owner ve tek Executive authority korunuyor mu?</w:t>
      </w:r>
    </w:p>
    <w:p>
      <w:pPr>
        <w:pStyle w:val="ListNumber"/>
        <w:spacing w:after="60"/>
      </w:pPr>
      <w:r>
        <w:t>Kullanıcının gördüğü değer teknik karmaşıklıktan daha güçlü ve daha sade mi?</w:t>
      </w:r>
    </w:p>
    <w:tbl>
      <w:tblPr>
        <w:tblW w:type="auto" w:w="0"/>
        <w:jc w:val="center"/>
        <w:tblLayout w:type="fixed"/>
        <w:tblLook w:firstColumn="1" w:firstRow="1" w:lastColumn="0" w:lastRow="0" w:noHBand="0" w:noVBand="1" w:val="04A0"/>
      </w:tblPr>
      <w:tblGrid>
        <w:gridCol w:w="202"/>
        <w:gridCol w:w="9144"/>
      </w:tblGrid>
      <w:tr>
        <w:tc>
          <w:tcPr>
            <w:tcW w:type="dxa" w:w="5083"/>
            <w:shd w:fill="B23A48"/>
            <w:tcBorders>
              <w:top w:val="nil"/>
              <w:left w:val="nil"/>
              <w:bottom w:val="nil"/>
              <w:right w:val="nil"/>
            </w:tcBorders>
            <w:vAlign w:val="center"/>
          </w:tcPr>
          <w:p/>
        </w:tc>
        <w:tc>
          <w:tcPr>
            <w:tcW w:type="dxa" w:w="5083"/>
            <w:shd w:fill="F1F7F7"/>
            <w:tcBorders>
              <w:top w:val="nil"/>
              <w:left w:val="nil"/>
              <w:bottom w:val="nil"/>
              <w:right w:val="nil"/>
            </w:tcBorders>
            <w:vAlign w:val="center"/>
          </w:tcPr>
          <w:p>
            <w:r>
              <w:rPr>
                <w:b/>
                <w:color w:val="142D30"/>
                <w:sz w:val="21"/>
              </w:rPr>
              <w:t>Production kapısı</w:t>
            </w:r>
          </w:p>
          <w:p>
            <w:pPr>
              <w:pStyle w:val="BodyText"/>
              <w:spacing w:after="0"/>
            </w:pPr>
            <w:r>
              <w:t>Bu soruların tamamına kanıtlı “Evet” verilemeden Şirketim Domain tamamlanmış kabul edilemez ve production’a alınamaz.</w:t>
            </w:r>
          </w:p>
        </w:tc>
      </w:tr>
    </w:tbl>
    <w:p>
      <w:pPr>
        <w:spacing w:after="20"/>
      </w:pPr>
    </w:p>
    <w:p>
      <w:pPr>
        <w:pStyle w:val="Heading1"/>
      </w:pPr>
      <w:r>
        <w:t>17. Değişmez Yasaklar</w:t>
      </w:r>
    </w:p>
    <w:p>
      <w:pPr>
        <w:pStyle w:val="ListBullet"/>
        <w:spacing w:after="60"/>
      </w:pPr>
      <w:r>
        <w:t>İkinci Company Model truth authority oluşturmak.</w:t>
      </w:r>
    </w:p>
    <w:p>
      <w:pPr>
        <w:pStyle w:val="ListBullet"/>
        <w:spacing w:after="60"/>
      </w:pPr>
      <w:r>
        <w:t>Executive Brain’i yeni özellik gerekçesiyle değiştirmek.</w:t>
      </w:r>
    </w:p>
    <w:p>
      <w:pPr>
        <w:pStyle w:val="ListBullet"/>
        <w:spacing w:after="60"/>
      </w:pPr>
      <w:r>
        <w:t>AI response, opinion veya hypothesis’i canonical şirket gerçeğine dönüştürmek.</w:t>
      </w:r>
    </w:p>
    <w:p>
      <w:pPr>
        <w:pStyle w:val="ListBullet"/>
        <w:spacing w:after="60"/>
      </w:pPr>
      <w:r>
        <w:t>Şirketim sayfasında diğer domain kayıtlarını kopyalayarak duplicate state yaratmak.</w:t>
      </w:r>
    </w:p>
    <w:p>
      <w:pPr>
        <w:pStyle w:val="ListBullet"/>
        <w:spacing w:after="60"/>
      </w:pPr>
      <w:r>
        <w:t>Entegrasyon tablosunu METRIX ortak veri modeli yapmak.</w:t>
      </w:r>
    </w:p>
    <w:p>
      <w:pPr>
        <w:pStyle w:val="ListBullet"/>
        <w:spacing w:after="60"/>
      </w:pPr>
      <w:r>
        <w:t>Dinamik alanları kontrolsüz JSON metadata veya rastgele kolon olarak uygulamak.</w:t>
      </w:r>
    </w:p>
    <w:p>
      <w:pPr>
        <w:pStyle w:val="ListBullet"/>
        <w:spacing w:after="60"/>
      </w:pPr>
      <w:r>
        <w:t>Finansal sonucu LLM metninden veya izlenemeyen serbest hesaplamadan üretmek.</w:t>
      </w:r>
    </w:p>
    <w:p>
      <w:pPr>
        <w:pStyle w:val="ListBullet"/>
        <w:spacing w:after="60"/>
      </w:pPr>
      <w:r>
        <w:t>Otomatik bilinen verileri çalışanlara tekrar form olarak yazdırmak.</w:t>
      </w:r>
    </w:p>
    <w:p>
      <w:pPr>
        <w:pStyle w:val="ListBullet"/>
        <w:spacing w:after="60"/>
      </w:pPr>
      <w:r>
        <w:t>Rapor formatını geçmiş karşılaştırmaları bozacak biçimde sessizce değiştirmek.</w:t>
      </w:r>
    </w:p>
    <w:p>
      <w:pPr>
        <w:pStyle w:val="ListBullet"/>
        <w:spacing w:after="60"/>
      </w:pPr>
      <w:r>
        <w:t>Riskli resmî/finansal değişiklikleri açık onay mekanizmasını atlayarak yapmak.</w:t>
      </w:r>
    </w:p>
    <w:p>
      <w:pPr>
        <w:pStyle w:val="ListBullet"/>
        <w:spacing w:after="60"/>
      </w:pPr>
      <w:r>
        <w:t>Voice ve text için farklı Company action yolları kurmak.</w:t>
      </w:r>
    </w:p>
    <w:p>
      <w:pPr>
        <w:pStyle w:val="ListBullet"/>
        <w:spacing w:after="60"/>
      </w:pPr>
      <w:r>
        <w:t>Preview deployment yapmak veya production kabulünü yalnız build başarısıyla tamamlanmış saymak.</w:t>
      </w:r>
    </w:p>
    <w:p>
      <w:pPr>
        <w:pStyle w:val="Heading1"/>
      </w:pPr>
      <w:r>
        <w:t>18. Son Kurucu Hüküm</w:t>
      </w:r>
    </w:p>
    <w:p>
      <w:pPr>
        <w:spacing w:before="240" w:after="240" w:line="312" w:lineRule="auto"/>
      </w:pPr>
      <w:r>
        <w:rPr>
          <w:b/>
          <w:color w:val="184147"/>
          <w:sz w:val="26"/>
        </w:rPr>
        <w:t>Şirketim, METRIX’in şirket hakkında daha çok bilgi topladığı bir profil ekranı değildir. Şirketin doğrulanmış gerçekliğini, ekonomik durumunu, hedeflerini, insanlarını, varlıklarını, çalışma biçimini ve değişen yönetim ihtiyaçlarını tek kurumsal bağlamda yaşatan Company Operating System’dir.</w:t>
      </w:r>
    </w:p>
    <w:p>
      <w:pPr>
        <w:spacing w:line="300" w:lineRule="auto"/>
      </w:pPr>
      <w:r>
        <w:rPr>
          <w:sz w:val="23"/>
        </w:rPr>
        <w:t>Doğru kurulduğunda kullanıcı bu sayfayı bilgi girmek zorunda olduğu için değil, şirketinin nereye gittiğini tek bakışta anlayabildiği için sevecektir. METRIX ise bu foundation sayesinde genel tavsiye veren bir AI olmaktan çıkarak, şirketin gerçeklerine dayalı biçimde düşünen, eksikleri tamamlayan, sapmaları gören ve yönetim döngüsünü sürdüren yaşayan Genel Müdür olarak çalışacaktır.</w:t>
      </w:r>
    </w:p>
    <w:tbl>
      <w:tblPr>
        <w:tblW w:type="auto" w:w="0"/>
        <w:jc w:val="center"/>
        <w:tblLayout w:type="fixed"/>
        <w:tblLook w:firstColumn="1" w:firstRow="1" w:lastColumn="0" w:lastRow="0" w:noHBand="0" w:noVBand="1" w:val="04A0"/>
      </w:tblPr>
      <w:tblGrid>
        <w:gridCol w:w="202"/>
        <w:gridCol w:w="9144"/>
      </w:tblGrid>
      <w:tr>
        <w:tc>
          <w:tcPr>
            <w:tcW w:type="dxa" w:w="5083"/>
            <w:shd w:fill="1F8A8A"/>
            <w:tcBorders>
              <w:top w:val="nil"/>
              <w:left w:val="nil"/>
              <w:bottom w:val="nil"/>
              <w:right w:val="nil"/>
            </w:tcBorders>
            <w:vAlign w:val="center"/>
          </w:tcPr>
          <w:p/>
        </w:tc>
        <w:tc>
          <w:tcPr>
            <w:tcW w:type="dxa" w:w="5083"/>
            <w:shd w:fill="F1F7F7"/>
            <w:tcBorders>
              <w:top w:val="nil"/>
              <w:left w:val="nil"/>
              <w:bottom w:val="nil"/>
              <w:right w:val="nil"/>
            </w:tcBorders>
            <w:vAlign w:val="center"/>
          </w:tcPr>
          <w:p>
            <w:r>
              <w:rPr>
                <w:b/>
                <w:color w:val="142D30"/>
                <w:sz w:val="21"/>
              </w:rPr>
              <w:t>Başlangıç kararı</w:t>
            </w:r>
          </w:p>
          <w:p>
            <w:pPr>
              <w:pStyle w:val="BodyText"/>
              <w:spacing w:after="0"/>
            </w:pPr>
            <w:r>
              <w:t>Bir sonraki adım kod yazmak değildir. Bu belgeye göre hedefli Claude mimari analizi yapılacak; mevcut çağrı zincirleri, ownership, migration sınırı ve kabul kriterleri kanıtlandıktan sonra Codex tek production uygulamasını gerçekleştirecektir.</w:t>
            </w:r>
          </w:p>
        </w:tc>
      </w:tr>
    </w:tbl>
    <w:p>
      <w:pPr>
        <w:spacing w:after="20"/>
      </w:pPr>
    </w:p>
    <w:sectPr w:rsidR="00FC693F" w:rsidRPr="0006063C" w:rsidSect="00034616">
      <w:headerReference w:type="default" r:id="rId9"/>
      <w:footerReference w:type="default" r:id="rId10"/>
      <w:pgSz w:w="12240" w:h="15840"/>
      <w:pgMar w:top="979" w:right="1037" w:bottom="893"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E70"/>
        <w:sz w:val="16"/>
      </w:rPr>
      <w:t xml:space="preserve">Şirketim Domain Kurucu Mimarisi 1.0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8" w:space="1" w:color="7EAEB0"/>
      </w:pBdr>
    </w:pPr>
    <w:r>
      <w:rPr>
        <w:b/>
        <w:color w:val="51696C"/>
        <w:sz w:val="16"/>
      </w:rPr>
      <w:t>METRIX AI OS  /  FOUNDATION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color w:val="2A30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eastAsia="Aptos Display"/>
      <w:b/>
      <w:bCs/>
      <w:color w:val="143B42"/>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Display"/>
      <w:b/>
      <w:bCs/>
      <w:color w:val="1B646B"/>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eastAsia="Aptos"/>
      <w:b/>
      <w:bCs/>
      <w:color w:val="2D555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eastAsia="Aptos Display"/>
      <w:b/>
      <w:color w:val="143B4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pPr>
    <w:rPr>
      <w:rFonts w:asciiTheme="majorHAnsi" w:eastAsiaTheme="majorEastAsia" w:hAnsiTheme="majorHAnsi" w:cstheme="majorBidi" w:ascii="Aptos" w:hAnsi="Aptos" w:eastAsia="Aptos"/>
      <w:b w:val="0"/>
      <w:i/>
      <w:iCs/>
      <w:color w:val="5D74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Aptos" w:hAnsi="Aptos"/>
      <w:color w:val="2A3032"/>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METRIX AI OS — Şirketim Domain Kurucu Mimarisi 1.0</dc:title>
  <dc:subject>Company Operating System Foundation</dc:subject>
  <dc:creator>METRIX AI OS</dc:creator>
  <cp:keywords>METRIX, Şirketim, Company Domain, Foundation, Business Reality, Executive Brain</cp:keywords>
  <dc:description>Bağlayıcı kurucu mimari belgesi</dc:description>
  <cp:lastModifiedBy/>
  <cp:revision>1</cp:revision>
  <dcterms:created xsi:type="dcterms:W3CDTF">2013-12-23T23:15:00Z</dcterms:created>
  <dcterms:modified xsi:type="dcterms:W3CDTF">2013-12-23T23:15:00Z</dcterms:modified>
  <cp:category/>
</cp:coreProperties>
</file>