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02 - METRIX Hedef Mimarisi ve Çalışma Planı</w:t>
      </w:r>
    </w:p>
    <w:p>
      <w:r>
        <w:rPr>
          <w:b/>
        </w:rPr>
        <w:t>Amaç</w:t>
        <w:br/>
      </w:r>
      <w:r>
        <w:t>Bu belge, Ürün Anayasası ile uygulama arasındaki son köprüdür. Yeni özellik listesi değildir; METRIX'in nihai çalışma biçimini tanımlar. Bu belge onaylandıktan sonra mimari tartışmaları sona erecek ve tüm geliştirmeler bu belgeye göre yapılacaktır.</w:t>
        <w:br/>
        <w:br/>
      </w:r>
    </w:p>
    <w:p>
      <w:pPr>
        <w:pStyle w:val="Heading2"/>
      </w:pPr>
      <w:r>
        <w:t>Belgenin Kapsamı</w:t>
      </w:r>
    </w:p>
    <w:p>
      <w:r>
        <w:t>Bu belge tek ve bütüncül bir hedef mimariyi tanımlar. Fazlara bölünmez.</w:t>
        <w:br/>
        <w:t>Konular: Tek METRIX otoritesi, Executive Operating System, yazılı ve sesli sohbet,</w:t>
        <w:br/>
        <w:t>cevap gecikmesi, ses-yazı senkronizasyonu, kadın/erkek ses mimarisi,</w:t>
        <w:br/>
        <w:t>öğrenme sistemi, CEO Intelligence, Daily Brief, sektör ve finans öğrenmesi,</w:t>
        <w:br/>
        <w:t>CRM ve işlem yetkileri, güvenlik, telemetri ve kabul kriterleri.</w:t>
      </w:r>
    </w:p>
    <w:p>
      <w:pPr>
        <w:pStyle w:val="Heading2"/>
      </w:pPr>
      <w:r>
        <w:t>Temel İlke</w:t>
      </w:r>
    </w:p>
    <w:p>
      <w:r>
        <w:t>Her teknik karar şu soruyu geçmelidir:</w:t>
        <w:br/>
        <w:t>'Bu değişiklik METRIX'i daha güçlü bir Genel Müdür yapıyor mu?'</w:t>
        <w:br/>
        <w:t>Cevap hayır ise uygulanmayacaktır.</w:t>
      </w:r>
    </w:p>
    <w:p>
      <w:pPr>
        <w:pStyle w:val="Heading2"/>
      </w:pPr>
      <w:r>
        <w:t>Mimari Hedef</w:t>
      </w:r>
    </w:p>
    <w:p>
      <w:r>
        <w:t>• Tek konuşan ve tek karar veren METRIX.</w:t>
        <w:br/>
        <w:t>• Executive Operating System yalnızca veri, kanıt ve işlem üretir.</w:t>
        <w:br/>
        <w:t>• İlk doğal cevap mümkün olduğunca 1 saniyenin altında başlar.</w:t>
        <w:br/>
        <w:t>• Yazı ve ses aynı düşünceden aynı anda akar.</w:t>
        <w:br/>
        <w:t>• Kadın ve erkek ses aynı zihni paylaşır.</w:t>
        <w:br/>
        <w:t>• Riskli işlemler açık kullanıcı onayı olmadan tamamlanmaz.</w:t>
      </w:r>
    </w:p>
    <w:p>
      <w:pPr>
        <w:pStyle w:val="Heading2"/>
      </w:pPr>
      <w:r>
        <w:t>Karakter Hedefi</w:t>
      </w:r>
    </w:p>
    <w:p>
      <w:r>
        <w:t>METRIX; bilge, babacan, karizmatik, esprili, sevgi dolu, gerektiğinde ciddi,</w:t>
        <w:br/>
        <w:t>gerektiğinde itiraz eden, güven veren ve günlük hayat üzerine doğal sohbet edebilen</w:t>
        <w:br/>
        <w:t>bir Genel Müdürdür. Ezber konuşmaz; bağlama göre yeniden konuşur.</w:t>
        <w:br/>
        <w:t>Karakteri sabit kalır, bilgeliği her gün gelişir.</w:t>
      </w:r>
    </w:p>
    <w:p>
      <w:pPr>
        <w:pStyle w:val="Heading2"/>
      </w:pPr>
      <w:r>
        <w:t>Öğrenme Hedefi</w:t>
      </w:r>
    </w:p>
    <w:p>
      <w:r>
        <w:t>METRIX; CEO'ları, sektörleri, finansı, şirketini ve kullanıcısını sürekli öğrenir.</w:t>
        <w:br/>
        <w:t>Ham bilgi değil; doğrulanmış prensipler öğrenir.</w:t>
        <w:br/>
        <w:t>Daily Brief üretir, kendi kararlarını değerlendirir ve güven puanlı kurumsal hafıza oluşturur.</w:t>
      </w:r>
    </w:p>
    <w:p>
      <w:pPr>
        <w:pStyle w:val="Heading2"/>
      </w:pPr>
      <w:r>
        <w:t>Uygulama İlkesi</w:t>
      </w:r>
    </w:p>
    <w:p>
      <w:r>
        <w:t>Kod yazılmadan önce tüm geliştirmeler bu belgeye göre doğrulanacaktır.</w:t>
        <w:br/>
        <w:t>Uygulama tek bütün olarak ele alınacak; birbirinden kopuk mikro fazlar oluşturulmayacaktır.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