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20" w:line="271" w:lineRule="auto"/>
      </w:pPr>
      <w:r>
        <w:rPr>
          <w:b/>
          <w:color w:val="20DCCB"/>
          <w:sz w:val="24"/>
        </w:rPr>
        <w:t>METRIX AI OS</w:t>
      </w:r>
    </w:p>
    <w:p>
      <w:pPr>
        <w:pStyle w:val="Title"/>
        <w:jc w:val="left"/>
      </w:pPr>
      <w:r>
        <w:t>METRIX Executive</w:t>
        <w:br/>
        <w:t>Uygulama Kabuğu ve</w:t>
        <w:br/>
        <w:t>Arayüz Sistemi 1.0</w:t>
      </w:r>
    </w:p>
    <w:p>
      <w:pPr>
        <w:pStyle w:val="Subtitle"/>
      </w:pPr>
      <w:r>
        <w:t>Executive App Shell + UI System — Kurucu Teknik Sözleşme</w:t>
      </w:r>
    </w:p>
    <w:p>
      <w:pPr>
        <w:spacing w:before="80" w:after="120" w:line="271" w:lineRule="auto"/>
      </w:pPr>
      <w:r>
        <w:rPr>
          <w:rFonts w:ascii="Aptos" w:hAnsi="Aptos"/>
          <w:b/>
          <w:color w:val="20DCCB"/>
          <w:sz w:val="18"/>
        </w:rPr>
        <w:t>KURUCU HÜKÜM</w:t>
      </w:r>
    </w:p>
    <w:p>
      <w:pPr>
        <w:spacing w:after="120" w:line="271" w:lineRule="auto"/>
      </w:pPr>
      <w:r>
        <w:rPr>
          <w:b/>
          <w:color w:val="143B42"/>
          <w:sz w:val="26"/>
        </w:rPr>
        <w:t>METRIX’in sayfaları ayrı ayrı tasarlanan web ekranları değildir. Bütün ürün, tek bir premium uygulama kabuğunun içinde yaşayan, aynı görsel dil ve aynı etkileşim sözleşmesini kullanan Executive çalışma alanlarından oluşur.</w:t>
      </w:r>
    </w:p>
    <w:p>
      <w:pPr>
        <w:spacing w:after="120" w:line="271" w:lineRule="auto"/>
      </w:pPr>
      <w:r>
        <w:rPr>
          <w:color w:val="5D7478"/>
          <w:sz w:val="19"/>
        </w:rPr>
        <w:t>Belge türü: Kurucu Teknik UI Sözleşmesi</w:t>
      </w:r>
    </w:p>
    <w:p>
      <w:pPr>
        <w:spacing w:after="120" w:line="271" w:lineRule="auto"/>
      </w:pPr>
      <w:r>
        <w:rPr>
          <w:color w:val="5D7478"/>
          <w:sz w:val="19"/>
        </w:rPr>
        <w:t>Durum: Bağlayıcı uygulama standardı</w:t>
      </w:r>
    </w:p>
    <w:p>
      <w:pPr>
        <w:spacing w:after="120" w:line="271" w:lineRule="auto"/>
      </w:pPr>
      <w:r>
        <w:rPr>
          <w:color w:val="5D7478"/>
          <w:sz w:val="19"/>
        </w:rPr>
        <w:t>Kapsam: Tüm ürün yüzeyleri — Şirketim, Müşteriler, Sohbet ve gelecek modüller</w:t>
      </w:r>
    </w:p>
    <w:p>
      <w:pPr>
        <w:spacing w:after="120" w:line="271" w:lineRule="auto"/>
      </w:pPr>
      <w:r>
        <w:rPr>
          <w:color w:val="5D7478"/>
          <w:sz w:val="19"/>
        </w:rPr>
        <w:t>Sürüm: 1.0</w:t>
      </w:r>
    </w:p>
    <w:p>
      <w:pPr>
        <w:spacing w:after="120" w:line="271" w:lineRule="auto"/>
      </w:pPr>
      <w:r>
        <w:rPr>
          <w:color w:val="5D7478"/>
          <w:sz w:val="19"/>
        </w:rPr>
        <w:t>Tarih: 28 Temmuz 2026</w:t>
      </w:r>
    </w:p>
    <w:p>
      <w:pPr>
        <w:spacing w:after="120" w:line="271" w:lineRule="auto"/>
      </w:pPr>
      <w:r>
        <w:br w:type="page"/>
      </w:r>
    </w:p>
    <w:p>
      <w:pPr>
        <w:spacing w:before="80" w:after="120" w:line="271" w:lineRule="auto"/>
      </w:pPr>
      <w:r>
        <w:rPr>
          <w:rFonts w:ascii="Aptos" w:hAnsi="Aptos"/>
          <w:b/>
          <w:color w:val="20DCCB"/>
          <w:sz w:val="18"/>
        </w:rPr>
        <w:t>1. BELGENIN OTORITESI</w:t>
      </w:r>
    </w:p>
    <w:p>
      <w:pPr>
        <w:pStyle w:val="Heading1"/>
        <w:keepNext/>
      </w:pPr>
      <w:r>
        <w:t>Belgenin Amacı</w:t>
      </w:r>
    </w:p>
    <w:p>
      <w:pPr>
        <w:spacing w:after="120" w:line="271" w:lineRule="auto"/>
      </w:pPr>
      <w:r>
        <w:t>Bu belge, METRIX’in bütün kullanıcı arayüzlerinde kullanılacak ortak uygulama kabuğunu, görsel sistemi, scroll mimarisini, navigasyon davranışını ve yeniden kullanılabilir component sözleşmesini kesinleştirir. Tasarım tercihlerini yoruma açık öneriler olmaktan çıkarır; kod tabanının bağlayıcı davranışına dönüştürür.</w:t>
      </w:r>
    </w:p>
    <w:p>
      <w:pPr>
        <w:pStyle w:val="Heading2"/>
        <w:keepNext/>
      </w:pPr>
      <w:r>
        <w:t>Bu belge neden gereklidir?</w:t>
      </w:r>
    </w:p>
    <w:p>
      <w:pPr>
        <w:pStyle w:val="ListBullet"/>
        <w:spacing w:after="40"/>
      </w:pPr>
      <w:r>
        <w:t>Her sayfanın yeniden tasarlanmasıyla oluşan zaman kaybını ortadan kaldırmak.</w:t>
      </w:r>
    </w:p>
    <w:p>
      <w:pPr>
        <w:pStyle w:val="ListBullet"/>
        <w:spacing w:after="40"/>
      </w:pPr>
      <w:r>
        <w:t>Şirketim sayfasında beğenilen premium görsel dili tüm ürünün varsayılan standardı yapmak.</w:t>
      </w:r>
    </w:p>
    <w:p>
      <w:pPr>
        <w:pStyle w:val="ListBullet"/>
        <w:spacing w:after="40"/>
      </w:pPr>
      <w:r>
        <w:t>Müşteriler, Şirketim, Sohbet ve gelecekteki modüllerde header, dock, ikon, spacing ve responsive davranışın ayrışmasını engellemek.</w:t>
      </w:r>
    </w:p>
    <w:p>
      <w:pPr>
        <w:pStyle w:val="ListBullet"/>
        <w:spacing w:after="40"/>
      </w:pPr>
      <w:r>
        <w:t>Codex’in “premium” gibi yoruma açık ifadeler yerine kesin component ve token sözleşmesi üzerinden çalışmasını sağlamak.</w:t>
      </w:r>
    </w:p>
    <w:p>
      <w:pPr>
        <w:pStyle w:val="ListBullet"/>
        <w:spacing w:after="40"/>
      </w:pPr>
      <w:r>
        <w:t>Kullanıcının sayfalarda gezinmek yerine METRIX’e iş yaptırdığı ürün vizyonunu destekleyen sade, sakin ve yönetim odaklı bir arayüz kurmak.</w:t>
      </w:r>
    </w:p>
    <w:p>
      <w:pPr>
        <w:pStyle w:val="Heading2"/>
        <w:keepNext/>
      </w:pPr>
      <w:r>
        <w:t>Bu belge neyi yapmaz?</w:t>
      </w:r>
    </w:p>
    <w:p>
      <w:pPr>
        <w:pStyle w:val="ListBullet"/>
        <w:spacing w:after="40"/>
      </w:pPr>
      <w:r>
        <w:t>Her sayfa için ayrı ve statik piksel maketi üretmez.</w:t>
      </w:r>
    </w:p>
    <w:p>
      <w:pPr>
        <w:pStyle w:val="ListBullet"/>
        <w:spacing w:after="40"/>
      </w:pPr>
      <w:r>
        <w:t>Executive Brain, domain sahiplikleri veya Business Reality mimarisini değiştirmez.</w:t>
      </w:r>
    </w:p>
    <w:p>
      <w:pPr>
        <w:pStyle w:val="ListBullet"/>
        <w:spacing w:after="40"/>
      </w:pPr>
      <w:r>
        <w:t>Yeni görsel üretim süreci tanımlamaz.</w:t>
      </w:r>
    </w:p>
    <w:p>
      <w:pPr>
        <w:pStyle w:val="ListBullet"/>
        <w:spacing w:after="40"/>
      </w:pPr>
      <w:r>
        <w:t>Her modüle özgü iş akışını bu belgede sahiplenmez; yalnız ortak UI kabuğunu ve arayüz dilini belirler.</w:t>
      </w:r>
    </w:p>
    <w:tbl>
      <w:tblPr>
        <w:tblW w:type="auto" w:w="0"/>
        <w:jc w:val="center"/>
        <w:tblLayout w:type="autofit"/>
        <w:tblLook w:firstColumn="1" w:firstRow="1" w:lastColumn="0" w:lastRow="0" w:noHBand="0" w:noVBand="1" w:val="04A0"/>
      </w:tblPr>
      <w:tblGrid>
        <w:gridCol w:w="10166"/>
      </w:tblGrid>
      <w:tr>
        <w:tc>
          <w:tcPr>
            <w:tcW w:type="dxa" w:w="10166"/>
            <w:shd w:fill="F2F8F7"/>
            <w:tcMar>
              <w:top w:w="160" w:type="dxa"/>
              <w:start w:w="190" w:type="dxa"/>
              <w:bottom w:w="160" w:type="dxa"/>
              <w:end w:w="190" w:type="dxa"/>
            </w:tcMar>
            <w:tcBorders>
              <w:top w:val="single" w:sz="8" w:color="20DCCB"/>
              <w:left w:val="single" w:sz="8" w:color="20DCCB"/>
              <w:bottom w:val="single" w:sz="8" w:color="20DCCB"/>
              <w:right w:val="single" w:sz="8" w:color="20DCCB"/>
            </w:tcBorders>
          </w:tcPr>
          <w:p>
            <w:pPr>
              <w:spacing w:after="80"/>
            </w:pPr>
            <w:r>
              <w:rPr>
                <w:b/>
                <w:color w:val="143B42"/>
                <w:sz w:val="22"/>
              </w:rPr>
              <w:t>Temel karar</w:t>
            </w:r>
          </w:p>
          <w:p>
            <w:pPr>
              <w:spacing w:after="0"/>
            </w:pPr>
            <w:r>
              <w:rPr>
                <w:color w:val="2A3032"/>
                <w:sz w:val="21"/>
              </w:rPr>
              <w:t>Yeni bir sayfa tasarlanmadan önce yeni bir tasarım dili oluşturulmaz. Sayfa, bu belgede tanımlanan Executive App Shell ve component sisteminin içine yerleştirilir.</w:t>
            </w:r>
          </w:p>
        </w:tc>
      </w:tr>
    </w:tbl>
    <w:p>
      <w:pPr>
        <w:spacing w:after="120" w:line="271" w:lineRule="auto"/>
      </w:pPr>
      <w:r>
        <w:br w:type="page"/>
      </w:r>
    </w:p>
    <w:p>
      <w:pPr>
        <w:spacing w:before="80" w:after="120" w:line="271" w:lineRule="auto"/>
      </w:pPr>
      <w:r>
        <w:rPr>
          <w:rFonts w:ascii="Aptos" w:hAnsi="Aptos"/>
          <w:b/>
          <w:color w:val="20DCCB"/>
          <w:sz w:val="18"/>
        </w:rPr>
        <w:t>2. ÜRÜN DENEYIMI İLKESI</w:t>
      </w:r>
    </w:p>
    <w:p>
      <w:pPr>
        <w:pStyle w:val="Heading1"/>
        <w:keepNext/>
      </w:pPr>
      <w:r>
        <w:t>Web Sayfası Değil, Uygulama</w:t>
      </w:r>
    </w:p>
    <w:p>
      <w:pPr>
        <w:spacing w:after="120" w:line="271" w:lineRule="auto"/>
      </w:pPr>
      <w:r>
        <w:t>METRIX tarayıcıda çalışsa bile klasik bir web sitesi veya sonsuz dashboard hissi vermemelidir. Kullanıcı, tek bir native uygulamanın içinde olduğunu hissetmelidir. Header, çalışma alanı, METRIX varlığı ve dock ekranlar arasında değişmez; yalnız aktif iş bağlamı değişir.</w:t>
      </w:r>
    </w:p>
    <w:p>
      <w:pPr>
        <w:pStyle w:val="Heading2"/>
        <w:keepNext/>
      </w:pPr>
      <w:r>
        <w:t>Değişmez deneyim ilkeleri</w:t>
      </w:r>
    </w:p>
    <w:p>
      <w:pPr>
        <w:pStyle w:val="ListNumber"/>
        <w:spacing w:after="60"/>
      </w:pPr>
      <w:r>
        <w:t>Tek uygulama kabuğu: Her modül aynı ExecutiveAppShell içinde açılır.</w:t>
      </w:r>
    </w:p>
    <w:p>
      <w:pPr>
        <w:pStyle w:val="ListNumber"/>
        <w:spacing w:after="60"/>
      </w:pPr>
      <w:r>
        <w:t>Tek tasarım dili: Renk, ikon, radius, blur, typography ve motion token’ları ortaktır.</w:t>
      </w:r>
    </w:p>
    <w:p>
      <w:pPr>
        <w:pStyle w:val="ListNumber"/>
        <w:spacing w:after="60"/>
      </w:pPr>
      <w:r>
        <w:t>Tek navigasyon otoritesi: Dock ve header canonical route’lara gider; local placeholder tab authority oluşturmaz.</w:t>
      </w:r>
    </w:p>
    <w:p>
      <w:pPr>
        <w:pStyle w:val="ListNumber"/>
        <w:spacing w:after="60"/>
      </w:pPr>
      <w:r>
        <w:t>Viewport kontrollüdür: Sayfanın tamamı rastgele kaymaz; workspace kendi içinde yönetilir.</w:t>
      </w:r>
    </w:p>
    <w:p>
      <w:pPr>
        <w:pStyle w:val="ListNumber"/>
        <w:spacing w:after="60"/>
      </w:pPr>
      <w:r>
        <w:t>İçerik dock altında kalmaz: Safe-area ve dock yüksekliği shell tarafından hesaplanır.</w:t>
      </w:r>
    </w:p>
    <w:p>
      <w:pPr>
        <w:pStyle w:val="ListNumber"/>
        <w:spacing w:after="60"/>
      </w:pPr>
      <w:r>
        <w:t>Kullanıcıya yalnız gerekli bilgi gösterilir: Veri modelinin büyüklüğü ekranı kalabalıklaştırmaz.</w:t>
      </w:r>
    </w:p>
    <w:p>
      <w:pPr>
        <w:pStyle w:val="ListNumber"/>
        <w:spacing w:after="60"/>
      </w:pPr>
      <w:r>
        <w:t>METRIX görünür fakat baskın değildir: Executive Presence, iş akışını destekler; içeriği kapatmaz.</w:t>
      </w:r>
    </w:p>
    <w:p>
      <w:pPr>
        <w:pStyle w:val="Heading2"/>
        <w:keepNext/>
      </w:pPr>
      <w:r>
        <w:t>Tasarımdaki ana his</w:t>
      </w:r>
    </w:p>
    <w:tbl>
      <w:tblPr>
        <w:tblStyle w:val="TableGrid"/>
        <w:tblW w:type="auto" w:w="0"/>
        <w:jc w:val="center"/>
        <w:tblLook w:firstColumn="1" w:firstRow="1" w:lastColumn="0" w:lastRow="0" w:noHBand="0" w:noVBand="1" w:val="04A0"/>
      </w:tblPr>
      <w:tblGrid>
        <w:gridCol w:w="5083"/>
        <w:gridCol w:w="5083"/>
      </w:tblGrid>
      <w:tr>
        <w:tc>
          <w:tcPr>
            <w:tcW w:type="dxa" w:w="1872"/>
            <w:shd w:fill="143B42"/>
            <w:tcMar>
              <w:top w:w="100" w:type="dxa"/>
              <w:start w:w="100" w:type="dxa"/>
              <w:bottom w:w="100" w:type="dxa"/>
              <w:end w:w="100" w:type="dxa"/>
            </w:tcMar>
          </w:tcPr>
          <w:p>
            <w:pPr>
              <w:jc w:val="left"/>
            </w:pPr>
            <w:r>
              <w:rPr>
                <w:b/>
                <w:color w:val="FFFFFF"/>
                <w:sz w:val="19"/>
              </w:rPr>
              <w:t>Nitelik</w:t>
            </w:r>
          </w:p>
        </w:tc>
        <w:tc>
          <w:tcPr>
            <w:tcW w:type="dxa" w:w="6624"/>
            <w:shd w:fill="143B42"/>
            <w:tcMar>
              <w:top w:w="100" w:type="dxa"/>
              <w:start w:w="100" w:type="dxa"/>
              <w:bottom w:w="100" w:type="dxa"/>
              <w:end w:w="100" w:type="dxa"/>
            </w:tcMar>
          </w:tcPr>
          <w:p>
            <w:pPr>
              <w:jc w:val="left"/>
            </w:pPr>
            <w:r>
              <w:rPr>
                <w:b/>
                <w:color w:val="FFFFFF"/>
                <w:sz w:val="19"/>
              </w:rPr>
              <w:t>Kullanıcıda oluşması gereken his</w:t>
            </w:r>
          </w:p>
        </w:tc>
      </w:tr>
      <w:tr>
        <w:tc>
          <w:tcPr>
            <w:tcW w:type="dxa" w:w="1872"/>
            <w:tcMar>
              <w:top w:w="90" w:type="dxa"/>
              <w:start w:w="100" w:type="dxa"/>
              <w:bottom w:w="90" w:type="dxa"/>
              <w:end w:w="100" w:type="dxa"/>
            </w:tcMar>
            <w:vAlign w:val="center"/>
          </w:tcPr>
          <w:p>
            <w:r>
              <w:rPr>
                <w:color w:val="2A3032"/>
                <w:sz w:val="18"/>
              </w:rPr>
              <w:t>Sakin</w:t>
            </w:r>
          </w:p>
        </w:tc>
        <w:tc>
          <w:tcPr>
            <w:tcW w:type="dxa" w:w="6624"/>
            <w:tcMar>
              <w:top w:w="90" w:type="dxa"/>
              <w:start w:w="100" w:type="dxa"/>
              <w:bottom w:w="90" w:type="dxa"/>
              <w:end w:w="100" w:type="dxa"/>
            </w:tcMar>
            <w:vAlign w:val="center"/>
          </w:tcPr>
          <w:p>
            <w:r>
              <w:rPr>
                <w:color w:val="2A3032"/>
                <w:sz w:val="18"/>
              </w:rPr>
              <w:t>Ekran bağırmıyor; önemli olan kendiliğinden görünür.</w:t>
            </w:r>
          </w:p>
        </w:tc>
      </w:tr>
      <w:tr>
        <w:tc>
          <w:tcPr>
            <w:tcW w:type="dxa" w:w="1872"/>
            <w:tcMar>
              <w:top w:w="90" w:type="dxa"/>
              <w:start w:w="100" w:type="dxa"/>
              <w:bottom w:w="90" w:type="dxa"/>
              <w:end w:w="100" w:type="dxa"/>
            </w:tcMar>
            <w:shd w:fill="F6F9F9"/>
            <w:vAlign w:val="center"/>
          </w:tcPr>
          <w:p>
            <w:r>
              <w:rPr>
                <w:color w:val="2A3032"/>
                <w:sz w:val="18"/>
              </w:rPr>
              <w:t>Premium</w:t>
            </w:r>
          </w:p>
        </w:tc>
        <w:tc>
          <w:tcPr>
            <w:tcW w:type="dxa" w:w="6624"/>
            <w:tcMar>
              <w:top w:w="90" w:type="dxa"/>
              <w:start w:w="100" w:type="dxa"/>
              <w:bottom w:w="90" w:type="dxa"/>
              <w:end w:w="100" w:type="dxa"/>
            </w:tcMar>
            <w:shd w:fill="F6F9F9"/>
            <w:vAlign w:val="center"/>
          </w:tcPr>
          <w:p>
            <w:r>
              <w:rPr>
                <w:color w:val="2A3032"/>
                <w:sz w:val="18"/>
              </w:rPr>
              <w:t>Detaylar rastgele değil; her hizalama ve boşluk bilinçli.</w:t>
            </w:r>
          </w:p>
        </w:tc>
      </w:tr>
      <w:tr>
        <w:tc>
          <w:tcPr>
            <w:tcW w:type="dxa" w:w="1872"/>
            <w:tcMar>
              <w:top w:w="90" w:type="dxa"/>
              <w:start w:w="100" w:type="dxa"/>
              <w:bottom w:w="90" w:type="dxa"/>
              <w:end w:w="100" w:type="dxa"/>
            </w:tcMar>
            <w:vAlign w:val="center"/>
          </w:tcPr>
          <w:p>
            <w:r>
              <w:rPr>
                <w:color w:val="2A3032"/>
                <w:sz w:val="18"/>
              </w:rPr>
              <w:t>Executive</w:t>
            </w:r>
          </w:p>
        </w:tc>
        <w:tc>
          <w:tcPr>
            <w:tcW w:type="dxa" w:w="6624"/>
            <w:tcMar>
              <w:top w:w="90" w:type="dxa"/>
              <w:start w:w="100" w:type="dxa"/>
              <w:bottom w:w="90" w:type="dxa"/>
              <w:end w:w="100" w:type="dxa"/>
            </w:tcMar>
            <w:vAlign w:val="center"/>
          </w:tcPr>
          <w:p>
            <w:r>
              <w:rPr>
                <w:color w:val="2A3032"/>
                <w:sz w:val="18"/>
              </w:rPr>
              <w:t>Grafik yığını değil, karar ve yönetim alanı.</w:t>
            </w:r>
          </w:p>
        </w:tc>
      </w:tr>
      <w:tr>
        <w:tc>
          <w:tcPr>
            <w:tcW w:type="dxa" w:w="1872"/>
            <w:tcMar>
              <w:top w:w="90" w:type="dxa"/>
              <w:start w:w="100" w:type="dxa"/>
              <w:bottom w:w="90" w:type="dxa"/>
              <w:end w:w="100" w:type="dxa"/>
            </w:tcMar>
            <w:shd w:fill="F6F9F9"/>
            <w:vAlign w:val="center"/>
          </w:tcPr>
          <w:p>
            <w:r>
              <w:rPr>
                <w:color w:val="2A3032"/>
                <w:sz w:val="18"/>
              </w:rPr>
              <w:t>Native</w:t>
            </w:r>
          </w:p>
        </w:tc>
        <w:tc>
          <w:tcPr>
            <w:tcW w:type="dxa" w:w="6624"/>
            <w:tcMar>
              <w:top w:w="90" w:type="dxa"/>
              <w:start w:w="100" w:type="dxa"/>
              <w:bottom w:w="90" w:type="dxa"/>
              <w:end w:w="100" w:type="dxa"/>
            </w:tcMar>
            <w:shd w:fill="F6F9F9"/>
            <w:vAlign w:val="center"/>
          </w:tcPr>
          <w:p>
            <w:r>
              <w:rPr>
                <w:color w:val="2A3032"/>
                <w:sz w:val="18"/>
              </w:rPr>
              <w:t>Tarayıcı sayfası değil, Apple kalitesinde uygulama hissi.</w:t>
            </w:r>
          </w:p>
        </w:tc>
      </w:tr>
      <w:tr>
        <w:tc>
          <w:tcPr>
            <w:tcW w:type="dxa" w:w="1872"/>
            <w:tcMar>
              <w:top w:w="90" w:type="dxa"/>
              <w:start w:w="100" w:type="dxa"/>
              <w:bottom w:w="90" w:type="dxa"/>
              <w:end w:w="100" w:type="dxa"/>
            </w:tcMar>
            <w:vAlign w:val="center"/>
          </w:tcPr>
          <w:p>
            <w:r>
              <w:rPr>
                <w:color w:val="2A3032"/>
                <w:sz w:val="18"/>
              </w:rPr>
              <w:t>Güvenilir</w:t>
            </w:r>
          </w:p>
        </w:tc>
        <w:tc>
          <w:tcPr>
            <w:tcW w:type="dxa" w:w="6624"/>
            <w:tcMar>
              <w:top w:w="90" w:type="dxa"/>
              <w:start w:w="100" w:type="dxa"/>
              <w:bottom w:w="90" w:type="dxa"/>
              <w:end w:w="100" w:type="dxa"/>
            </w:tcMar>
            <w:vAlign w:val="center"/>
          </w:tcPr>
          <w:p>
            <w:r>
              <w:rPr>
                <w:color w:val="2A3032"/>
                <w:sz w:val="18"/>
              </w:rPr>
              <w:t>Durum, hata, veri eksikliği ve aksiyon sonucu açık.</w:t>
            </w:r>
          </w:p>
        </w:tc>
      </w:tr>
      <w:tr>
        <w:tc>
          <w:tcPr>
            <w:tcW w:type="dxa" w:w="1872"/>
            <w:tcMar>
              <w:top w:w="90" w:type="dxa"/>
              <w:start w:w="100" w:type="dxa"/>
              <w:bottom w:w="90" w:type="dxa"/>
              <w:end w:w="100" w:type="dxa"/>
            </w:tcMar>
            <w:shd w:fill="F6F9F9"/>
            <w:vAlign w:val="center"/>
          </w:tcPr>
          <w:p>
            <w:r>
              <w:rPr>
                <w:color w:val="2A3032"/>
                <w:sz w:val="18"/>
              </w:rPr>
              <w:t>Yaşayan</w:t>
            </w:r>
          </w:p>
        </w:tc>
        <w:tc>
          <w:tcPr>
            <w:tcW w:type="dxa" w:w="6624"/>
            <w:tcMar>
              <w:top w:w="90" w:type="dxa"/>
              <w:start w:w="100" w:type="dxa"/>
              <w:bottom w:w="90" w:type="dxa"/>
              <w:end w:w="100" w:type="dxa"/>
            </w:tcMar>
            <w:shd w:fill="F6F9F9"/>
            <w:vAlign w:val="center"/>
          </w:tcPr>
          <w:p>
            <w:r>
              <w:rPr>
                <w:color w:val="2A3032"/>
                <w:sz w:val="18"/>
              </w:rPr>
              <w:t>METRIX, bildirimler, durumlar ve içerik gerçek veriye göre güncellenir.</w:t>
            </w:r>
          </w:p>
        </w:tc>
      </w:tr>
    </w:tbl>
    <w:p>
      <w:pPr>
        <w:spacing w:after="120" w:line="271" w:lineRule="auto"/>
      </w:pPr>
    </w:p>
    <w:p>
      <w:pPr>
        <w:spacing w:after="120" w:line="271" w:lineRule="auto"/>
      </w:pPr>
      <w:r>
        <w:br w:type="page"/>
      </w:r>
    </w:p>
    <w:p>
      <w:pPr>
        <w:spacing w:before="80" w:after="120" w:line="271" w:lineRule="auto"/>
      </w:pPr>
      <w:r>
        <w:rPr>
          <w:rFonts w:ascii="Aptos" w:hAnsi="Aptos"/>
          <w:b/>
          <w:color w:val="20DCCB"/>
          <w:sz w:val="18"/>
        </w:rPr>
        <w:t>3. KURUCU KATMAN MIMARISI</w:t>
      </w:r>
    </w:p>
    <w:p>
      <w:pPr>
        <w:pStyle w:val="Heading1"/>
        <w:keepNext/>
      </w:pPr>
      <w:r>
        <w:t>Executive App Shell</w:t>
      </w:r>
    </w:p>
    <w:tbl>
      <w:tblPr>
        <w:tblW w:type="auto" w:w="0"/>
        <w:jc w:val="center"/>
        <w:tblLayout w:type="autofit"/>
        <w:tblLook w:firstColumn="1" w:firstRow="1" w:lastColumn="0" w:lastRow="0" w:noHBand="0" w:noVBand="1" w:val="04A0"/>
      </w:tblPr>
      <w:tblGrid>
        <w:gridCol w:w="10166"/>
      </w:tblGrid>
      <w:tr>
        <w:tc>
          <w:tcPr>
            <w:tcW w:type="dxa" w:w="10166"/>
            <w:shd w:fill="F2F8F7"/>
            <w:tcMar>
              <w:top w:w="160" w:type="dxa"/>
              <w:start w:w="190" w:type="dxa"/>
              <w:bottom w:w="160" w:type="dxa"/>
              <w:end w:w="190" w:type="dxa"/>
            </w:tcMar>
            <w:tcBorders>
              <w:top w:val="single" w:sz="8" w:color="20DCCB"/>
              <w:left w:val="single" w:sz="8" w:color="20DCCB"/>
              <w:bottom w:val="single" w:sz="8" w:color="20DCCB"/>
              <w:right w:val="single" w:sz="8" w:color="20DCCB"/>
            </w:tcBorders>
          </w:tcPr>
          <w:p>
            <w:pPr>
              <w:spacing w:after="80"/>
            </w:pPr>
            <w:r>
              <w:rPr>
                <w:b/>
                <w:color w:val="143B42"/>
                <w:sz w:val="22"/>
              </w:rPr>
              <w:t>Canonical component ağacı</w:t>
            </w:r>
          </w:p>
          <w:p>
            <w:pPr>
              <w:spacing w:after="0"/>
            </w:pPr>
            <w:r>
              <w:rPr>
                <w:color w:val="2A3032"/>
                <w:sz w:val="21"/>
              </w:rPr>
              <w:t>ExecutiveAppShell → ExecutiveHeader + ExecutiveWorkspace + ExecutivePresence + ExecutiveDock. Sayfa modülleri yalnız ExecutiveWorkspace içine kendi içeriğini sağlar.</w:t>
            </w:r>
          </w:p>
        </w:tc>
      </w:tr>
    </w:tbl>
    <w:tbl>
      <w:tblPr>
        <w:tblStyle w:val="TableGrid"/>
        <w:tblW w:type="auto" w:w="0"/>
        <w:jc w:val="center"/>
        <w:tblLook w:firstColumn="1" w:firstRow="1" w:lastColumn="0" w:lastRow="0" w:noHBand="0" w:noVBand="1" w:val="04A0"/>
      </w:tblPr>
      <w:tblGrid>
        <w:gridCol w:w="3389"/>
        <w:gridCol w:w="3389"/>
        <w:gridCol w:w="3389"/>
      </w:tblGrid>
      <w:tr>
        <w:tc>
          <w:tcPr>
            <w:tcW w:type="dxa" w:w="2088"/>
            <w:shd w:fill="143B42"/>
            <w:tcMar>
              <w:top w:w="100" w:type="dxa"/>
              <w:start w:w="100" w:type="dxa"/>
              <w:bottom w:w="100" w:type="dxa"/>
              <w:end w:w="100" w:type="dxa"/>
            </w:tcMar>
          </w:tcPr>
          <w:p>
            <w:pPr>
              <w:jc w:val="left"/>
            </w:pPr>
            <w:r>
              <w:rPr>
                <w:b/>
                <w:color w:val="FFFFFF"/>
                <w:sz w:val="19"/>
              </w:rPr>
              <w:t>Katman</w:t>
            </w:r>
          </w:p>
        </w:tc>
        <w:tc>
          <w:tcPr>
            <w:tcW w:type="dxa" w:w="3672"/>
            <w:shd w:fill="143B42"/>
            <w:tcMar>
              <w:top w:w="100" w:type="dxa"/>
              <w:start w:w="100" w:type="dxa"/>
              <w:bottom w:w="100" w:type="dxa"/>
              <w:end w:w="100" w:type="dxa"/>
            </w:tcMar>
          </w:tcPr>
          <w:p>
            <w:pPr>
              <w:jc w:val="left"/>
            </w:pPr>
            <w:r>
              <w:rPr>
                <w:b/>
                <w:color w:val="FFFFFF"/>
                <w:sz w:val="19"/>
              </w:rPr>
              <w:t>Tek sorumluluğu</w:t>
            </w:r>
          </w:p>
        </w:tc>
        <w:tc>
          <w:tcPr>
            <w:tcW w:type="dxa" w:w="3096"/>
            <w:shd w:fill="143B42"/>
            <w:tcMar>
              <w:top w:w="100" w:type="dxa"/>
              <w:start w:w="100" w:type="dxa"/>
              <w:bottom w:w="100" w:type="dxa"/>
              <w:end w:w="100" w:type="dxa"/>
            </w:tcMar>
          </w:tcPr>
          <w:p>
            <w:pPr>
              <w:jc w:val="left"/>
            </w:pPr>
            <w:r>
              <w:rPr>
                <w:b/>
                <w:color w:val="FFFFFF"/>
                <w:sz w:val="19"/>
              </w:rPr>
              <w:t>Sahip olmadığı sorumluluk</w:t>
            </w:r>
          </w:p>
        </w:tc>
      </w:tr>
      <w:tr>
        <w:tc>
          <w:tcPr>
            <w:tcW w:type="dxa" w:w="2088"/>
            <w:tcMar>
              <w:top w:w="90" w:type="dxa"/>
              <w:start w:w="100" w:type="dxa"/>
              <w:bottom w:w="90" w:type="dxa"/>
              <w:end w:w="100" w:type="dxa"/>
            </w:tcMar>
            <w:vAlign w:val="center"/>
          </w:tcPr>
          <w:p>
            <w:r>
              <w:rPr>
                <w:color w:val="2A3032"/>
                <w:sz w:val="18"/>
              </w:rPr>
              <w:t>ExecutiveAppShell</w:t>
            </w:r>
          </w:p>
        </w:tc>
        <w:tc>
          <w:tcPr>
            <w:tcW w:type="dxa" w:w="3672"/>
            <w:tcMar>
              <w:top w:w="90" w:type="dxa"/>
              <w:start w:w="100" w:type="dxa"/>
              <w:bottom w:w="90" w:type="dxa"/>
              <w:end w:w="100" w:type="dxa"/>
            </w:tcMar>
            <w:vAlign w:val="center"/>
          </w:tcPr>
          <w:p>
            <w:r>
              <w:rPr>
                <w:color w:val="2A3032"/>
                <w:sz w:val="18"/>
              </w:rPr>
              <w:t>Viewport, safe-area, header/workspace/dock geometrisi, route bağlamı</w:t>
            </w:r>
          </w:p>
        </w:tc>
        <w:tc>
          <w:tcPr>
            <w:tcW w:type="dxa" w:w="3096"/>
            <w:tcMar>
              <w:top w:w="90" w:type="dxa"/>
              <w:start w:w="100" w:type="dxa"/>
              <w:bottom w:w="90" w:type="dxa"/>
              <w:end w:w="100" w:type="dxa"/>
            </w:tcMar>
            <w:vAlign w:val="center"/>
          </w:tcPr>
          <w:p>
            <w:r>
              <w:rPr>
                <w:color w:val="2A3032"/>
                <w:sz w:val="18"/>
              </w:rPr>
              <w:t>Domain verisi ve iş kararı</w:t>
            </w:r>
          </w:p>
        </w:tc>
      </w:tr>
      <w:tr>
        <w:tc>
          <w:tcPr>
            <w:tcW w:type="dxa" w:w="2088"/>
            <w:tcMar>
              <w:top w:w="90" w:type="dxa"/>
              <w:start w:w="100" w:type="dxa"/>
              <w:bottom w:w="90" w:type="dxa"/>
              <w:end w:w="100" w:type="dxa"/>
            </w:tcMar>
            <w:shd w:fill="F6F9F9"/>
            <w:vAlign w:val="center"/>
          </w:tcPr>
          <w:p>
            <w:r>
              <w:rPr>
                <w:color w:val="2A3032"/>
                <w:sz w:val="18"/>
              </w:rPr>
              <w:t>ExecutiveHeader</w:t>
            </w:r>
          </w:p>
        </w:tc>
        <w:tc>
          <w:tcPr>
            <w:tcW w:type="dxa" w:w="3672"/>
            <w:tcMar>
              <w:top w:w="90" w:type="dxa"/>
              <w:start w:w="100" w:type="dxa"/>
              <w:bottom w:w="90" w:type="dxa"/>
              <w:end w:w="100" w:type="dxa"/>
            </w:tcMar>
            <w:shd w:fill="F6F9F9"/>
            <w:vAlign w:val="center"/>
          </w:tcPr>
          <w:p>
            <w:r>
              <w:rPr>
                <w:color w:val="2A3032"/>
                <w:sz w:val="18"/>
              </w:rPr>
              <w:t>Marka, aktif sayfa kimliği, bildirim, profil/Executive Presence</w:t>
            </w:r>
          </w:p>
        </w:tc>
        <w:tc>
          <w:tcPr>
            <w:tcW w:type="dxa" w:w="3096"/>
            <w:tcMar>
              <w:top w:w="90" w:type="dxa"/>
              <w:start w:w="100" w:type="dxa"/>
              <w:bottom w:w="90" w:type="dxa"/>
              <w:end w:w="100" w:type="dxa"/>
            </w:tcMar>
            <w:shd w:fill="F6F9F9"/>
            <w:vAlign w:val="center"/>
          </w:tcPr>
          <w:p>
            <w:r>
              <w:rPr>
                <w:color w:val="2A3032"/>
                <w:sz w:val="18"/>
              </w:rPr>
              <w:t>Sayfa içeriği veya domain mutation</w:t>
            </w:r>
          </w:p>
        </w:tc>
      </w:tr>
      <w:tr>
        <w:tc>
          <w:tcPr>
            <w:tcW w:type="dxa" w:w="2088"/>
            <w:tcMar>
              <w:top w:w="90" w:type="dxa"/>
              <w:start w:w="100" w:type="dxa"/>
              <w:bottom w:w="90" w:type="dxa"/>
              <w:end w:w="100" w:type="dxa"/>
            </w:tcMar>
            <w:vAlign w:val="center"/>
          </w:tcPr>
          <w:p>
            <w:r>
              <w:rPr>
                <w:color w:val="2A3032"/>
                <w:sz w:val="18"/>
              </w:rPr>
              <w:t>ExecutiveWorkspace</w:t>
            </w:r>
          </w:p>
        </w:tc>
        <w:tc>
          <w:tcPr>
            <w:tcW w:type="dxa" w:w="3672"/>
            <w:tcMar>
              <w:top w:w="90" w:type="dxa"/>
              <w:start w:w="100" w:type="dxa"/>
              <w:bottom w:w="90" w:type="dxa"/>
              <w:end w:w="100" w:type="dxa"/>
            </w:tcMar>
            <w:vAlign w:val="center"/>
          </w:tcPr>
          <w:p>
            <w:r>
              <w:rPr>
                <w:color w:val="2A3032"/>
                <w:sz w:val="18"/>
              </w:rPr>
              <w:t>Aktif modülün ana çalışma yüzeyi ve scroll container’ı</w:t>
            </w:r>
          </w:p>
        </w:tc>
        <w:tc>
          <w:tcPr>
            <w:tcW w:type="dxa" w:w="3096"/>
            <w:tcMar>
              <w:top w:w="90" w:type="dxa"/>
              <w:start w:w="100" w:type="dxa"/>
              <w:bottom w:w="90" w:type="dxa"/>
              <w:end w:w="100" w:type="dxa"/>
            </w:tcMar>
            <w:vAlign w:val="center"/>
          </w:tcPr>
          <w:p>
            <w:r>
              <w:rPr>
                <w:color w:val="2A3032"/>
                <w:sz w:val="18"/>
              </w:rPr>
              <w:t>Global navigasyon veya dock geometrisi</w:t>
            </w:r>
          </w:p>
        </w:tc>
      </w:tr>
      <w:tr>
        <w:tc>
          <w:tcPr>
            <w:tcW w:type="dxa" w:w="2088"/>
            <w:tcMar>
              <w:top w:w="90" w:type="dxa"/>
              <w:start w:w="100" w:type="dxa"/>
              <w:bottom w:w="90" w:type="dxa"/>
              <w:end w:w="100" w:type="dxa"/>
            </w:tcMar>
            <w:shd w:fill="F6F9F9"/>
            <w:vAlign w:val="center"/>
          </w:tcPr>
          <w:p>
            <w:r>
              <w:rPr>
                <w:color w:val="2A3032"/>
                <w:sz w:val="18"/>
              </w:rPr>
              <w:t>ExecutivePresence</w:t>
            </w:r>
          </w:p>
        </w:tc>
        <w:tc>
          <w:tcPr>
            <w:tcW w:type="dxa" w:w="3672"/>
            <w:tcMar>
              <w:top w:w="90" w:type="dxa"/>
              <w:start w:w="100" w:type="dxa"/>
              <w:bottom w:w="90" w:type="dxa"/>
              <w:end w:w="100" w:type="dxa"/>
            </w:tcMar>
            <w:shd w:fill="F6F9F9"/>
            <w:vAlign w:val="center"/>
          </w:tcPr>
          <w:p>
            <w:r>
              <w:rPr>
                <w:color w:val="2A3032"/>
                <w:sz w:val="18"/>
              </w:rPr>
              <w:t>METRIX’in görünür varlığı, voice giriş noktası ve durum göstergesi</w:t>
            </w:r>
          </w:p>
        </w:tc>
        <w:tc>
          <w:tcPr>
            <w:tcW w:type="dxa" w:w="3096"/>
            <w:tcMar>
              <w:top w:w="90" w:type="dxa"/>
              <w:start w:w="100" w:type="dxa"/>
              <w:bottom w:w="90" w:type="dxa"/>
              <w:end w:w="100" w:type="dxa"/>
            </w:tcMar>
            <w:shd w:fill="F6F9F9"/>
            <w:vAlign w:val="center"/>
          </w:tcPr>
          <w:p>
            <w:r>
              <w:rPr>
                <w:color w:val="2A3032"/>
                <w:sz w:val="18"/>
              </w:rPr>
              <w:t>İkinci persona veya ayrı response producer</w:t>
            </w:r>
          </w:p>
        </w:tc>
      </w:tr>
      <w:tr>
        <w:tc>
          <w:tcPr>
            <w:tcW w:type="dxa" w:w="2088"/>
            <w:tcMar>
              <w:top w:w="90" w:type="dxa"/>
              <w:start w:w="100" w:type="dxa"/>
              <w:bottom w:w="90" w:type="dxa"/>
              <w:end w:w="100" w:type="dxa"/>
            </w:tcMar>
            <w:vAlign w:val="center"/>
          </w:tcPr>
          <w:p>
            <w:r>
              <w:rPr>
                <w:color w:val="2A3032"/>
                <w:sz w:val="18"/>
              </w:rPr>
              <w:t>ExecutiveDock</w:t>
            </w:r>
          </w:p>
        </w:tc>
        <w:tc>
          <w:tcPr>
            <w:tcW w:type="dxa" w:w="3672"/>
            <w:tcMar>
              <w:top w:w="90" w:type="dxa"/>
              <w:start w:w="100" w:type="dxa"/>
              <w:bottom w:w="90" w:type="dxa"/>
              <w:end w:w="100" w:type="dxa"/>
            </w:tcMar>
            <w:vAlign w:val="center"/>
          </w:tcPr>
          <w:p>
            <w:r>
              <w:rPr>
                <w:color w:val="2A3032"/>
                <w:sz w:val="18"/>
              </w:rPr>
              <w:t>Ana product navigation ve aktif route durumu</w:t>
            </w:r>
          </w:p>
        </w:tc>
        <w:tc>
          <w:tcPr>
            <w:tcW w:type="dxa" w:w="3096"/>
            <w:tcMar>
              <w:top w:w="90" w:type="dxa"/>
              <w:start w:w="100" w:type="dxa"/>
              <w:bottom w:w="90" w:type="dxa"/>
              <w:end w:w="100" w:type="dxa"/>
            </w:tcMar>
            <w:vAlign w:val="center"/>
          </w:tcPr>
          <w:p>
            <w:r>
              <w:rPr>
                <w:color w:val="2A3032"/>
                <w:sz w:val="18"/>
              </w:rPr>
              <w:t>Local demo tab state veya placeholder authority</w:t>
            </w:r>
          </w:p>
        </w:tc>
      </w:tr>
      <w:tr>
        <w:tc>
          <w:tcPr>
            <w:tcW w:type="dxa" w:w="2088"/>
            <w:tcMar>
              <w:top w:w="90" w:type="dxa"/>
              <w:start w:w="100" w:type="dxa"/>
              <w:bottom w:w="90" w:type="dxa"/>
              <w:end w:w="100" w:type="dxa"/>
            </w:tcMar>
            <w:shd w:fill="F6F9F9"/>
            <w:vAlign w:val="center"/>
          </w:tcPr>
          <w:p>
            <w:r>
              <w:rPr>
                <w:color w:val="2A3032"/>
                <w:sz w:val="18"/>
              </w:rPr>
              <w:t>Page Module</w:t>
            </w:r>
          </w:p>
        </w:tc>
        <w:tc>
          <w:tcPr>
            <w:tcW w:type="dxa" w:w="3672"/>
            <w:tcMar>
              <w:top w:w="90" w:type="dxa"/>
              <w:start w:w="100" w:type="dxa"/>
              <w:bottom w:w="90" w:type="dxa"/>
              <w:end w:w="100" w:type="dxa"/>
            </w:tcMar>
            <w:shd w:fill="F6F9F9"/>
            <w:vAlign w:val="center"/>
          </w:tcPr>
          <w:p>
            <w:r>
              <w:rPr>
                <w:color w:val="2A3032"/>
                <w:sz w:val="18"/>
              </w:rPr>
              <w:t>Modüle özgü kartlar, listeler, paneller, düzenleme yüzeyleri</w:t>
            </w:r>
          </w:p>
        </w:tc>
        <w:tc>
          <w:tcPr>
            <w:tcW w:type="dxa" w:w="3096"/>
            <w:tcMar>
              <w:top w:w="90" w:type="dxa"/>
              <w:start w:w="100" w:type="dxa"/>
              <w:bottom w:w="90" w:type="dxa"/>
              <w:end w:w="100" w:type="dxa"/>
            </w:tcMar>
            <w:shd w:fill="F6F9F9"/>
            <w:vAlign w:val="center"/>
          </w:tcPr>
          <w:p>
            <w:r>
              <w:rPr>
                <w:color w:val="2A3032"/>
                <w:sz w:val="18"/>
              </w:rPr>
              <w:t>Global header/dock tasarımı</w:t>
            </w:r>
          </w:p>
        </w:tc>
      </w:tr>
    </w:tbl>
    <w:p>
      <w:pPr>
        <w:spacing w:after="120" w:line="271" w:lineRule="auto"/>
      </w:pPr>
    </w:p>
    <w:p>
      <w:pPr>
        <w:pStyle w:val="Heading2"/>
        <w:keepNext/>
      </w:pPr>
      <w:r>
        <w:t>Önerilen kod sözleşmesi</w:t>
      </w:r>
    </w:p>
    <w:p>
      <w:pPr>
        <w:pStyle w:val="ListBullet"/>
      </w:pPr>
      <w:r>
        <w:rPr>
          <w:rFonts w:ascii="Aptos Mono" w:hAnsi="Aptos Mono"/>
          <w:sz w:val="19"/>
        </w:rPr>
        <w:t>src/components/executive-shell/ExecutiveAppShell.tsx</w:t>
      </w:r>
    </w:p>
    <w:p>
      <w:pPr>
        <w:pStyle w:val="ListBullet"/>
      </w:pPr>
      <w:r>
        <w:rPr>
          <w:rFonts w:ascii="Aptos Mono" w:hAnsi="Aptos Mono"/>
          <w:sz w:val="19"/>
        </w:rPr>
        <w:t>src/components/executive-shell/ExecutiveHeader.tsx</w:t>
      </w:r>
    </w:p>
    <w:p>
      <w:pPr>
        <w:pStyle w:val="ListBullet"/>
      </w:pPr>
      <w:r>
        <w:rPr>
          <w:rFonts w:ascii="Aptos Mono" w:hAnsi="Aptos Mono"/>
          <w:sz w:val="19"/>
        </w:rPr>
        <w:t>src/components/executive-shell/ExecutiveWorkspace.tsx</w:t>
      </w:r>
    </w:p>
    <w:p>
      <w:pPr>
        <w:pStyle w:val="ListBullet"/>
      </w:pPr>
      <w:r>
        <w:rPr>
          <w:rFonts w:ascii="Aptos Mono" w:hAnsi="Aptos Mono"/>
          <w:sz w:val="19"/>
        </w:rPr>
        <w:t>src/components/executive-shell/ExecutiveDock.tsx</w:t>
      </w:r>
    </w:p>
    <w:p>
      <w:pPr>
        <w:pStyle w:val="ListBullet"/>
      </w:pPr>
      <w:r>
        <w:rPr>
          <w:rFonts w:ascii="Aptos Mono" w:hAnsi="Aptos Mono"/>
          <w:sz w:val="19"/>
        </w:rPr>
        <w:t>src/components/executive-shell/ExecutivePresence.tsx</w:t>
      </w:r>
    </w:p>
    <w:p>
      <w:pPr>
        <w:pStyle w:val="ListBullet"/>
      </w:pPr>
      <w:r>
        <w:rPr>
          <w:rFonts w:ascii="Aptos Mono" w:hAnsi="Aptos Mono"/>
          <w:sz w:val="19"/>
        </w:rPr>
        <w:t>src/components/executive-ui/ExecutiveMetricCard.tsx</w:t>
      </w:r>
    </w:p>
    <w:p>
      <w:pPr>
        <w:pStyle w:val="ListBullet"/>
      </w:pPr>
      <w:r>
        <w:rPr>
          <w:rFonts w:ascii="Aptos Mono" w:hAnsi="Aptos Mono"/>
          <w:sz w:val="19"/>
        </w:rPr>
        <w:t>src/components/executive-ui/ExecutiveSection.tsx</w:t>
      </w:r>
    </w:p>
    <w:p>
      <w:pPr>
        <w:pStyle w:val="ListBullet"/>
      </w:pPr>
      <w:r>
        <w:rPr>
          <w:rFonts w:ascii="Aptos Mono" w:hAnsi="Aptos Mono"/>
          <w:sz w:val="19"/>
        </w:rPr>
        <w:t>src/components/executive-ui/ExecutiveRow.tsx</w:t>
      </w:r>
    </w:p>
    <w:p>
      <w:pPr>
        <w:pStyle w:val="ListBullet"/>
      </w:pPr>
      <w:r>
        <w:rPr>
          <w:rFonts w:ascii="Aptos Mono" w:hAnsi="Aptos Mono"/>
          <w:sz w:val="19"/>
        </w:rPr>
        <w:t>src/components/executive-ui/ExecutiveIconBadge.tsx</w:t>
      </w:r>
    </w:p>
    <w:p>
      <w:pPr>
        <w:pStyle w:val="ListBullet"/>
      </w:pPr>
      <w:r>
        <w:rPr>
          <w:rFonts w:ascii="Aptos Mono" w:hAnsi="Aptos Mono"/>
          <w:sz w:val="19"/>
        </w:rPr>
        <w:t>src/styles/executive-tokens.css</w:t>
      </w:r>
    </w:p>
    <w:p>
      <w:pPr>
        <w:spacing w:after="120" w:line="271" w:lineRule="auto"/>
      </w:pPr>
      <w:r>
        <w:br w:type="page"/>
      </w:r>
    </w:p>
    <w:p>
      <w:pPr>
        <w:spacing w:before="80" w:after="120" w:line="271" w:lineRule="auto"/>
      </w:pPr>
      <w:r>
        <w:rPr>
          <w:rFonts w:ascii="Aptos" w:hAnsi="Aptos"/>
          <w:b/>
          <w:color w:val="20DCCB"/>
          <w:sz w:val="18"/>
        </w:rPr>
        <w:t>4. VIEWPORT VE SCROLL SÖZLEŞMESI</w:t>
      </w:r>
    </w:p>
    <w:p>
      <w:pPr>
        <w:pStyle w:val="Heading1"/>
        <w:keepNext/>
      </w:pPr>
      <w:r>
        <w:t>Sayfanın Tamamı Scroll Etmez</w:t>
      </w:r>
    </w:p>
    <w:p>
      <w:pPr>
        <w:spacing w:after="120" w:line="271" w:lineRule="auto"/>
      </w:pPr>
      <w:r>
        <w:t>Ana ürün kabuğu viewport yüksekliğine kilitlenir. Header ve dock sabit kalır. Kullanıcının aktif çalışma alanı, kalan yüksekliği dolduran tek ana scroll container’dır. Bu yaklaşım mobilde ve masaüstünde uygulama hissini korur.</w:t>
      </w:r>
    </w:p>
    <w:tbl>
      <w:tblPr>
        <w:tblStyle w:val="TableGrid"/>
        <w:tblW w:type="auto" w:w="0"/>
        <w:jc w:val="center"/>
        <w:tblLook w:firstColumn="1" w:firstRow="1" w:lastColumn="0" w:lastRow="0" w:noHBand="0" w:noVBand="1" w:val="04A0"/>
      </w:tblPr>
      <w:tblGrid>
        <w:gridCol w:w="5083"/>
        <w:gridCol w:w="5083"/>
      </w:tblGrid>
      <w:tr>
        <w:tc>
          <w:tcPr>
            <w:tcW w:type="dxa" w:w="2880"/>
            <w:shd w:fill="143B42"/>
            <w:tcMar>
              <w:top w:w="100" w:type="dxa"/>
              <w:start w:w="100" w:type="dxa"/>
              <w:bottom w:w="100" w:type="dxa"/>
              <w:end w:w="100" w:type="dxa"/>
            </w:tcMar>
          </w:tcPr>
          <w:p>
            <w:pPr>
              <w:jc w:val="left"/>
            </w:pPr>
            <w:r>
              <w:rPr>
                <w:b/>
                <w:color w:val="FFFFFF"/>
                <w:sz w:val="19"/>
              </w:rPr>
              <w:t>Alan</w:t>
            </w:r>
          </w:p>
        </w:tc>
        <w:tc>
          <w:tcPr>
            <w:tcW w:type="dxa" w:w="6048"/>
            <w:shd w:fill="143B42"/>
            <w:tcMar>
              <w:top w:w="100" w:type="dxa"/>
              <w:start w:w="100" w:type="dxa"/>
              <w:bottom w:w="100" w:type="dxa"/>
              <w:end w:w="100" w:type="dxa"/>
            </w:tcMar>
          </w:tcPr>
          <w:p>
            <w:pPr>
              <w:jc w:val="left"/>
            </w:pPr>
            <w:r>
              <w:rPr>
                <w:b/>
                <w:color w:val="FFFFFF"/>
                <w:sz w:val="19"/>
              </w:rPr>
              <w:t>Zorunlu davranış</w:t>
            </w:r>
          </w:p>
        </w:tc>
      </w:tr>
      <w:tr>
        <w:tc>
          <w:tcPr>
            <w:tcW w:type="dxa" w:w="2880"/>
            <w:tcMar>
              <w:top w:w="90" w:type="dxa"/>
              <w:start w:w="100" w:type="dxa"/>
              <w:bottom w:w="90" w:type="dxa"/>
              <w:end w:w="100" w:type="dxa"/>
            </w:tcMar>
            <w:vAlign w:val="center"/>
          </w:tcPr>
          <w:p>
            <w:r>
              <w:rPr>
                <w:color w:val="2A3032"/>
                <w:sz w:val="18"/>
              </w:rPr>
              <w:t>html / body</w:t>
            </w:r>
          </w:p>
        </w:tc>
        <w:tc>
          <w:tcPr>
            <w:tcW w:type="dxa" w:w="6048"/>
            <w:tcMar>
              <w:top w:w="90" w:type="dxa"/>
              <w:start w:w="100" w:type="dxa"/>
              <w:bottom w:w="90" w:type="dxa"/>
              <w:end w:w="100" w:type="dxa"/>
            </w:tcMar>
            <w:vAlign w:val="center"/>
          </w:tcPr>
          <w:p>
            <w:r>
              <w:rPr>
                <w:color w:val="2A3032"/>
                <w:sz w:val="18"/>
              </w:rPr>
              <w:t>height: 100%; overflow: hidden</w:t>
            </w:r>
          </w:p>
        </w:tc>
      </w:tr>
      <w:tr>
        <w:tc>
          <w:tcPr>
            <w:tcW w:type="dxa" w:w="2880"/>
            <w:tcMar>
              <w:top w:w="90" w:type="dxa"/>
              <w:start w:w="100" w:type="dxa"/>
              <w:bottom w:w="90" w:type="dxa"/>
              <w:end w:w="100" w:type="dxa"/>
            </w:tcMar>
            <w:shd w:fill="F6F9F9"/>
            <w:vAlign w:val="center"/>
          </w:tcPr>
          <w:p>
            <w:r>
              <w:rPr>
                <w:color w:val="2A3032"/>
                <w:sz w:val="18"/>
              </w:rPr>
              <w:t>Root shell</w:t>
            </w:r>
          </w:p>
        </w:tc>
        <w:tc>
          <w:tcPr>
            <w:tcW w:type="dxa" w:w="6048"/>
            <w:tcMar>
              <w:top w:w="90" w:type="dxa"/>
              <w:start w:w="100" w:type="dxa"/>
              <w:bottom w:w="90" w:type="dxa"/>
              <w:end w:w="100" w:type="dxa"/>
            </w:tcMar>
            <w:shd w:fill="F6F9F9"/>
            <w:vAlign w:val="center"/>
          </w:tcPr>
          <w:p>
            <w:r>
              <w:rPr>
                <w:color w:val="2A3032"/>
                <w:sz w:val="18"/>
              </w:rPr>
              <w:t>min-height: 100dvh; height: 100dvh; overflow: hidden</w:t>
            </w:r>
          </w:p>
        </w:tc>
      </w:tr>
      <w:tr>
        <w:tc>
          <w:tcPr>
            <w:tcW w:type="dxa" w:w="2880"/>
            <w:tcMar>
              <w:top w:w="90" w:type="dxa"/>
              <w:start w:w="100" w:type="dxa"/>
              <w:bottom w:w="90" w:type="dxa"/>
              <w:end w:w="100" w:type="dxa"/>
            </w:tcMar>
            <w:vAlign w:val="center"/>
          </w:tcPr>
          <w:p>
            <w:r>
              <w:rPr>
                <w:color w:val="2A3032"/>
                <w:sz w:val="18"/>
              </w:rPr>
              <w:t>Header</w:t>
            </w:r>
          </w:p>
        </w:tc>
        <w:tc>
          <w:tcPr>
            <w:tcW w:type="dxa" w:w="6048"/>
            <w:tcMar>
              <w:top w:w="90" w:type="dxa"/>
              <w:start w:w="100" w:type="dxa"/>
              <w:bottom w:w="90" w:type="dxa"/>
              <w:end w:w="100" w:type="dxa"/>
            </w:tcMar>
            <w:vAlign w:val="center"/>
          </w:tcPr>
          <w:p>
            <w:r>
              <w:rPr>
                <w:color w:val="2A3032"/>
                <w:sz w:val="18"/>
              </w:rPr>
              <w:t>Flex içinde sabit yükseklik; shrink olmaz</w:t>
            </w:r>
          </w:p>
        </w:tc>
      </w:tr>
      <w:tr>
        <w:tc>
          <w:tcPr>
            <w:tcW w:type="dxa" w:w="2880"/>
            <w:tcMar>
              <w:top w:w="90" w:type="dxa"/>
              <w:start w:w="100" w:type="dxa"/>
              <w:bottom w:w="90" w:type="dxa"/>
              <w:end w:w="100" w:type="dxa"/>
            </w:tcMar>
            <w:shd w:fill="F6F9F9"/>
            <w:vAlign w:val="center"/>
          </w:tcPr>
          <w:p>
            <w:r>
              <w:rPr>
                <w:color w:val="2A3032"/>
                <w:sz w:val="18"/>
              </w:rPr>
              <w:t>Workspace</w:t>
            </w:r>
          </w:p>
        </w:tc>
        <w:tc>
          <w:tcPr>
            <w:tcW w:type="dxa" w:w="6048"/>
            <w:tcMar>
              <w:top w:w="90" w:type="dxa"/>
              <w:start w:w="100" w:type="dxa"/>
              <w:bottom w:w="90" w:type="dxa"/>
              <w:end w:w="100" w:type="dxa"/>
            </w:tcMar>
            <w:shd w:fill="F6F9F9"/>
            <w:vAlign w:val="center"/>
          </w:tcPr>
          <w:p>
            <w:r>
              <w:rPr>
                <w:color w:val="2A3032"/>
                <w:sz w:val="18"/>
              </w:rPr>
              <w:t>flex: 1; min-height: 0; overflow: hidden</w:t>
            </w:r>
          </w:p>
        </w:tc>
      </w:tr>
      <w:tr>
        <w:tc>
          <w:tcPr>
            <w:tcW w:type="dxa" w:w="2880"/>
            <w:tcMar>
              <w:top w:w="90" w:type="dxa"/>
              <w:start w:w="100" w:type="dxa"/>
              <w:bottom w:w="90" w:type="dxa"/>
              <w:end w:w="100" w:type="dxa"/>
            </w:tcMar>
            <w:vAlign w:val="center"/>
          </w:tcPr>
          <w:p>
            <w:r>
              <w:rPr>
                <w:color w:val="2A3032"/>
                <w:sz w:val="18"/>
              </w:rPr>
              <w:t>Workspace content</w:t>
            </w:r>
          </w:p>
        </w:tc>
        <w:tc>
          <w:tcPr>
            <w:tcW w:type="dxa" w:w="6048"/>
            <w:tcMar>
              <w:top w:w="90" w:type="dxa"/>
              <w:start w:w="100" w:type="dxa"/>
              <w:bottom w:w="90" w:type="dxa"/>
              <w:end w:w="100" w:type="dxa"/>
            </w:tcMar>
            <w:vAlign w:val="center"/>
          </w:tcPr>
          <w:p>
            <w:r>
              <w:rPr>
                <w:color w:val="2A3032"/>
                <w:sz w:val="18"/>
              </w:rPr>
              <w:t>overflow-y: auto; overscroll-behavior: contain</w:t>
            </w:r>
          </w:p>
        </w:tc>
      </w:tr>
      <w:tr>
        <w:tc>
          <w:tcPr>
            <w:tcW w:type="dxa" w:w="2880"/>
            <w:tcMar>
              <w:top w:w="90" w:type="dxa"/>
              <w:start w:w="100" w:type="dxa"/>
              <w:bottom w:w="90" w:type="dxa"/>
              <w:end w:w="100" w:type="dxa"/>
            </w:tcMar>
            <w:shd w:fill="F6F9F9"/>
            <w:vAlign w:val="center"/>
          </w:tcPr>
          <w:p>
            <w:r>
              <w:rPr>
                <w:color w:val="2A3032"/>
                <w:sz w:val="18"/>
              </w:rPr>
              <w:t>Dock layer</w:t>
            </w:r>
          </w:p>
        </w:tc>
        <w:tc>
          <w:tcPr>
            <w:tcW w:type="dxa" w:w="6048"/>
            <w:tcMar>
              <w:top w:w="90" w:type="dxa"/>
              <w:start w:w="100" w:type="dxa"/>
              <w:bottom w:w="90" w:type="dxa"/>
              <w:end w:w="100" w:type="dxa"/>
            </w:tcMar>
            <w:shd w:fill="F6F9F9"/>
            <w:vAlign w:val="center"/>
          </w:tcPr>
          <w:p>
            <w:r>
              <w:rPr>
                <w:color w:val="2A3032"/>
                <w:sz w:val="18"/>
              </w:rPr>
              <w:t>fixed veya shell overlay; safe-area aware</w:t>
            </w:r>
          </w:p>
        </w:tc>
      </w:tr>
      <w:tr>
        <w:tc>
          <w:tcPr>
            <w:tcW w:type="dxa" w:w="2880"/>
            <w:tcMar>
              <w:top w:w="90" w:type="dxa"/>
              <w:start w:w="100" w:type="dxa"/>
              <w:bottom w:w="90" w:type="dxa"/>
              <w:end w:w="100" w:type="dxa"/>
            </w:tcMar>
            <w:vAlign w:val="center"/>
          </w:tcPr>
          <w:p>
            <w:r>
              <w:rPr>
                <w:color w:val="2A3032"/>
                <w:sz w:val="18"/>
              </w:rPr>
              <w:t>Content bottom inset</w:t>
            </w:r>
          </w:p>
        </w:tc>
        <w:tc>
          <w:tcPr>
            <w:tcW w:type="dxa" w:w="6048"/>
            <w:tcMar>
              <w:top w:w="90" w:type="dxa"/>
              <w:start w:w="100" w:type="dxa"/>
              <w:bottom w:w="90" w:type="dxa"/>
              <w:end w:w="100" w:type="dxa"/>
            </w:tcMar>
            <w:vAlign w:val="center"/>
          </w:tcPr>
          <w:p>
            <w:r>
              <w:rPr>
                <w:color w:val="2A3032"/>
                <w:sz w:val="18"/>
              </w:rPr>
              <w:t>dock yüksekliği + safe-area + minimum 24 px</w:t>
            </w:r>
          </w:p>
        </w:tc>
      </w:tr>
      <w:tr>
        <w:tc>
          <w:tcPr>
            <w:tcW w:type="dxa" w:w="2880"/>
            <w:tcMar>
              <w:top w:w="90" w:type="dxa"/>
              <w:start w:w="100" w:type="dxa"/>
              <w:bottom w:w="90" w:type="dxa"/>
              <w:end w:w="100" w:type="dxa"/>
            </w:tcMar>
            <w:shd w:fill="F6F9F9"/>
            <w:vAlign w:val="center"/>
          </w:tcPr>
          <w:p>
            <w:r>
              <w:rPr>
                <w:color w:val="2A3032"/>
                <w:sz w:val="18"/>
              </w:rPr>
              <w:t>Nested panels</w:t>
            </w:r>
          </w:p>
        </w:tc>
        <w:tc>
          <w:tcPr>
            <w:tcW w:type="dxa" w:w="6048"/>
            <w:tcMar>
              <w:top w:w="90" w:type="dxa"/>
              <w:start w:w="100" w:type="dxa"/>
              <w:bottom w:w="90" w:type="dxa"/>
              <w:end w:w="100" w:type="dxa"/>
            </w:tcMar>
            <w:shd w:fill="F6F9F9"/>
            <w:vAlign w:val="center"/>
          </w:tcPr>
          <w:p>
            <w:r>
              <w:rPr>
                <w:color w:val="2A3032"/>
                <w:sz w:val="18"/>
              </w:rPr>
              <w:t>Yalnız uzun liste/tablo/akışta iç scroll; gereksiz çoklu scrollbar yasak</w:t>
            </w:r>
          </w:p>
        </w:tc>
      </w:tr>
    </w:tbl>
    <w:p>
      <w:pPr>
        <w:spacing w:after="120" w:line="271" w:lineRule="auto"/>
      </w:pPr>
    </w:p>
    <w:p>
      <w:pPr>
        <w:pStyle w:val="Heading2"/>
        <w:keepNext/>
      </w:pPr>
      <w:r>
        <w:t>Mobil teknik davranış</w:t>
      </w:r>
    </w:p>
    <w:p>
      <w:pPr>
        <w:pStyle w:val="ListBullet"/>
        <w:spacing w:after="40"/>
      </w:pPr>
      <w:r>
        <w:t>100vh yerine 100dvh tercih edilir; mobil tarayıcı barı değişimlerine uyum sağlanır.</w:t>
      </w:r>
    </w:p>
    <w:p>
      <w:pPr>
        <w:pStyle w:val="ListBullet"/>
        <w:spacing w:after="40"/>
      </w:pPr>
      <w:r>
        <w:t>env(safe-area-inset-top) ve env(safe-area-inset-bottom) kullanılır.</w:t>
      </w:r>
    </w:p>
    <w:p>
      <w:pPr>
        <w:pStyle w:val="ListBullet"/>
        <w:spacing w:after="40"/>
      </w:pPr>
      <w:r>
        <w:t>Dock ekranın en altına yapışmaz; home indicator üzerinde optik boşluk bırakır.</w:t>
      </w:r>
    </w:p>
    <w:p>
      <w:pPr>
        <w:pStyle w:val="ListBullet"/>
        <w:spacing w:after="40"/>
      </w:pPr>
      <w:r>
        <w:t>En son içerik satırı dock’un arkasında kalmaz; workspace scroll sonu dock’un üstüne kadar gelir.</w:t>
      </w:r>
    </w:p>
    <w:p>
      <w:pPr>
        <w:pStyle w:val="ListBullet"/>
        <w:spacing w:after="40"/>
      </w:pPr>
      <w:r>
        <w:t>Touch alanları minimum 44×44 CSS px olmalıdır.</w:t>
      </w:r>
    </w:p>
    <w:p>
      <w:pPr>
        <w:pStyle w:val="ListBullet"/>
        <w:spacing w:after="40"/>
      </w:pPr>
      <w:r>
        <w:t>Scroll momentum korunur; iOS için doğal inertial scrolling davranışı engellenmez.</w:t>
      </w:r>
    </w:p>
    <w:p>
      <w:pPr>
        <w:pStyle w:val="Heading2"/>
        <w:keepNext/>
      </w:pPr>
      <w:r>
        <w:t>Masaüstü teknik davranış</w:t>
      </w:r>
    </w:p>
    <w:p>
      <w:pPr>
        <w:pStyle w:val="ListBullet"/>
        <w:spacing w:after="40"/>
      </w:pPr>
      <w:r>
        <w:t>Uygulama kabuğu ekranı doldurur; dış body scroll oluşmaz.</w:t>
      </w:r>
    </w:p>
    <w:p>
      <w:pPr>
        <w:pStyle w:val="ListBullet"/>
        <w:spacing w:after="40"/>
      </w:pPr>
      <w:r>
        <w:t>Ana içerik belirli bir max-width içinde ortalanır; geniş ekranlarda satır uzunluğu kontrol edilir.</w:t>
      </w:r>
    </w:p>
    <w:p>
      <w:pPr>
        <w:pStyle w:val="ListBullet"/>
        <w:spacing w:after="40"/>
      </w:pPr>
      <w:r>
        <w:t>Dock mobil tasarımının büyütülmüş kopyası olmaz; daha yatay, daha sakin ve optik olarak dengeli ölçeklenir.</w:t>
      </w:r>
    </w:p>
    <w:p>
      <w:pPr>
        <w:pStyle w:val="ListBullet"/>
        <w:spacing w:after="40"/>
      </w:pPr>
      <w:r>
        <w:t>İç paneller, ihtiyaç varsa kendi scroll alanlarını kullanabilir; bütün sayfanın aşağı doğru uzaması varsayılan değildir.</w:t>
      </w:r>
    </w:p>
    <w:p>
      <w:pPr>
        <w:spacing w:after="120" w:line="271" w:lineRule="auto"/>
      </w:pPr>
      <w:r>
        <w:br w:type="page"/>
      </w:r>
    </w:p>
    <w:p>
      <w:pPr>
        <w:spacing w:before="80" w:after="120" w:line="271" w:lineRule="auto"/>
      </w:pPr>
      <w:r>
        <w:rPr>
          <w:rFonts w:ascii="Aptos" w:hAnsi="Aptos"/>
          <w:b/>
          <w:color w:val="20DCCB"/>
          <w:sz w:val="18"/>
        </w:rPr>
        <w:t>5. EXECUTIVE HEADER</w:t>
      </w:r>
    </w:p>
    <w:p>
      <w:pPr>
        <w:pStyle w:val="Heading1"/>
        <w:keepNext/>
      </w:pPr>
      <w:r>
        <w:t>Üst Uygulama Barı</w:t>
      </w:r>
    </w:p>
    <w:p>
      <w:pPr>
        <w:spacing w:after="120" w:line="271" w:lineRule="auto"/>
      </w:pPr>
      <w:r>
        <w:t>Header, bütün ürün yüzeylerinde METRIX kimliğini ve aktif çalışma bağlamını taşıyan sabit uygulama katmanıdır. Şirketim sayfasında beğenilen yapı tüm modüller için standarttır.</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43B42"/>
            <w:tcMar>
              <w:top w:w="100" w:type="dxa"/>
              <w:start w:w="100" w:type="dxa"/>
              <w:bottom w:w="100" w:type="dxa"/>
              <w:end w:w="100" w:type="dxa"/>
            </w:tcMar>
          </w:tcPr>
          <w:p>
            <w:pPr>
              <w:jc w:val="left"/>
            </w:pPr>
            <w:r>
              <w:rPr>
                <w:b/>
                <w:color w:val="FFFFFF"/>
                <w:sz w:val="19"/>
              </w:rPr>
              <w:t>Bölge</w:t>
            </w:r>
          </w:p>
        </w:tc>
        <w:tc>
          <w:tcPr>
            <w:tcW w:type="dxa" w:w="3312"/>
            <w:shd w:fill="143B42"/>
            <w:tcMar>
              <w:top w:w="100" w:type="dxa"/>
              <w:start w:w="100" w:type="dxa"/>
              <w:bottom w:w="100" w:type="dxa"/>
              <w:end w:w="100" w:type="dxa"/>
            </w:tcMar>
          </w:tcPr>
          <w:p>
            <w:pPr>
              <w:jc w:val="left"/>
            </w:pPr>
            <w:r>
              <w:rPr>
                <w:b/>
                <w:color w:val="FFFFFF"/>
                <w:sz w:val="19"/>
              </w:rPr>
              <w:t>İçerik</w:t>
            </w:r>
          </w:p>
        </w:tc>
        <w:tc>
          <w:tcPr>
            <w:tcW w:type="dxa" w:w="4320"/>
            <w:shd w:fill="143B42"/>
            <w:tcMar>
              <w:top w:w="100" w:type="dxa"/>
              <w:start w:w="100" w:type="dxa"/>
              <w:bottom w:w="100" w:type="dxa"/>
              <w:end w:w="100" w:type="dxa"/>
            </w:tcMar>
          </w:tcPr>
          <w:p>
            <w:pPr>
              <w:jc w:val="left"/>
            </w:pPr>
            <w:r>
              <w:rPr>
                <w:b/>
                <w:color w:val="FFFFFF"/>
                <w:sz w:val="19"/>
              </w:rPr>
              <w:t>Davranış</w:t>
            </w:r>
          </w:p>
        </w:tc>
      </w:tr>
      <w:tr>
        <w:tc>
          <w:tcPr>
            <w:tcW w:type="dxa" w:w="1440"/>
            <w:tcMar>
              <w:top w:w="90" w:type="dxa"/>
              <w:start w:w="100" w:type="dxa"/>
              <w:bottom w:w="90" w:type="dxa"/>
              <w:end w:w="100" w:type="dxa"/>
            </w:tcMar>
            <w:vAlign w:val="center"/>
          </w:tcPr>
          <w:p>
            <w:r>
              <w:rPr>
                <w:color w:val="2A3032"/>
                <w:sz w:val="18"/>
              </w:rPr>
              <w:t>Sol</w:t>
            </w:r>
          </w:p>
        </w:tc>
        <w:tc>
          <w:tcPr>
            <w:tcW w:type="dxa" w:w="3312"/>
            <w:tcMar>
              <w:top w:w="90" w:type="dxa"/>
              <w:start w:w="100" w:type="dxa"/>
              <w:bottom w:w="90" w:type="dxa"/>
              <w:end w:w="100" w:type="dxa"/>
            </w:tcMar>
            <w:vAlign w:val="center"/>
          </w:tcPr>
          <w:p>
            <w:r>
              <w:rPr>
                <w:color w:val="2A3032"/>
                <w:sz w:val="18"/>
              </w:rPr>
              <w:t>METRIX M logosu + METRIX wordmark</w:t>
            </w:r>
          </w:p>
        </w:tc>
        <w:tc>
          <w:tcPr>
            <w:tcW w:type="dxa" w:w="4320"/>
            <w:tcMar>
              <w:top w:w="90" w:type="dxa"/>
              <w:start w:w="100" w:type="dxa"/>
              <w:bottom w:w="90" w:type="dxa"/>
              <w:end w:w="100" w:type="dxa"/>
            </w:tcMar>
            <w:vAlign w:val="center"/>
          </w:tcPr>
          <w:p>
            <w:r>
              <w:rPr>
                <w:color w:val="2A3032"/>
                <w:sz w:val="18"/>
              </w:rPr>
              <w:t>Ana çalışma alanına gider; marka alanı değişmez.</w:t>
            </w:r>
          </w:p>
        </w:tc>
      </w:tr>
      <w:tr>
        <w:tc>
          <w:tcPr>
            <w:tcW w:type="dxa" w:w="1440"/>
            <w:tcMar>
              <w:top w:w="90" w:type="dxa"/>
              <w:start w:w="100" w:type="dxa"/>
              <w:bottom w:w="90" w:type="dxa"/>
              <w:end w:w="100" w:type="dxa"/>
            </w:tcMar>
            <w:shd w:fill="F6F9F9"/>
            <w:vAlign w:val="center"/>
          </w:tcPr>
          <w:p>
            <w:r>
              <w:rPr>
                <w:color w:val="2A3032"/>
                <w:sz w:val="18"/>
              </w:rPr>
              <w:t>Orta</w:t>
            </w:r>
          </w:p>
        </w:tc>
        <w:tc>
          <w:tcPr>
            <w:tcW w:type="dxa" w:w="3312"/>
            <w:tcMar>
              <w:top w:w="90" w:type="dxa"/>
              <w:start w:w="100" w:type="dxa"/>
              <w:bottom w:w="90" w:type="dxa"/>
              <w:end w:w="100" w:type="dxa"/>
            </w:tcMar>
            <w:shd w:fill="F6F9F9"/>
            <w:vAlign w:val="center"/>
          </w:tcPr>
          <w:p>
            <w:r>
              <w:rPr>
                <w:color w:val="2A3032"/>
                <w:sz w:val="18"/>
              </w:rPr>
              <w:t>Aktif sayfa adı + kısa alt başlık</w:t>
            </w:r>
          </w:p>
        </w:tc>
        <w:tc>
          <w:tcPr>
            <w:tcW w:type="dxa" w:w="4320"/>
            <w:tcMar>
              <w:top w:w="90" w:type="dxa"/>
              <w:start w:w="100" w:type="dxa"/>
              <w:bottom w:w="90" w:type="dxa"/>
              <w:end w:w="100" w:type="dxa"/>
            </w:tcMar>
            <w:shd w:fill="F6F9F9"/>
            <w:vAlign w:val="center"/>
          </w:tcPr>
          <w:p>
            <w:r>
              <w:rPr>
                <w:color w:val="2A3032"/>
                <w:sz w:val="18"/>
              </w:rPr>
              <w:t>Route metadata’dan gelir; modül kendi header’ını yazmaz.</w:t>
            </w:r>
          </w:p>
        </w:tc>
      </w:tr>
      <w:tr>
        <w:tc>
          <w:tcPr>
            <w:tcW w:type="dxa" w:w="1440"/>
            <w:tcMar>
              <w:top w:w="90" w:type="dxa"/>
              <w:start w:w="100" w:type="dxa"/>
              <w:bottom w:w="90" w:type="dxa"/>
              <w:end w:w="100" w:type="dxa"/>
            </w:tcMar>
            <w:vAlign w:val="center"/>
          </w:tcPr>
          <w:p>
            <w:r>
              <w:rPr>
                <w:color w:val="2A3032"/>
                <w:sz w:val="18"/>
              </w:rPr>
              <w:t>Sağ</w:t>
            </w:r>
          </w:p>
        </w:tc>
        <w:tc>
          <w:tcPr>
            <w:tcW w:type="dxa" w:w="3312"/>
            <w:tcMar>
              <w:top w:w="90" w:type="dxa"/>
              <w:start w:w="100" w:type="dxa"/>
              <w:bottom w:w="90" w:type="dxa"/>
              <w:end w:w="100" w:type="dxa"/>
            </w:tcMar>
            <w:vAlign w:val="center"/>
          </w:tcPr>
          <w:p>
            <w:r>
              <w:rPr>
                <w:color w:val="2A3032"/>
                <w:sz w:val="18"/>
              </w:rPr>
              <w:t>Bildirim çanı + unread badge + profil/Executive Presence</w:t>
            </w:r>
          </w:p>
        </w:tc>
        <w:tc>
          <w:tcPr>
            <w:tcW w:type="dxa" w:w="4320"/>
            <w:tcMar>
              <w:top w:w="90" w:type="dxa"/>
              <w:start w:w="100" w:type="dxa"/>
              <w:bottom w:w="90" w:type="dxa"/>
              <w:end w:w="100" w:type="dxa"/>
            </w:tcMar>
            <w:vAlign w:val="center"/>
          </w:tcPr>
          <w:p>
            <w:r>
              <w:rPr>
                <w:color w:val="2A3032"/>
                <w:sz w:val="18"/>
              </w:rPr>
              <w:t>Gerçek notification state ve kullanıcı/voice durumunu gösterir.</w:t>
            </w:r>
          </w:p>
        </w:tc>
      </w:tr>
    </w:tbl>
    <w:p>
      <w:pPr>
        <w:spacing w:after="120" w:line="271" w:lineRule="auto"/>
      </w:pPr>
    </w:p>
    <w:p>
      <w:pPr>
        <w:pStyle w:val="Heading2"/>
        <w:keepNext/>
      </w:pPr>
      <w:r>
        <w:t>Header ölçü sözleşmesi</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43B42"/>
            <w:tcMar>
              <w:top w:w="100" w:type="dxa"/>
              <w:start w:w="100" w:type="dxa"/>
              <w:bottom w:w="100" w:type="dxa"/>
              <w:end w:w="100" w:type="dxa"/>
            </w:tcMar>
          </w:tcPr>
          <w:p>
            <w:pPr>
              <w:jc w:val="left"/>
            </w:pPr>
            <w:r>
              <w:rPr>
                <w:b/>
                <w:color w:val="FFFFFF"/>
                <w:sz w:val="19"/>
              </w:rPr>
              <w:t>Token</w:t>
            </w:r>
          </w:p>
        </w:tc>
        <w:tc>
          <w:tcPr>
            <w:tcW w:type="dxa" w:w="3024"/>
            <w:shd w:fill="143B42"/>
            <w:tcMar>
              <w:top w:w="100" w:type="dxa"/>
              <w:start w:w="100" w:type="dxa"/>
              <w:bottom w:w="100" w:type="dxa"/>
              <w:end w:w="100" w:type="dxa"/>
            </w:tcMar>
          </w:tcPr>
          <w:p>
            <w:pPr>
              <w:jc w:val="left"/>
            </w:pPr>
            <w:r>
              <w:rPr>
                <w:b/>
                <w:color w:val="FFFFFF"/>
                <w:sz w:val="19"/>
              </w:rPr>
              <w:t>Mobil</w:t>
            </w:r>
          </w:p>
        </w:tc>
        <w:tc>
          <w:tcPr>
            <w:tcW w:type="dxa" w:w="3024"/>
            <w:shd w:fill="143B42"/>
            <w:tcMar>
              <w:top w:w="100" w:type="dxa"/>
              <w:start w:w="100" w:type="dxa"/>
              <w:bottom w:w="100" w:type="dxa"/>
              <w:end w:w="100" w:type="dxa"/>
            </w:tcMar>
          </w:tcPr>
          <w:p>
            <w:pPr>
              <w:jc w:val="left"/>
            </w:pPr>
            <w:r>
              <w:rPr>
                <w:b/>
                <w:color w:val="FFFFFF"/>
                <w:sz w:val="19"/>
              </w:rPr>
              <w:t>Masaüstü</w:t>
            </w:r>
          </w:p>
        </w:tc>
      </w:tr>
      <w:tr>
        <w:tc>
          <w:tcPr>
            <w:tcW w:type="dxa" w:w="2160"/>
            <w:tcMar>
              <w:top w:w="90" w:type="dxa"/>
              <w:start w:w="100" w:type="dxa"/>
              <w:bottom w:w="90" w:type="dxa"/>
              <w:end w:w="100" w:type="dxa"/>
            </w:tcMar>
            <w:vAlign w:val="center"/>
          </w:tcPr>
          <w:p>
            <w:r>
              <w:rPr>
                <w:color w:val="2A3032"/>
                <w:sz w:val="18"/>
              </w:rPr>
              <w:t>Yükseklik</w:t>
            </w:r>
          </w:p>
        </w:tc>
        <w:tc>
          <w:tcPr>
            <w:tcW w:type="dxa" w:w="3024"/>
            <w:tcMar>
              <w:top w:w="90" w:type="dxa"/>
              <w:start w:w="100" w:type="dxa"/>
              <w:bottom w:w="90" w:type="dxa"/>
              <w:end w:w="100" w:type="dxa"/>
            </w:tcMar>
            <w:vAlign w:val="center"/>
          </w:tcPr>
          <w:p>
            <w:r>
              <w:rPr>
                <w:color w:val="2A3032"/>
                <w:sz w:val="18"/>
              </w:rPr>
              <w:t>72–84 px + safe-area top</w:t>
            </w:r>
          </w:p>
        </w:tc>
        <w:tc>
          <w:tcPr>
            <w:tcW w:type="dxa" w:w="3024"/>
            <w:tcMar>
              <w:top w:w="90" w:type="dxa"/>
              <w:start w:w="100" w:type="dxa"/>
              <w:bottom w:w="90" w:type="dxa"/>
              <w:end w:w="100" w:type="dxa"/>
            </w:tcMar>
            <w:vAlign w:val="center"/>
          </w:tcPr>
          <w:p>
            <w:r>
              <w:rPr>
                <w:color w:val="2A3032"/>
                <w:sz w:val="18"/>
              </w:rPr>
              <w:t>72–80 px</w:t>
            </w:r>
          </w:p>
        </w:tc>
      </w:tr>
      <w:tr>
        <w:tc>
          <w:tcPr>
            <w:tcW w:type="dxa" w:w="2160"/>
            <w:tcMar>
              <w:top w:w="90" w:type="dxa"/>
              <w:start w:w="100" w:type="dxa"/>
              <w:bottom w:w="90" w:type="dxa"/>
              <w:end w:w="100" w:type="dxa"/>
            </w:tcMar>
            <w:shd w:fill="F6F9F9"/>
            <w:vAlign w:val="center"/>
          </w:tcPr>
          <w:p>
            <w:r>
              <w:rPr>
                <w:color w:val="2A3032"/>
                <w:sz w:val="18"/>
              </w:rPr>
              <w:t>Yatay padding</w:t>
            </w:r>
          </w:p>
        </w:tc>
        <w:tc>
          <w:tcPr>
            <w:tcW w:type="dxa" w:w="3024"/>
            <w:tcMar>
              <w:top w:w="90" w:type="dxa"/>
              <w:start w:w="100" w:type="dxa"/>
              <w:bottom w:w="90" w:type="dxa"/>
              <w:end w:w="100" w:type="dxa"/>
            </w:tcMar>
            <w:shd w:fill="F6F9F9"/>
            <w:vAlign w:val="center"/>
          </w:tcPr>
          <w:p>
            <w:r>
              <w:rPr>
                <w:color w:val="2A3032"/>
                <w:sz w:val="18"/>
              </w:rPr>
              <w:t>16–20 px</w:t>
            </w:r>
          </w:p>
        </w:tc>
        <w:tc>
          <w:tcPr>
            <w:tcW w:type="dxa" w:w="3024"/>
            <w:tcMar>
              <w:top w:w="90" w:type="dxa"/>
              <w:start w:w="100" w:type="dxa"/>
              <w:bottom w:w="90" w:type="dxa"/>
              <w:end w:w="100" w:type="dxa"/>
            </w:tcMar>
            <w:shd w:fill="F6F9F9"/>
            <w:vAlign w:val="center"/>
          </w:tcPr>
          <w:p>
            <w:r>
              <w:rPr>
                <w:color w:val="2A3032"/>
                <w:sz w:val="18"/>
              </w:rPr>
              <w:t>24–32 px</w:t>
            </w:r>
          </w:p>
        </w:tc>
      </w:tr>
      <w:tr>
        <w:tc>
          <w:tcPr>
            <w:tcW w:type="dxa" w:w="2160"/>
            <w:tcMar>
              <w:top w:w="90" w:type="dxa"/>
              <w:start w:w="100" w:type="dxa"/>
              <w:bottom w:w="90" w:type="dxa"/>
              <w:end w:w="100" w:type="dxa"/>
            </w:tcMar>
            <w:vAlign w:val="center"/>
          </w:tcPr>
          <w:p>
            <w:r>
              <w:rPr>
                <w:color w:val="2A3032"/>
                <w:sz w:val="18"/>
              </w:rPr>
              <w:t>Logo yüksekliği</w:t>
            </w:r>
          </w:p>
        </w:tc>
        <w:tc>
          <w:tcPr>
            <w:tcW w:type="dxa" w:w="3024"/>
            <w:tcMar>
              <w:top w:w="90" w:type="dxa"/>
              <w:start w:w="100" w:type="dxa"/>
              <w:bottom w:w="90" w:type="dxa"/>
              <w:end w:w="100" w:type="dxa"/>
            </w:tcMar>
            <w:vAlign w:val="center"/>
          </w:tcPr>
          <w:p>
            <w:r>
              <w:rPr>
                <w:color w:val="2A3032"/>
                <w:sz w:val="18"/>
              </w:rPr>
              <w:t>24–30 px</w:t>
            </w:r>
          </w:p>
        </w:tc>
        <w:tc>
          <w:tcPr>
            <w:tcW w:type="dxa" w:w="3024"/>
            <w:tcMar>
              <w:top w:w="90" w:type="dxa"/>
              <w:start w:w="100" w:type="dxa"/>
              <w:bottom w:w="90" w:type="dxa"/>
              <w:end w:w="100" w:type="dxa"/>
            </w:tcMar>
            <w:vAlign w:val="center"/>
          </w:tcPr>
          <w:p>
            <w:r>
              <w:rPr>
                <w:color w:val="2A3032"/>
                <w:sz w:val="18"/>
              </w:rPr>
              <w:t>28–34 px</w:t>
            </w:r>
          </w:p>
        </w:tc>
      </w:tr>
      <w:tr>
        <w:tc>
          <w:tcPr>
            <w:tcW w:type="dxa" w:w="2160"/>
            <w:tcMar>
              <w:top w:w="90" w:type="dxa"/>
              <w:start w:w="100" w:type="dxa"/>
              <w:bottom w:w="90" w:type="dxa"/>
              <w:end w:w="100" w:type="dxa"/>
            </w:tcMar>
            <w:shd w:fill="F6F9F9"/>
            <w:vAlign w:val="center"/>
          </w:tcPr>
          <w:p>
            <w:r>
              <w:rPr>
                <w:color w:val="2A3032"/>
                <w:sz w:val="18"/>
              </w:rPr>
              <w:t>Sayfa başlığı</w:t>
            </w:r>
          </w:p>
        </w:tc>
        <w:tc>
          <w:tcPr>
            <w:tcW w:type="dxa" w:w="3024"/>
            <w:tcMar>
              <w:top w:w="90" w:type="dxa"/>
              <w:start w:w="100" w:type="dxa"/>
              <w:bottom w:w="90" w:type="dxa"/>
              <w:end w:w="100" w:type="dxa"/>
            </w:tcMar>
            <w:shd w:fill="F6F9F9"/>
            <w:vAlign w:val="center"/>
          </w:tcPr>
          <w:p>
            <w:r>
              <w:rPr>
                <w:color w:val="2A3032"/>
                <w:sz w:val="18"/>
              </w:rPr>
              <w:t>18–22 px / 600–700</w:t>
            </w:r>
          </w:p>
        </w:tc>
        <w:tc>
          <w:tcPr>
            <w:tcW w:type="dxa" w:w="3024"/>
            <w:tcMar>
              <w:top w:w="90" w:type="dxa"/>
              <w:start w:w="100" w:type="dxa"/>
              <w:bottom w:w="90" w:type="dxa"/>
              <w:end w:w="100" w:type="dxa"/>
            </w:tcMar>
            <w:shd w:fill="F6F9F9"/>
            <w:vAlign w:val="center"/>
          </w:tcPr>
          <w:p>
            <w:r>
              <w:rPr>
                <w:color w:val="2A3032"/>
                <w:sz w:val="18"/>
              </w:rPr>
              <w:t>20–24 px / 600–700</w:t>
            </w:r>
          </w:p>
        </w:tc>
      </w:tr>
      <w:tr>
        <w:tc>
          <w:tcPr>
            <w:tcW w:type="dxa" w:w="2160"/>
            <w:tcMar>
              <w:top w:w="90" w:type="dxa"/>
              <w:start w:w="100" w:type="dxa"/>
              <w:bottom w:w="90" w:type="dxa"/>
              <w:end w:w="100" w:type="dxa"/>
            </w:tcMar>
            <w:vAlign w:val="center"/>
          </w:tcPr>
          <w:p>
            <w:r>
              <w:rPr>
                <w:color w:val="2A3032"/>
                <w:sz w:val="18"/>
              </w:rPr>
              <w:t>Alt başlık</w:t>
            </w:r>
          </w:p>
        </w:tc>
        <w:tc>
          <w:tcPr>
            <w:tcW w:type="dxa" w:w="3024"/>
            <w:tcMar>
              <w:top w:w="90" w:type="dxa"/>
              <w:start w:w="100" w:type="dxa"/>
              <w:bottom w:w="90" w:type="dxa"/>
              <w:end w:w="100" w:type="dxa"/>
            </w:tcMar>
            <w:vAlign w:val="center"/>
          </w:tcPr>
          <w:p>
            <w:r>
              <w:rPr>
                <w:color w:val="2A3032"/>
                <w:sz w:val="18"/>
              </w:rPr>
              <w:t>12–14 px</w:t>
            </w:r>
          </w:p>
        </w:tc>
        <w:tc>
          <w:tcPr>
            <w:tcW w:type="dxa" w:w="3024"/>
            <w:tcMar>
              <w:top w:w="90" w:type="dxa"/>
              <w:start w:w="100" w:type="dxa"/>
              <w:bottom w:w="90" w:type="dxa"/>
              <w:end w:w="100" w:type="dxa"/>
            </w:tcMar>
            <w:vAlign w:val="center"/>
          </w:tcPr>
          <w:p>
            <w:r>
              <w:rPr>
                <w:color w:val="2A3032"/>
                <w:sz w:val="18"/>
              </w:rPr>
              <w:t>13–15 px</w:t>
            </w:r>
          </w:p>
        </w:tc>
      </w:tr>
      <w:tr>
        <w:tc>
          <w:tcPr>
            <w:tcW w:type="dxa" w:w="2160"/>
            <w:tcMar>
              <w:top w:w="90" w:type="dxa"/>
              <w:start w:w="100" w:type="dxa"/>
              <w:bottom w:w="90" w:type="dxa"/>
              <w:end w:w="100" w:type="dxa"/>
            </w:tcMar>
            <w:shd w:fill="F6F9F9"/>
            <w:vAlign w:val="center"/>
          </w:tcPr>
          <w:p>
            <w:r>
              <w:rPr>
                <w:color w:val="2A3032"/>
                <w:sz w:val="18"/>
              </w:rPr>
              <w:t>Aksiyon touch alanı</w:t>
            </w:r>
          </w:p>
        </w:tc>
        <w:tc>
          <w:tcPr>
            <w:tcW w:type="dxa" w:w="3024"/>
            <w:tcMar>
              <w:top w:w="90" w:type="dxa"/>
              <w:start w:w="100" w:type="dxa"/>
              <w:bottom w:w="90" w:type="dxa"/>
              <w:end w:w="100" w:type="dxa"/>
            </w:tcMar>
            <w:shd w:fill="F6F9F9"/>
            <w:vAlign w:val="center"/>
          </w:tcPr>
          <w:p>
            <w:r>
              <w:rPr>
                <w:color w:val="2A3032"/>
                <w:sz w:val="18"/>
              </w:rPr>
              <w:t>44–48 px</w:t>
            </w:r>
          </w:p>
        </w:tc>
        <w:tc>
          <w:tcPr>
            <w:tcW w:type="dxa" w:w="3024"/>
            <w:tcMar>
              <w:top w:w="90" w:type="dxa"/>
              <w:start w:w="100" w:type="dxa"/>
              <w:bottom w:w="90" w:type="dxa"/>
              <w:end w:w="100" w:type="dxa"/>
            </w:tcMar>
            <w:shd w:fill="F6F9F9"/>
            <w:vAlign w:val="center"/>
          </w:tcPr>
          <w:p>
            <w:r>
              <w:rPr>
                <w:color w:val="2A3032"/>
                <w:sz w:val="18"/>
              </w:rPr>
              <w:t>40–44 px</w:t>
            </w:r>
          </w:p>
        </w:tc>
      </w:tr>
      <w:tr>
        <w:tc>
          <w:tcPr>
            <w:tcW w:type="dxa" w:w="2160"/>
            <w:tcMar>
              <w:top w:w="90" w:type="dxa"/>
              <w:start w:w="100" w:type="dxa"/>
              <w:bottom w:w="90" w:type="dxa"/>
              <w:end w:w="100" w:type="dxa"/>
            </w:tcMar>
            <w:vAlign w:val="center"/>
          </w:tcPr>
          <w:p>
            <w:r>
              <w:rPr>
                <w:color w:val="2A3032"/>
                <w:sz w:val="18"/>
              </w:rPr>
              <w:t>Alt sınır</w:t>
            </w:r>
          </w:p>
        </w:tc>
        <w:tc>
          <w:tcPr>
            <w:tcW w:type="dxa" w:w="3024"/>
            <w:tcMar>
              <w:top w:w="90" w:type="dxa"/>
              <w:start w:w="100" w:type="dxa"/>
              <w:bottom w:w="90" w:type="dxa"/>
              <w:end w:w="100" w:type="dxa"/>
            </w:tcMar>
            <w:vAlign w:val="center"/>
          </w:tcPr>
          <w:p>
            <w:r>
              <w:rPr>
                <w:color w:val="2A3032"/>
                <w:sz w:val="18"/>
              </w:rPr>
              <w:t>1 px düşük opaklık + hafif gölge</w:t>
            </w:r>
          </w:p>
        </w:tc>
        <w:tc>
          <w:tcPr>
            <w:tcW w:type="dxa" w:w="3024"/>
            <w:tcMar>
              <w:top w:w="90" w:type="dxa"/>
              <w:start w:w="100" w:type="dxa"/>
              <w:bottom w:w="90" w:type="dxa"/>
              <w:end w:w="100" w:type="dxa"/>
            </w:tcMar>
            <w:vAlign w:val="center"/>
          </w:tcPr>
          <w:p>
            <w:r>
              <w:rPr>
                <w:color w:val="2A3032"/>
                <w:sz w:val="18"/>
              </w:rPr>
              <w:t>Aynı</w:t>
            </w:r>
          </w:p>
        </w:tc>
      </w:tr>
    </w:tbl>
    <w:p>
      <w:pPr>
        <w:spacing w:after="120" w:line="271" w:lineRule="auto"/>
      </w:pPr>
    </w:p>
    <w:p>
      <w:pPr>
        <w:pStyle w:val="Heading2"/>
        <w:keepNext/>
      </w:pPr>
      <w:r>
        <w:t>Bildirim çanı</w:t>
      </w:r>
    </w:p>
    <w:p>
      <w:pPr>
        <w:pStyle w:val="ListBullet"/>
        <w:spacing w:after="40"/>
      </w:pPr>
      <w:r>
        <w:t>Dekoratif ikon değildir; gerçek Notification Center’a bağlanır.</w:t>
      </w:r>
    </w:p>
    <w:p>
      <w:pPr>
        <w:pStyle w:val="ListBullet"/>
        <w:spacing w:after="40"/>
      </w:pPr>
      <w:r>
        <w:t>Unread badge yalnız okunmamış önemli bildirim varsa görünür.</w:t>
      </w:r>
    </w:p>
    <w:p>
      <w:pPr>
        <w:pStyle w:val="ListBullet"/>
        <w:spacing w:after="40"/>
      </w:pPr>
      <w:r>
        <w:t>Badge sayısı 99+ üzerinde büyümez.</w:t>
      </w:r>
    </w:p>
    <w:p>
      <w:pPr>
        <w:pStyle w:val="ListBullet"/>
        <w:spacing w:after="40"/>
      </w:pPr>
      <w:r>
        <w:t>Kritik durumlar kırmızı, dikkat gerektirenler amber; normal unread badge marka tonunda gösterilir.</w:t>
      </w:r>
    </w:p>
    <w:p>
      <w:pPr>
        <w:pStyle w:val="ListBullet"/>
        <w:spacing w:after="40"/>
      </w:pPr>
      <w:r>
        <w:t>Tıklama, sağdan açılan premium notification paneli veya tam ekran mobil sheet açar.</w:t>
      </w:r>
    </w:p>
    <w:p>
      <w:pPr>
        <w:spacing w:after="120" w:line="271" w:lineRule="auto"/>
      </w:pPr>
      <w:r>
        <w:br w:type="page"/>
      </w:r>
    </w:p>
    <w:p>
      <w:pPr>
        <w:spacing w:before="80" w:after="120" w:line="271" w:lineRule="auto"/>
      </w:pPr>
      <w:r>
        <w:rPr>
          <w:rFonts w:ascii="Aptos" w:hAnsi="Aptos"/>
          <w:b/>
          <w:color w:val="20DCCB"/>
          <w:sz w:val="18"/>
        </w:rPr>
        <w:t>6. EXECUTIVE DOCK</w:t>
      </w:r>
    </w:p>
    <w:p>
      <w:pPr>
        <w:pStyle w:val="Heading1"/>
        <w:keepNext/>
      </w:pPr>
      <w:r>
        <w:t>Tam Bir Uygulama Dock’u</w:t>
      </w:r>
    </w:p>
    <w:p>
      <w:pPr>
        <w:spacing w:after="120" w:line="271" w:lineRule="auto"/>
      </w:pPr>
      <w:r>
        <w:t>Executive Dock, sayfanın altına eklenmiş basit bir navigation bar değildir. Uygulama kabuğunun bir parçasıdır. İçeriği örtmez, safe-area’yı bilir, ortadaki METRIX düğmesini yükseltilmiş ana interaction point olarak taşır ve tüm ana route’lara canonical navigation sağlar.</w:t>
      </w:r>
    </w:p>
    <w:p>
      <w:pPr>
        <w:pStyle w:val="Heading2"/>
        <w:keepNext/>
      </w:pPr>
      <w:r>
        <w:t>Değişmez navigasyon dizilimi</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143B42"/>
            <w:tcMar>
              <w:top w:w="100" w:type="dxa"/>
              <w:start w:w="100" w:type="dxa"/>
              <w:bottom w:w="100" w:type="dxa"/>
              <w:end w:w="100" w:type="dxa"/>
            </w:tcMar>
          </w:tcPr>
          <w:p>
            <w:pPr>
              <w:jc w:val="left"/>
            </w:pPr>
            <w:r>
              <w:rPr>
                <w:b/>
                <w:color w:val="FFFFFF"/>
                <w:sz w:val="19"/>
              </w:rPr>
              <w:t>Sıra</w:t>
            </w:r>
          </w:p>
        </w:tc>
        <w:tc>
          <w:tcPr>
            <w:tcW w:type="dxa" w:w="2304"/>
            <w:shd w:fill="143B42"/>
            <w:tcMar>
              <w:top w:w="100" w:type="dxa"/>
              <w:start w:w="100" w:type="dxa"/>
              <w:bottom w:w="100" w:type="dxa"/>
              <w:end w:w="100" w:type="dxa"/>
            </w:tcMar>
          </w:tcPr>
          <w:p>
            <w:pPr>
              <w:jc w:val="left"/>
            </w:pPr>
            <w:r>
              <w:rPr>
                <w:b/>
                <w:color w:val="FFFFFF"/>
                <w:sz w:val="19"/>
              </w:rPr>
              <w:t>Etiket</w:t>
            </w:r>
          </w:p>
        </w:tc>
        <w:tc>
          <w:tcPr>
            <w:tcW w:type="dxa" w:w="4752"/>
            <w:shd w:fill="143B42"/>
            <w:tcMar>
              <w:top w:w="100" w:type="dxa"/>
              <w:start w:w="100" w:type="dxa"/>
              <w:bottom w:w="100" w:type="dxa"/>
              <w:end w:w="100" w:type="dxa"/>
            </w:tcMar>
          </w:tcPr>
          <w:p>
            <w:pPr>
              <w:jc w:val="left"/>
            </w:pPr>
            <w:r>
              <w:rPr>
                <w:b/>
                <w:color w:val="FFFFFF"/>
                <w:sz w:val="19"/>
              </w:rPr>
              <w:t>Ana işlev</w:t>
            </w:r>
          </w:p>
        </w:tc>
      </w:tr>
      <w:tr>
        <w:tc>
          <w:tcPr>
            <w:tcW w:type="dxa" w:w="1008"/>
            <w:tcMar>
              <w:top w:w="90" w:type="dxa"/>
              <w:start w:w="100" w:type="dxa"/>
              <w:bottom w:w="90" w:type="dxa"/>
              <w:end w:w="100" w:type="dxa"/>
            </w:tcMar>
            <w:vAlign w:val="center"/>
          </w:tcPr>
          <w:p>
            <w:r>
              <w:rPr>
                <w:color w:val="2A3032"/>
                <w:sz w:val="18"/>
              </w:rPr>
              <w:t>1</w:t>
            </w:r>
          </w:p>
        </w:tc>
        <w:tc>
          <w:tcPr>
            <w:tcW w:type="dxa" w:w="2304"/>
            <w:tcMar>
              <w:top w:w="90" w:type="dxa"/>
              <w:start w:w="100" w:type="dxa"/>
              <w:bottom w:w="90" w:type="dxa"/>
              <w:end w:w="100" w:type="dxa"/>
            </w:tcMar>
            <w:vAlign w:val="center"/>
          </w:tcPr>
          <w:p>
            <w:r>
              <w:rPr>
                <w:color w:val="2A3032"/>
                <w:sz w:val="18"/>
              </w:rPr>
              <w:t>Şirketim</w:t>
            </w:r>
          </w:p>
        </w:tc>
        <w:tc>
          <w:tcPr>
            <w:tcW w:type="dxa" w:w="4752"/>
            <w:tcMar>
              <w:top w:w="90" w:type="dxa"/>
              <w:start w:w="100" w:type="dxa"/>
              <w:bottom w:w="90" w:type="dxa"/>
              <w:end w:w="100" w:type="dxa"/>
            </w:tcMar>
            <w:vAlign w:val="center"/>
          </w:tcPr>
          <w:p>
            <w:r>
              <w:rPr>
                <w:color w:val="2A3032"/>
                <w:sz w:val="18"/>
              </w:rPr>
              <w:t>Şirket düzeyi yönetim gerçekliği</w:t>
            </w:r>
          </w:p>
        </w:tc>
      </w:tr>
      <w:tr>
        <w:tc>
          <w:tcPr>
            <w:tcW w:type="dxa" w:w="1008"/>
            <w:tcMar>
              <w:top w:w="90" w:type="dxa"/>
              <w:start w:w="100" w:type="dxa"/>
              <w:bottom w:w="90" w:type="dxa"/>
              <w:end w:w="100" w:type="dxa"/>
            </w:tcMar>
            <w:shd w:fill="F6F9F9"/>
            <w:vAlign w:val="center"/>
          </w:tcPr>
          <w:p>
            <w:r>
              <w:rPr>
                <w:color w:val="2A3032"/>
                <w:sz w:val="18"/>
              </w:rPr>
              <w:t>2</w:t>
            </w:r>
          </w:p>
        </w:tc>
        <w:tc>
          <w:tcPr>
            <w:tcW w:type="dxa" w:w="2304"/>
            <w:tcMar>
              <w:top w:w="90" w:type="dxa"/>
              <w:start w:w="100" w:type="dxa"/>
              <w:bottom w:w="90" w:type="dxa"/>
              <w:end w:w="100" w:type="dxa"/>
            </w:tcMar>
            <w:shd w:fill="F6F9F9"/>
            <w:vAlign w:val="center"/>
          </w:tcPr>
          <w:p>
            <w:r>
              <w:rPr>
                <w:color w:val="2A3032"/>
                <w:sz w:val="18"/>
              </w:rPr>
              <w:t>Günlük Ritim</w:t>
            </w:r>
          </w:p>
        </w:tc>
        <w:tc>
          <w:tcPr>
            <w:tcW w:type="dxa" w:w="4752"/>
            <w:tcMar>
              <w:top w:w="90" w:type="dxa"/>
              <w:start w:w="100" w:type="dxa"/>
              <w:bottom w:w="90" w:type="dxa"/>
              <w:end w:w="100" w:type="dxa"/>
            </w:tcMar>
            <w:shd w:fill="F6F9F9"/>
            <w:vAlign w:val="center"/>
          </w:tcPr>
          <w:p>
            <w:r>
              <w:rPr>
                <w:color w:val="2A3032"/>
                <w:sz w:val="18"/>
              </w:rPr>
              <w:t>Bugün, takvim, takip ve ritim</w:t>
            </w:r>
          </w:p>
        </w:tc>
      </w:tr>
      <w:tr>
        <w:tc>
          <w:tcPr>
            <w:tcW w:type="dxa" w:w="1008"/>
            <w:tcMar>
              <w:top w:w="90" w:type="dxa"/>
              <w:start w:w="100" w:type="dxa"/>
              <w:bottom w:w="90" w:type="dxa"/>
              <w:end w:w="100" w:type="dxa"/>
            </w:tcMar>
            <w:vAlign w:val="center"/>
          </w:tcPr>
          <w:p>
            <w:r>
              <w:rPr>
                <w:color w:val="2A3032"/>
                <w:sz w:val="18"/>
              </w:rPr>
              <w:t>3</w:t>
            </w:r>
          </w:p>
        </w:tc>
        <w:tc>
          <w:tcPr>
            <w:tcW w:type="dxa" w:w="2304"/>
            <w:tcMar>
              <w:top w:w="90" w:type="dxa"/>
              <w:start w:w="100" w:type="dxa"/>
              <w:bottom w:w="90" w:type="dxa"/>
              <w:end w:w="100" w:type="dxa"/>
            </w:tcMar>
            <w:vAlign w:val="center"/>
          </w:tcPr>
          <w:p>
            <w:r>
              <w:rPr>
                <w:color w:val="2A3032"/>
                <w:sz w:val="18"/>
              </w:rPr>
              <w:t>METRIX</w:t>
            </w:r>
          </w:p>
        </w:tc>
        <w:tc>
          <w:tcPr>
            <w:tcW w:type="dxa" w:w="4752"/>
            <w:tcMar>
              <w:top w:w="90" w:type="dxa"/>
              <w:start w:w="100" w:type="dxa"/>
              <w:bottom w:w="90" w:type="dxa"/>
              <w:end w:w="100" w:type="dxa"/>
            </w:tcMar>
            <w:vAlign w:val="center"/>
          </w:tcPr>
          <w:p>
            <w:r>
              <w:rPr>
                <w:color w:val="2A3032"/>
                <w:sz w:val="18"/>
              </w:rPr>
              <w:t>Sohbet / voice ana giriş noktası</w:t>
            </w:r>
          </w:p>
        </w:tc>
      </w:tr>
      <w:tr>
        <w:tc>
          <w:tcPr>
            <w:tcW w:type="dxa" w:w="1008"/>
            <w:tcMar>
              <w:top w:w="90" w:type="dxa"/>
              <w:start w:w="100" w:type="dxa"/>
              <w:bottom w:w="90" w:type="dxa"/>
              <w:end w:w="100" w:type="dxa"/>
            </w:tcMar>
            <w:shd w:fill="F6F9F9"/>
            <w:vAlign w:val="center"/>
          </w:tcPr>
          <w:p>
            <w:r>
              <w:rPr>
                <w:color w:val="2A3032"/>
                <w:sz w:val="18"/>
              </w:rPr>
              <w:t>4</w:t>
            </w:r>
          </w:p>
        </w:tc>
        <w:tc>
          <w:tcPr>
            <w:tcW w:type="dxa" w:w="2304"/>
            <w:tcMar>
              <w:top w:w="90" w:type="dxa"/>
              <w:start w:w="100" w:type="dxa"/>
              <w:bottom w:w="90" w:type="dxa"/>
              <w:end w:w="100" w:type="dxa"/>
            </w:tcMar>
            <w:shd w:fill="F6F9F9"/>
            <w:vAlign w:val="center"/>
          </w:tcPr>
          <w:p>
            <w:r>
              <w:rPr>
                <w:color w:val="2A3032"/>
                <w:sz w:val="18"/>
              </w:rPr>
              <w:t>İş Planı</w:t>
            </w:r>
          </w:p>
        </w:tc>
        <w:tc>
          <w:tcPr>
            <w:tcW w:type="dxa" w:w="4752"/>
            <w:tcMar>
              <w:top w:w="90" w:type="dxa"/>
              <w:start w:w="100" w:type="dxa"/>
              <w:bottom w:w="90" w:type="dxa"/>
              <w:end w:w="100" w:type="dxa"/>
            </w:tcMar>
            <w:shd w:fill="F6F9F9"/>
            <w:vAlign w:val="center"/>
          </w:tcPr>
          <w:p>
            <w:r>
              <w:rPr>
                <w:color w:val="2A3032"/>
                <w:sz w:val="18"/>
              </w:rPr>
              <w:t>Görevler, planlar ve icra</w:t>
            </w:r>
          </w:p>
        </w:tc>
      </w:tr>
      <w:tr>
        <w:tc>
          <w:tcPr>
            <w:tcW w:type="dxa" w:w="1008"/>
            <w:tcMar>
              <w:top w:w="90" w:type="dxa"/>
              <w:start w:w="100" w:type="dxa"/>
              <w:bottom w:w="90" w:type="dxa"/>
              <w:end w:w="100" w:type="dxa"/>
            </w:tcMar>
            <w:vAlign w:val="center"/>
          </w:tcPr>
          <w:p>
            <w:r>
              <w:rPr>
                <w:color w:val="2A3032"/>
                <w:sz w:val="18"/>
              </w:rPr>
              <w:t>5</w:t>
            </w:r>
          </w:p>
        </w:tc>
        <w:tc>
          <w:tcPr>
            <w:tcW w:type="dxa" w:w="2304"/>
            <w:tcMar>
              <w:top w:w="90" w:type="dxa"/>
              <w:start w:w="100" w:type="dxa"/>
              <w:bottom w:w="90" w:type="dxa"/>
              <w:end w:w="100" w:type="dxa"/>
            </w:tcMar>
            <w:vAlign w:val="center"/>
          </w:tcPr>
          <w:p>
            <w:r>
              <w:rPr>
                <w:color w:val="2A3032"/>
                <w:sz w:val="18"/>
              </w:rPr>
              <w:t>Diğer</w:t>
            </w:r>
          </w:p>
        </w:tc>
        <w:tc>
          <w:tcPr>
            <w:tcW w:type="dxa" w:w="4752"/>
            <w:tcMar>
              <w:top w:w="90" w:type="dxa"/>
              <w:start w:w="100" w:type="dxa"/>
              <w:bottom w:w="90" w:type="dxa"/>
              <w:end w:w="100" w:type="dxa"/>
            </w:tcMar>
            <w:vAlign w:val="center"/>
          </w:tcPr>
          <w:p>
            <w:r>
              <w:rPr>
                <w:color w:val="2A3032"/>
                <w:sz w:val="18"/>
              </w:rPr>
              <w:t>Tüm diğer modüller ve ayarlar</w:t>
            </w:r>
          </w:p>
        </w:tc>
      </w:tr>
    </w:tbl>
    <w:p>
      <w:pPr>
        <w:spacing w:after="120" w:line="271" w:lineRule="auto"/>
      </w:pPr>
    </w:p>
    <w:p>
      <w:pPr>
        <w:pStyle w:val="Heading2"/>
        <w:keepNext/>
      </w:pPr>
      <w:r>
        <w:t>Dock teknik kuralları</w:t>
      </w:r>
    </w:p>
    <w:p>
      <w:pPr>
        <w:pStyle w:val="ListBullet"/>
        <w:spacing w:after="40"/>
      </w:pPr>
      <w:r>
        <w:t>Route navigation kullanır; local tab state ile placeholder açmaz.</w:t>
      </w:r>
    </w:p>
    <w:p>
      <w:pPr>
        <w:pStyle w:val="ListBullet"/>
        <w:spacing w:after="40"/>
      </w:pPr>
      <w:r>
        <w:t>position: fixed veya shell overlay; bottom değeri safe-area ve optik boşluğu içerir.</w:t>
      </w:r>
    </w:p>
    <w:p>
      <w:pPr>
        <w:pStyle w:val="ListBullet"/>
        <w:spacing w:after="40"/>
      </w:pPr>
      <w:r>
        <w:t>Kenar boşlukları mobilde 12–20 px, masaüstünde viewport’a göre sınırlı max-width ile belirlenir.</w:t>
      </w:r>
    </w:p>
    <w:p>
      <w:pPr>
        <w:pStyle w:val="ListBullet"/>
        <w:spacing w:after="40"/>
      </w:pPr>
      <w:r>
        <w:t>Glass yüzey: koyu translucent layer + backdrop blur + iç highlight + dış shadow.</w:t>
      </w:r>
    </w:p>
    <w:p>
      <w:pPr>
        <w:pStyle w:val="ListBullet"/>
        <w:spacing w:after="40"/>
      </w:pPr>
      <w:r>
        <w:t>Merkez METRIX düğmesi dock yüzeyinden yükselir; diğer item’lar optik olarak eşit dağıtılır.</w:t>
      </w:r>
    </w:p>
    <w:p>
      <w:pPr>
        <w:pStyle w:val="ListBullet"/>
        <w:spacing w:after="40"/>
      </w:pPr>
      <w:r>
        <w:t>Aktif item; ikon rengi, label rengi ve kısa alt indicator ile görünür. Yalnız renk değişimiyle yetinilmez.</w:t>
      </w:r>
    </w:p>
    <w:p>
      <w:pPr>
        <w:pStyle w:val="ListBullet"/>
        <w:spacing w:after="40"/>
      </w:pPr>
      <w:r>
        <w:t>Dock yüksekliği shell token’ından gelir; sayfa içerikleri sabit sayı tahmini yapmaz.</w:t>
      </w:r>
    </w:p>
    <w:p>
      <w:pPr>
        <w:pStyle w:val="ListBullet"/>
        <w:spacing w:after="40"/>
      </w:pPr>
      <w:r>
        <w:t>Dock hiçbir bilgi kartının üzerine binmez; workspace bottom padding otomatik hesaplanır.</w:t>
      </w:r>
    </w:p>
    <w:tbl>
      <w:tblPr>
        <w:tblStyle w:val="TableGrid"/>
        <w:tblW w:type="auto" w:w="0"/>
        <w:jc w:val="center"/>
        <w:tblLook w:firstColumn="1" w:firstRow="1" w:lastColumn="0" w:lastRow="0" w:noHBand="0" w:noVBand="1" w:val="04A0"/>
      </w:tblPr>
      <w:tblGrid>
        <w:gridCol w:w="5083"/>
        <w:gridCol w:w="5083"/>
      </w:tblGrid>
      <w:tr>
        <w:tc>
          <w:tcPr>
            <w:tcW w:type="dxa" w:w="3744"/>
            <w:shd w:fill="143B42"/>
            <w:tcMar>
              <w:top w:w="100" w:type="dxa"/>
              <w:start w:w="100" w:type="dxa"/>
              <w:bottom w:w="100" w:type="dxa"/>
              <w:end w:w="100" w:type="dxa"/>
            </w:tcMar>
          </w:tcPr>
          <w:p>
            <w:pPr>
              <w:jc w:val="left"/>
            </w:pPr>
            <w:r>
              <w:rPr>
                <w:b/>
                <w:color w:val="FFFFFF"/>
                <w:sz w:val="19"/>
              </w:rPr>
              <w:t>Token</w:t>
            </w:r>
          </w:p>
        </w:tc>
        <w:tc>
          <w:tcPr>
            <w:tcW w:type="dxa" w:w="5040"/>
            <w:shd w:fill="143B42"/>
            <w:tcMar>
              <w:top w:w="100" w:type="dxa"/>
              <w:start w:w="100" w:type="dxa"/>
              <w:bottom w:w="100" w:type="dxa"/>
              <w:end w:w="100" w:type="dxa"/>
            </w:tcMar>
          </w:tcPr>
          <w:p>
            <w:pPr>
              <w:jc w:val="left"/>
            </w:pPr>
            <w:r>
              <w:rPr>
                <w:b/>
                <w:color w:val="FFFFFF"/>
                <w:sz w:val="19"/>
              </w:rPr>
              <w:t>Önerilen değer / davranış</w:t>
            </w:r>
          </w:p>
        </w:tc>
      </w:tr>
      <w:tr>
        <w:tc>
          <w:tcPr>
            <w:tcW w:type="dxa" w:w="3744"/>
            <w:tcMar>
              <w:top w:w="90" w:type="dxa"/>
              <w:start w:w="100" w:type="dxa"/>
              <w:bottom w:w="90" w:type="dxa"/>
              <w:end w:w="100" w:type="dxa"/>
            </w:tcMar>
            <w:vAlign w:val="center"/>
          </w:tcPr>
          <w:p>
            <w:r>
              <w:rPr>
                <w:color w:val="2A3032"/>
                <w:sz w:val="18"/>
              </w:rPr>
              <w:t>--executive-dock-height-mobile</w:t>
            </w:r>
          </w:p>
        </w:tc>
        <w:tc>
          <w:tcPr>
            <w:tcW w:type="dxa" w:w="5040"/>
            <w:tcMar>
              <w:top w:w="90" w:type="dxa"/>
              <w:start w:w="100" w:type="dxa"/>
              <w:bottom w:w="90" w:type="dxa"/>
              <w:end w:w="100" w:type="dxa"/>
            </w:tcMar>
            <w:vAlign w:val="center"/>
          </w:tcPr>
          <w:p>
            <w:r>
              <w:rPr>
                <w:color w:val="2A3032"/>
                <w:sz w:val="18"/>
              </w:rPr>
              <w:t>82–92 px</w:t>
            </w:r>
          </w:p>
        </w:tc>
      </w:tr>
      <w:tr>
        <w:tc>
          <w:tcPr>
            <w:tcW w:type="dxa" w:w="3744"/>
            <w:tcMar>
              <w:top w:w="90" w:type="dxa"/>
              <w:start w:w="100" w:type="dxa"/>
              <w:bottom w:w="90" w:type="dxa"/>
              <w:end w:w="100" w:type="dxa"/>
            </w:tcMar>
            <w:shd w:fill="F6F9F9"/>
            <w:vAlign w:val="center"/>
          </w:tcPr>
          <w:p>
            <w:r>
              <w:rPr>
                <w:color w:val="2A3032"/>
                <w:sz w:val="18"/>
              </w:rPr>
              <w:t>--executive-dock-height-desktop</w:t>
            </w:r>
          </w:p>
        </w:tc>
        <w:tc>
          <w:tcPr>
            <w:tcW w:type="dxa" w:w="5040"/>
            <w:tcMar>
              <w:top w:w="90" w:type="dxa"/>
              <w:start w:w="100" w:type="dxa"/>
              <w:bottom w:w="90" w:type="dxa"/>
              <w:end w:w="100" w:type="dxa"/>
            </w:tcMar>
            <w:shd w:fill="F6F9F9"/>
            <w:vAlign w:val="center"/>
          </w:tcPr>
          <w:p>
            <w:r>
              <w:rPr>
                <w:color w:val="2A3032"/>
                <w:sz w:val="18"/>
              </w:rPr>
              <w:t>72–84 px</w:t>
            </w:r>
          </w:p>
        </w:tc>
      </w:tr>
      <w:tr>
        <w:tc>
          <w:tcPr>
            <w:tcW w:type="dxa" w:w="3744"/>
            <w:tcMar>
              <w:top w:w="90" w:type="dxa"/>
              <w:start w:w="100" w:type="dxa"/>
              <w:bottom w:w="90" w:type="dxa"/>
              <w:end w:w="100" w:type="dxa"/>
            </w:tcMar>
            <w:vAlign w:val="center"/>
          </w:tcPr>
          <w:p>
            <w:r>
              <w:rPr>
                <w:color w:val="2A3032"/>
                <w:sz w:val="18"/>
              </w:rPr>
              <w:t>--executive-dock-bottom-gap</w:t>
            </w:r>
          </w:p>
        </w:tc>
        <w:tc>
          <w:tcPr>
            <w:tcW w:type="dxa" w:w="5040"/>
            <w:tcMar>
              <w:top w:w="90" w:type="dxa"/>
              <w:start w:w="100" w:type="dxa"/>
              <w:bottom w:w="90" w:type="dxa"/>
              <w:end w:w="100" w:type="dxa"/>
            </w:tcMar>
            <w:vAlign w:val="center"/>
          </w:tcPr>
          <w:p>
            <w:r>
              <w:rPr>
                <w:color w:val="2A3032"/>
                <w:sz w:val="18"/>
              </w:rPr>
              <w:t>12–18 px + safe-area</w:t>
            </w:r>
          </w:p>
        </w:tc>
      </w:tr>
      <w:tr>
        <w:tc>
          <w:tcPr>
            <w:tcW w:type="dxa" w:w="3744"/>
            <w:tcMar>
              <w:top w:w="90" w:type="dxa"/>
              <w:start w:w="100" w:type="dxa"/>
              <w:bottom w:w="90" w:type="dxa"/>
              <w:end w:w="100" w:type="dxa"/>
            </w:tcMar>
            <w:shd w:fill="F6F9F9"/>
            <w:vAlign w:val="center"/>
          </w:tcPr>
          <w:p>
            <w:r>
              <w:rPr>
                <w:color w:val="2A3032"/>
                <w:sz w:val="18"/>
              </w:rPr>
              <w:t>--executive-dock-radius</w:t>
            </w:r>
          </w:p>
        </w:tc>
        <w:tc>
          <w:tcPr>
            <w:tcW w:type="dxa" w:w="5040"/>
            <w:tcMar>
              <w:top w:w="90" w:type="dxa"/>
              <w:start w:w="100" w:type="dxa"/>
              <w:bottom w:w="90" w:type="dxa"/>
              <w:end w:w="100" w:type="dxa"/>
            </w:tcMar>
            <w:shd w:fill="F6F9F9"/>
            <w:vAlign w:val="center"/>
          </w:tcPr>
          <w:p>
            <w:r>
              <w:rPr>
                <w:color w:val="2A3032"/>
                <w:sz w:val="18"/>
              </w:rPr>
              <w:t>28–36 px</w:t>
            </w:r>
          </w:p>
        </w:tc>
      </w:tr>
      <w:tr>
        <w:tc>
          <w:tcPr>
            <w:tcW w:type="dxa" w:w="3744"/>
            <w:tcMar>
              <w:top w:w="90" w:type="dxa"/>
              <w:start w:w="100" w:type="dxa"/>
              <w:bottom w:w="90" w:type="dxa"/>
              <w:end w:w="100" w:type="dxa"/>
            </w:tcMar>
            <w:vAlign w:val="center"/>
          </w:tcPr>
          <w:p>
            <w:r>
              <w:rPr>
                <w:color w:val="2A3032"/>
                <w:sz w:val="18"/>
              </w:rPr>
              <w:t>--executive-dock-blur</w:t>
            </w:r>
          </w:p>
        </w:tc>
        <w:tc>
          <w:tcPr>
            <w:tcW w:type="dxa" w:w="5040"/>
            <w:tcMar>
              <w:top w:w="90" w:type="dxa"/>
              <w:start w:w="100" w:type="dxa"/>
              <w:bottom w:w="90" w:type="dxa"/>
              <w:end w:w="100" w:type="dxa"/>
            </w:tcMar>
            <w:vAlign w:val="center"/>
          </w:tcPr>
          <w:p>
            <w:r>
              <w:rPr>
                <w:color w:val="2A3032"/>
                <w:sz w:val="18"/>
              </w:rPr>
              <w:t>24–36 px</w:t>
            </w:r>
          </w:p>
        </w:tc>
      </w:tr>
      <w:tr>
        <w:tc>
          <w:tcPr>
            <w:tcW w:type="dxa" w:w="3744"/>
            <w:tcMar>
              <w:top w:w="90" w:type="dxa"/>
              <w:start w:w="100" w:type="dxa"/>
              <w:bottom w:w="90" w:type="dxa"/>
              <w:end w:w="100" w:type="dxa"/>
            </w:tcMar>
            <w:shd w:fill="F6F9F9"/>
            <w:vAlign w:val="center"/>
          </w:tcPr>
          <w:p>
            <w:r>
              <w:rPr>
                <w:color w:val="2A3032"/>
                <w:sz w:val="18"/>
              </w:rPr>
              <w:t>--executive-dock-max-width</w:t>
            </w:r>
          </w:p>
        </w:tc>
        <w:tc>
          <w:tcPr>
            <w:tcW w:type="dxa" w:w="5040"/>
            <w:tcMar>
              <w:top w:w="90" w:type="dxa"/>
              <w:start w:w="100" w:type="dxa"/>
              <w:bottom w:w="90" w:type="dxa"/>
              <w:end w:w="100" w:type="dxa"/>
            </w:tcMar>
            <w:shd w:fill="F6F9F9"/>
            <w:vAlign w:val="center"/>
          </w:tcPr>
          <w:p>
            <w:r>
              <w:rPr>
                <w:color w:val="2A3032"/>
                <w:sz w:val="18"/>
              </w:rPr>
              <w:t>720–860 px desktop</w:t>
            </w:r>
          </w:p>
        </w:tc>
      </w:tr>
      <w:tr>
        <w:tc>
          <w:tcPr>
            <w:tcW w:type="dxa" w:w="3744"/>
            <w:tcMar>
              <w:top w:w="90" w:type="dxa"/>
              <w:start w:w="100" w:type="dxa"/>
              <w:bottom w:w="90" w:type="dxa"/>
              <w:end w:w="100" w:type="dxa"/>
            </w:tcMar>
            <w:vAlign w:val="center"/>
          </w:tcPr>
          <w:p>
            <w:r>
              <w:rPr>
                <w:color w:val="2A3032"/>
                <w:sz w:val="18"/>
              </w:rPr>
              <w:t>Center button</w:t>
            </w:r>
          </w:p>
        </w:tc>
        <w:tc>
          <w:tcPr>
            <w:tcW w:type="dxa" w:w="5040"/>
            <w:tcMar>
              <w:top w:w="90" w:type="dxa"/>
              <w:start w:w="100" w:type="dxa"/>
              <w:bottom w:w="90" w:type="dxa"/>
              <w:end w:w="100" w:type="dxa"/>
            </w:tcMar>
            <w:vAlign w:val="center"/>
          </w:tcPr>
          <w:p>
            <w:r>
              <w:rPr>
                <w:color w:val="2A3032"/>
                <w:sz w:val="18"/>
              </w:rPr>
              <w:t>68–82 px mobile; 62–76 px desktop</w:t>
            </w:r>
          </w:p>
        </w:tc>
      </w:tr>
    </w:tbl>
    <w:p>
      <w:pPr>
        <w:spacing w:after="120" w:line="271" w:lineRule="auto"/>
      </w:pPr>
    </w:p>
    <w:p>
      <w:pPr>
        <w:spacing w:before="80" w:after="120" w:line="271" w:lineRule="auto"/>
      </w:pPr>
      <w:r>
        <w:rPr>
          <w:rFonts w:ascii="Aptos" w:hAnsi="Aptos"/>
          <w:b/>
          <w:color w:val="20DCCB"/>
          <w:sz w:val="18"/>
        </w:rPr>
        <w:t>7. EXECUTIVE PRESENCE</w:t>
      </w:r>
    </w:p>
    <w:p>
      <w:pPr>
        <w:pStyle w:val="Heading1"/>
        <w:keepNext/>
      </w:pPr>
      <w:r>
        <w:t>METRIX’in Görünür Varlığı</w:t>
      </w:r>
    </w:p>
    <w:p>
      <w:pPr>
        <w:spacing w:after="120" w:line="271" w:lineRule="auto"/>
      </w:pPr>
      <w:r>
        <w:t>Executive Presence, METRIX’in yaşayan Genel Müdür kimliğinin görsel karşılığıdır. Ayrı bir persona veya ayrı bir voice motoru değildir. Aynı canonical response ve aynı runtime’ın UI görünümüdür.</w:t>
      </w:r>
    </w:p>
    <w:p>
      <w:pPr>
        <w:pStyle w:val="Heading2"/>
        <w:keepNext/>
      </w:pPr>
      <w:r>
        <w:t>Sayfa türüne göre davranış</w:t>
      </w:r>
    </w:p>
    <w:tbl>
      <w:tblPr>
        <w:tblStyle w:val="TableGrid"/>
        <w:tblW w:type="auto" w:w="0"/>
        <w:jc w:val="center"/>
        <w:tblLook w:firstColumn="1" w:firstRow="1" w:lastColumn="0" w:lastRow="0" w:noHBand="0" w:noVBand="1" w:val="04A0"/>
      </w:tblPr>
      <w:tblGrid>
        <w:gridCol w:w="5083"/>
        <w:gridCol w:w="5083"/>
      </w:tblGrid>
      <w:tr>
        <w:tc>
          <w:tcPr>
            <w:tcW w:type="dxa" w:w="3024"/>
            <w:shd w:fill="143B42"/>
            <w:tcMar>
              <w:top w:w="100" w:type="dxa"/>
              <w:start w:w="100" w:type="dxa"/>
              <w:bottom w:w="100" w:type="dxa"/>
              <w:end w:w="100" w:type="dxa"/>
            </w:tcMar>
          </w:tcPr>
          <w:p>
            <w:pPr>
              <w:jc w:val="left"/>
            </w:pPr>
            <w:r>
              <w:rPr>
                <w:b/>
                <w:color w:val="FFFFFF"/>
                <w:sz w:val="19"/>
              </w:rPr>
              <w:t>Yüzey</w:t>
            </w:r>
          </w:p>
        </w:tc>
        <w:tc>
          <w:tcPr>
            <w:tcW w:type="dxa" w:w="5760"/>
            <w:shd w:fill="143B42"/>
            <w:tcMar>
              <w:top w:w="100" w:type="dxa"/>
              <w:start w:w="100" w:type="dxa"/>
              <w:bottom w:w="100" w:type="dxa"/>
              <w:end w:w="100" w:type="dxa"/>
            </w:tcMar>
          </w:tcPr>
          <w:p>
            <w:pPr>
              <w:jc w:val="left"/>
            </w:pPr>
            <w:r>
              <w:rPr>
                <w:b/>
                <w:color w:val="FFFFFF"/>
                <w:sz w:val="19"/>
              </w:rPr>
              <w:t>Presence davranışı</w:t>
            </w:r>
          </w:p>
        </w:tc>
      </w:tr>
      <w:tr>
        <w:tc>
          <w:tcPr>
            <w:tcW w:type="dxa" w:w="3024"/>
            <w:tcMar>
              <w:top w:w="90" w:type="dxa"/>
              <w:start w:w="100" w:type="dxa"/>
              <w:bottom w:w="90" w:type="dxa"/>
              <w:end w:w="100" w:type="dxa"/>
            </w:tcMar>
            <w:vAlign w:val="center"/>
          </w:tcPr>
          <w:p>
            <w:r>
              <w:rPr>
                <w:color w:val="2A3032"/>
                <w:sz w:val="18"/>
              </w:rPr>
              <w:t>Şirketim / Müşteriler / diğer modüller</w:t>
            </w:r>
          </w:p>
        </w:tc>
        <w:tc>
          <w:tcPr>
            <w:tcW w:type="dxa" w:w="5760"/>
            <w:tcMar>
              <w:top w:w="90" w:type="dxa"/>
              <w:start w:w="100" w:type="dxa"/>
              <w:bottom w:w="90" w:type="dxa"/>
              <w:end w:w="100" w:type="dxa"/>
            </w:tcMar>
            <w:vAlign w:val="center"/>
          </w:tcPr>
          <w:p>
            <w:r>
              <w:rPr>
                <w:color w:val="2A3032"/>
                <w:sz w:val="18"/>
              </w:rPr>
              <w:t>Küçük, sürüklenebilir veya sabit bağlamsal orb; içerik kapatmaz.</w:t>
            </w:r>
          </w:p>
        </w:tc>
      </w:tr>
      <w:tr>
        <w:tc>
          <w:tcPr>
            <w:tcW w:type="dxa" w:w="3024"/>
            <w:tcMar>
              <w:top w:w="90" w:type="dxa"/>
              <w:start w:w="100" w:type="dxa"/>
              <w:bottom w:w="90" w:type="dxa"/>
              <w:end w:w="100" w:type="dxa"/>
            </w:tcMar>
            <w:shd w:fill="F6F9F9"/>
            <w:vAlign w:val="center"/>
          </w:tcPr>
          <w:p>
            <w:r>
              <w:rPr>
                <w:color w:val="2A3032"/>
                <w:sz w:val="18"/>
              </w:rPr>
              <w:t>Sohbet sayfası</w:t>
            </w:r>
          </w:p>
        </w:tc>
        <w:tc>
          <w:tcPr>
            <w:tcW w:type="dxa" w:w="5760"/>
            <w:tcMar>
              <w:top w:w="90" w:type="dxa"/>
              <w:start w:w="100" w:type="dxa"/>
              <w:bottom w:w="90" w:type="dxa"/>
              <w:end w:w="100" w:type="dxa"/>
            </w:tcMar>
            <w:shd w:fill="F6F9F9"/>
            <w:vAlign w:val="center"/>
          </w:tcPr>
          <w:p>
            <w:r>
              <w:rPr>
                <w:color w:val="2A3032"/>
                <w:sz w:val="18"/>
              </w:rPr>
              <w:t>Ayrı floating orb gösterilmez; sohbetin kendi voice giriş noktası ve header presence alanı kullanılır.</w:t>
            </w:r>
          </w:p>
        </w:tc>
      </w:tr>
      <w:tr>
        <w:tc>
          <w:tcPr>
            <w:tcW w:type="dxa" w:w="3024"/>
            <w:tcMar>
              <w:top w:w="90" w:type="dxa"/>
              <w:start w:w="100" w:type="dxa"/>
              <w:bottom w:w="90" w:type="dxa"/>
              <w:end w:w="100" w:type="dxa"/>
            </w:tcMar>
            <w:vAlign w:val="center"/>
          </w:tcPr>
          <w:p>
            <w:r>
              <w:rPr>
                <w:color w:val="2A3032"/>
                <w:sz w:val="18"/>
              </w:rPr>
              <w:t>Voice aktif</w:t>
            </w:r>
          </w:p>
        </w:tc>
        <w:tc>
          <w:tcPr>
            <w:tcW w:type="dxa" w:w="5760"/>
            <w:tcMar>
              <w:top w:w="90" w:type="dxa"/>
              <w:start w:w="100" w:type="dxa"/>
              <w:bottom w:w="90" w:type="dxa"/>
              <w:end w:w="100" w:type="dxa"/>
            </w:tcMar>
            <w:vAlign w:val="center"/>
          </w:tcPr>
          <w:p>
            <w:r>
              <w:rPr>
                <w:color w:val="2A3032"/>
                <w:sz w:val="18"/>
              </w:rPr>
              <w:t>Overlay görünür; arka sayfa korunur; listening/thinking/speaking state’i animasyonla ayrılır.</w:t>
            </w:r>
          </w:p>
        </w:tc>
      </w:tr>
      <w:tr>
        <w:tc>
          <w:tcPr>
            <w:tcW w:type="dxa" w:w="3024"/>
            <w:tcMar>
              <w:top w:w="90" w:type="dxa"/>
              <w:start w:w="100" w:type="dxa"/>
              <w:bottom w:w="90" w:type="dxa"/>
              <w:end w:w="100" w:type="dxa"/>
            </w:tcMar>
            <w:shd w:fill="F6F9F9"/>
            <w:vAlign w:val="center"/>
          </w:tcPr>
          <w:p>
            <w:r>
              <w:rPr>
                <w:color w:val="2A3032"/>
                <w:sz w:val="18"/>
              </w:rPr>
              <w:t>Hata / bağlantı yok</w:t>
            </w:r>
          </w:p>
        </w:tc>
        <w:tc>
          <w:tcPr>
            <w:tcW w:type="dxa" w:w="5760"/>
            <w:tcMar>
              <w:top w:w="90" w:type="dxa"/>
              <w:start w:w="100" w:type="dxa"/>
              <w:bottom w:w="90" w:type="dxa"/>
              <w:end w:w="100" w:type="dxa"/>
            </w:tcMar>
            <w:shd w:fill="F6F9F9"/>
            <w:vAlign w:val="center"/>
          </w:tcPr>
          <w:p>
            <w:r>
              <w:rPr>
                <w:color w:val="2A3032"/>
                <w:sz w:val="18"/>
              </w:rPr>
              <w:t>Dürüst durum göstergesi; sahte aktiflik animasyonu yok.</w:t>
            </w:r>
          </w:p>
        </w:tc>
      </w:tr>
    </w:tbl>
    <w:p>
      <w:pPr>
        <w:spacing w:after="120" w:line="271" w:lineRule="auto"/>
      </w:pPr>
    </w:p>
    <w:p>
      <w:pPr>
        <w:pStyle w:val="Heading2"/>
        <w:keepNext/>
      </w:pPr>
      <w:r>
        <w:t>Z-index sözleşmesi</w:t>
      </w:r>
    </w:p>
    <w:tbl>
      <w:tblPr>
        <w:tblStyle w:val="TableGrid"/>
        <w:tblW w:type="auto" w:w="0"/>
        <w:jc w:val="center"/>
        <w:tblLook w:firstColumn="1" w:firstRow="1" w:lastColumn="0" w:lastRow="0" w:noHBand="0" w:noVBand="1" w:val="04A0"/>
      </w:tblPr>
      <w:tblGrid>
        <w:gridCol w:w="5083"/>
        <w:gridCol w:w="5083"/>
      </w:tblGrid>
      <w:tr>
        <w:tc>
          <w:tcPr>
            <w:tcW w:type="dxa" w:w="3600"/>
            <w:shd w:fill="143B42"/>
            <w:tcMar>
              <w:top w:w="100" w:type="dxa"/>
              <w:start w:w="100" w:type="dxa"/>
              <w:bottom w:w="100" w:type="dxa"/>
              <w:end w:w="100" w:type="dxa"/>
            </w:tcMar>
          </w:tcPr>
          <w:p>
            <w:pPr>
              <w:jc w:val="left"/>
            </w:pPr>
            <w:r>
              <w:rPr>
                <w:b/>
                <w:color w:val="FFFFFF"/>
                <w:sz w:val="19"/>
              </w:rPr>
              <w:t>Katman</w:t>
            </w:r>
          </w:p>
        </w:tc>
        <w:tc>
          <w:tcPr>
            <w:tcW w:type="dxa" w:w="4896"/>
            <w:shd w:fill="143B42"/>
            <w:tcMar>
              <w:top w:w="100" w:type="dxa"/>
              <w:start w:w="100" w:type="dxa"/>
              <w:bottom w:w="100" w:type="dxa"/>
              <w:end w:w="100" w:type="dxa"/>
            </w:tcMar>
          </w:tcPr>
          <w:p>
            <w:pPr>
              <w:jc w:val="left"/>
            </w:pPr>
            <w:r>
              <w:rPr>
                <w:b/>
                <w:color w:val="FFFFFF"/>
                <w:sz w:val="19"/>
              </w:rPr>
              <w:t>Z-index bandı</w:t>
            </w:r>
          </w:p>
        </w:tc>
      </w:tr>
      <w:tr>
        <w:tc>
          <w:tcPr>
            <w:tcW w:type="dxa" w:w="3600"/>
            <w:tcMar>
              <w:top w:w="90" w:type="dxa"/>
              <w:start w:w="100" w:type="dxa"/>
              <w:bottom w:w="90" w:type="dxa"/>
              <w:end w:w="100" w:type="dxa"/>
            </w:tcMar>
            <w:vAlign w:val="center"/>
          </w:tcPr>
          <w:p>
            <w:r>
              <w:rPr>
                <w:color w:val="2A3032"/>
                <w:sz w:val="18"/>
              </w:rPr>
              <w:t>Page content</w:t>
            </w:r>
          </w:p>
        </w:tc>
        <w:tc>
          <w:tcPr>
            <w:tcW w:type="dxa" w:w="4896"/>
            <w:tcMar>
              <w:top w:w="90" w:type="dxa"/>
              <w:start w:w="100" w:type="dxa"/>
              <w:bottom w:w="90" w:type="dxa"/>
              <w:end w:w="100" w:type="dxa"/>
            </w:tcMar>
            <w:vAlign w:val="center"/>
          </w:tcPr>
          <w:p>
            <w:r>
              <w:rPr>
                <w:color w:val="2A3032"/>
                <w:sz w:val="18"/>
              </w:rPr>
              <w:t>0–10</w:t>
            </w:r>
          </w:p>
        </w:tc>
      </w:tr>
      <w:tr>
        <w:tc>
          <w:tcPr>
            <w:tcW w:type="dxa" w:w="3600"/>
            <w:tcMar>
              <w:top w:w="90" w:type="dxa"/>
              <w:start w:w="100" w:type="dxa"/>
              <w:bottom w:w="90" w:type="dxa"/>
              <w:end w:w="100" w:type="dxa"/>
            </w:tcMar>
            <w:shd w:fill="F6F9F9"/>
            <w:vAlign w:val="center"/>
          </w:tcPr>
          <w:p>
            <w:r>
              <w:rPr>
                <w:color w:val="2A3032"/>
                <w:sz w:val="18"/>
              </w:rPr>
              <w:t>Sticky panel headers</w:t>
            </w:r>
          </w:p>
        </w:tc>
        <w:tc>
          <w:tcPr>
            <w:tcW w:type="dxa" w:w="4896"/>
            <w:tcMar>
              <w:top w:w="90" w:type="dxa"/>
              <w:start w:w="100" w:type="dxa"/>
              <w:bottom w:w="90" w:type="dxa"/>
              <w:end w:w="100" w:type="dxa"/>
            </w:tcMar>
            <w:shd w:fill="F6F9F9"/>
            <w:vAlign w:val="center"/>
          </w:tcPr>
          <w:p>
            <w:r>
              <w:rPr>
                <w:color w:val="2A3032"/>
                <w:sz w:val="18"/>
              </w:rPr>
              <w:t>20–30</w:t>
            </w:r>
          </w:p>
        </w:tc>
      </w:tr>
      <w:tr>
        <w:tc>
          <w:tcPr>
            <w:tcW w:type="dxa" w:w="3600"/>
            <w:tcMar>
              <w:top w:w="90" w:type="dxa"/>
              <w:start w:w="100" w:type="dxa"/>
              <w:bottom w:w="90" w:type="dxa"/>
              <w:end w:w="100" w:type="dxa"/>
            </w:tcMar>
            <w:vAlign w:val="center"/>
          </w:tcPr>
          <w:p>
            <w:r>
              <w:rPr>
                <w:color w:val="2A3032"/>
                <w:sz w:val="18"/>
              </w:rPr>
              <w:t>Executive Dock</w:t>
            </w:r>
          </w:p>
        </w:tc>
        <w:tc>
          <w:tcPr>
            <w:tcW w:type="dxa" w:w="4896"/>
            <w:tcMar>
              <w:top w:w="90" w:type="dxa"/>
              <w:start w:w="100" w:type="dxa"/>
              <w:bottom w:w="90" w:type="dxa"/>
              <w:end w:w="100" w:type="dxa"/>
            </w:tcMar>
            <w:vAlign w:val="center"/>
          </w:tcPr>
          <w:p>
            <w:r>
              <w:rPr>
                <w:color w:val="2A3032"/>
                <w:sz w:val="18"/>
              </w:rPr>
              <w:t>50–60</w:t>
            </w:r>
          </w:p>
        </w:tc>
      </w:tr>
      <w:tr>
        <w:tc>
          <w:tcPr>
            <w:tcW w:type="dxa" w:w="3600"/>
            <w:tcMar>
              <w:top w:w="90" w:type="dxa"/>
              <w:start w:w="100" w:type="dxa"/>
              <w:bottom w:w="90" w:type="dxa"/>
              <w:end w:w="100" w:type="dxa"/>
            </w:tcMar>
            <w:shd w:fill="F6F9F9"/>
            <w:vAlign w:val="center"/>
          </w:tcPr>
          <w:p>
            <w:r>
              <w:rPr>
                <w:color w:val="2A3032"/>
                <w:sz w:val="18"/>
              </w:rPr>
              <w:t>Executive Presence floating control</w:t>
            </w:r>
          </w:p>
        </w:tc>
        <w:tc>
          <w:tcPr>
            <w:tcW w:type="dxa" w:w="4896"/>
            <w:tcMar>
              <w:top w:w="90" w:type="dxa"/>
              <w:start w:w="100" w:type="dxa"/>
              <w:bottom w:w="90" w:type="dxa"/>
              <w:end w:w="100" w:type="dxa"/>
            </w:tcMar>
            <w:shd w:fill="F6F9F9"/>
            <w:vAlign w:val="center"/>
          </w:tcPr>
          <w:p>
            <w:r>
              <w:rPr>
                <w:color w:val="2A3032"/>
                <w:sz w:val="18"/>
              </w:rPr>
              <w:t>70</w:t>
            </w:r>
          </w:p>
        </w:tc>
      </w:tr>
      <w:tr>
        <w:tc>
          <w:tcPr>
            <w:tcW w:type="dxa" w:w="3600"/>
            <w:tcMar>
              <w:top w:w="90" w:type="dxa"/>
              <w:start w:w="100" w:type="dxa"/>
              <w:bottom w:w="90" w:type="dxa"/>
              <w:end w:w="100" w:type="dxa"/>
            </w:tcMar>
            <w:vAlign w:val="center"/>
          </w:tcPr>
          <w:p>
            <w:r>
              <w:rPr>
                <w:color w:val="2A3032"/>
                <w:sz w:val="18"/>
              </w:rPr>
              <w:t>Sheets / dialogs</w:t>
            </w:r>
          </w:p>
        </w:tc>
        <w:tc>
          <w:tcPr>
            <w:tcW w:type="dxa" w:w="4896"/>
            <w:tcMar>
              <w:top w:w="90" w:type="dxa"/>
              <w:start w:w="100" w:type="dxa"/>
              <w:bottom w:w="90" w:type="dxa"/>
              <w:end w:w="100" w:type="dxa"/>
            </w:tcMar>
            <w:vAlign w:val="center"/>
          </w:tcPr>
          <w:p>
            <w:r>
              <w:rPr>
                <w:color w:val="2A3032"/>
                <w:sz w:val="18"/>
              </w:rPr>
              <w:t>100–150</w:t>
            </w:r>
          </w:p>
        </w:tc>
      </w:tr>
      <w:tr>
        <w:tc>
          <w:tcPr>
            <w:tcW w:type="dxa" w:w="3600"/>
            <w:tcMar>
              <w:top w:w="90" w:type="dxa"/>
              <w:start w:w="100" w:type="dxa"/>
              <w:bottom w:w="90" w:type="dxa"/>
              <w:end w:w="100" w:type="dxa"/>
            </w:tcMar>
            <w:shd w:fill="F6F9F9"/>
            <w:vAlign w:val="center"/>
          </w:tcPr>
          <w:p>
            <w:r>
              <w:rPr>
                <w:color w:val="2A3032"/>
                <w:sz w:val="18"/>
              </w:rPr>
              <w:t>Voice full overlay</w:t>
            </w:r>
          </w:p>
        </w:tc>
        <w:tc>
          <w:tcPr>
            <w:tcW w:type="dxa" w:w="4896"/>
            <w:tcMar>
              <w:top w:w="90" w:type="dxa"/>
              <w:start w:w="100" w:type="dxa"/>
              <w:bottom w:w="90" w:type="dxa"/>
              <w:end w:w="100" w:type="dxa"/>
            </w:tcMar>
            <w:shd w:fill="F6F9F9"/>
            <w:vAlign w:val="center"/>
          </w:tcPr>
          <w:p>
            <w:r>
              <w:rPr>
                <w:color w:val="2A3032"/>
                <w:sz w:val="18"/>
              </w:rPr>
              <w:t>200+</w:t>
            </w:r>
          </w:p>
        </w:tc>
      </w:tr>
      <w:tr>
        <w:tc>
          <w:tcPr>
            <w:tcW w:type="dxa" w:w="3600"/>
            <w:tcMar>
              <w:top w:w="90" w:type="dxa"/>
              <w:start w:w="100" w:type="dxa"/>
              <w:bottom w:w="90" w:type="dxa"/>
              <w:end w:w="100" w:type="dxa"/>
            </w:tcMar>
            <w:vAlign w:val="center"/>
          </w:tcPr>
          <w:p>
            <w:r>
              <w:rPr>
                <w:color w:val="2A3032"/>
                <w:sz w:val="18"/>
              </w:rPr>
              <w:t>System critical modal</w:t>
            </w:r>
          </w:p>
        </w:tc>
        <w:tc>
          <w:tcPr>
            <w:tcW w:type="dxa" w:w="4896"/>
            <w:tcMar>
              <w:top w:w="90" w:type="dxa"/>
              <w:start w:w="100" w:type="dxa"/>
              <w:bottom w:w="90" w:type="dxa"/>
              <w:end w:w="100" w:type="dxa"/>
            </w:tcMar>
            <w:vAlign w:val="center"/>
          </w:tcPr>
          <w:p>
            <w:r>
              <w:rPr>
                <w:color w:val="2A3032"/>
                <w:sz w:val="18"/>
              </w:rPr>
              <w:t>300+</w:t>
            </w:r>
          </w:p>
        </w:tc>
      </w:tr>
    </w:tbl>
    <w:p>
      <w:pPr>
        <w:spacing w:after="120" w:line="271" w:lineRule="auto"/>
      </w:pPr>
    </w:p>
    <w:p>
      <w:pPr>
        <w:spacing w:before="80" w:after="120" w:line="271" w:lineRule="auto"/>
      </w:pPr>
      <w:r>
        <w:rPr>
          <w:rFonts w:ascii="Aptos" w:hAnsi="Aptos"/>
          <w:b/>
          <w:color w:val="20DCCB"/>
          <w:sz w:val="18"/>
        </w:rPr>
        <w:t>8. GÖRSEL SISTEM VE TOKEN’LAR</w:t>
      </w:r>
    </w:p>
    <w:p>
      <w:pPr>
        <w:pStyle w:val="Heading1"/>
        <w:keepNext/>
      </w:pPr>
      <w:r>
        <w:t>Tek Görsel Otorite</w:t>
      </w:r>
    </w:p>
    <w:p>
      <w:pPr>
        <w:spacing w:after="120" w:line="271" w:lineRule="auto"/>
      </w:pPr>
      <w:r>
        <w:t>Renk, radius, spacing, shadow ve typography değerleri component dosyalarına dağılmış sabit sayılar olarak yaşamasın. Tek bir Executive token sisteminden tüketilsin. Tailwind kullanılabilir; fakat token’lar CSS değişkenleri veya merkezi theme sözleşmesiyle tanımlanmalıdır.</w:t>
      </w:r>
    </w:p>
    <w:p>
      <w:pPr>
        <w:pStyle w:val="Heading2"/>
        <w:keepNext/>
      </w:pPr>
      <w:r>
        <w:t>Renk rolleri</w:t>
      </w:r>
    </w:p>
    <w:tbl>
      <w:tblPr>
        <w:tblStyle w:val="TableGrid"/>
        <w:tblW w:type="auto" w:w="0"/>
        <w:jc w:val="center"/>
        <w:tblLook w:firstColumn="1" w:firstRow="1" w:lastColumn="0" w:lastRow="0" w:noHBand="0" w:noVBand="1" w:val="04A0"/>
      </w:tblPr>
      <w:tblGrid>
        <w:gridCol w:w="5083"/>
        <w:gridCol w:w="5083"/>
      </w:tblGrid>
      <w:tr>
        <w:tc>
          <w:tcPr>
            <w:tcW w:type="dxa" w:w="2592"/>
            <w:shd w:fill="143B42"/>
            <w:tcMar>
              <w:top w:w="100" w:type="dxa"/>
              <w:start w:w="100" w:type="dxa"/>
              <w:bottom w:w="100" w:type="dxa"/>
              <w:end w:w="100" w:type="dxa"/>
            </w:tcMar>
          </w:tcPr>
          <w:p>
            <w:pPr>
              <w:jc w:val="left"/>
            </w:pPr>
            <w:r>
              <w:rPr>
                <w:b/>
                <w:color w:val="FFFFFF"/>
                <w:sz w:val="19"/>
              </w:rPr>
              <w:t>Rol</w:t>
            </w:r>
          </w:p>
        </w:tc>
        <w:tc>
          <w:tcPr>
            <w:tcW w:type="dxa" w:w="6192"/>
            <w:shd w:fill="143B42"/>
            <w:tcMar>
              <w:top w:w="100" w:type="dxa"/>
              <w:start w:w="100" w:type="dxa"/>
              <w:bottom w:w="100" w:type="dxa"/>
              <w:end w:w="100" w:type="dxa"/>
            </w:tcMar>
          </w:tcPr>
          <w:p>
            <w:pPr>
              <w:jc w:val="left"/>
            </w:pPr>
            <w:r>
              <w:rPr>
                <w:b/>
                <w:color w:val="FFFFFF"/>
                <w:sz w:val="19"/>
              </w:rPr>
              <w:t>Kullanım</w:t>
            </w:r>
          </w:p>
        </w:tc>
      </w:tr>
      <w:tr>
        <w:tc>
          <w:tcPr>
            <w:tcW w:type="dxa" w:w="2592"/>
            <w:tcMar>
              <w:top w:w="90" w:type="dxa"/>
              <w:start w:w="100" w:type="dxa"/>
              <w:bottom w:w="90" w:type="dxa"/>
              <w:end w:w="100" w:type="dxa"/>
            </w:tcMar>
            <w:vAlign w:val="center"/>
          </w:tcPr>
          <w:p>
            <w:r>
              <w:rPr>
                <w:color w:val="2A3032"/>
                <w:sz w:val="18"/>
              </w:rPr>
              <w:t>Canvas</w:t>
            </w:r>
          </w:p>
        </w:tc>
        <w:tc>
          <w:tcPr>
            <w:tcW w:type="dxa" w:w="6192"/>
            <w:tcMar>
              <w:top w:w="90" w:type="dxa"/>
              <w:start w:w="100" w:type="dxa"/>
              <w:bottom w:w="90" w:type="dxa"/>
              <w:end w:w="100" w:type="dxa"/>
            </w:tcMar>
            <w:vAlign w:val="center"/>
          </w:tcPr>
          <w:p>
            <w:r>
              <w:rPr>
                <w:color w:val="2A3032"/>
                <w:sz w:val="18"/>
              </w:rPr>
              <w:t>Mat siyah / koyu grafit ana zemin</w:t>
            </w:r>
          </w:p>
        </w:tc>
      </w:tr>
      <w:tr>
        <w:tc>
          <w:tcPr>
            <w:tcW w:type="dxa" w:w="2592"/>
            <w:tcMar>
              <w:top w:w="90" w:type="dxa"/>
              <w:start w:w="100" w:type="dxa"/>
              <w:bottom w:w="90" w:type="dxa"/>
              <w:end w:w="100" w:type="dxa"/>
            </w:tcMar>
            <w:shd w:fill="F6F9F9"/>
            <w:vAlign w:val="center"/>
          </w:tcPr>
          <w:p>
            <w:r>
              <w:rPr>
                <w:color w:val="2A3032"/>
                <w:sz w:val="18"/>
              </w:rPr>
              <w:t>Surface 1</w:t>
            </w:r>
          </w:p>
        </w:tc>
        <w:tc>
          <w:tcPr>
            <w:tcW w:type="dxa" w:w="6192"/>
            <w:tcMar>
              <w:top w:w="90" w:type="dxa"/>
              <w:start w:w="100" w:type="dxa"/>
              <w:bottom w:w="90" w:type="dxa"/>
              <w:end w:w="100" w:type="dxa"/>
            </w:tcMar>
            <w:shd w:fill="F6F9F9"/>
            <w:vAlign w:val="center"/>
          </w:tcPr>
          <w:p>
            <w:r>
              <w:rPr>
                <w:color w:val="2A3032"/>
                <w:sz w:val="18"/>
              </w:rPr>
              <w:t>Ana kart ve workspace panelleri</w:t>
            </w:r>
          </w:p>
        </w:tc>
      </w:tr>
      <w:tr>
        <w:tc>
          <w:tcPr>
            <w:tcW w:type="dxa" w:w="2592"/>
            <w:tcMar>
              <w:top w:w="90" w:type="dxa"/>
              <w:start w:w="100" w:type="dxa"/>
              <w:bottom w:w="90" w:type="dxa"/>
              <w:end w:w="100" w:type="dxa"/>
            </w:tcMar>
            <w:vAlign w:val="center"/>
          </w:tcPr>
          <w:p>
            <w:r>
              <w:rPr>
                <w:color w:val="2A3032"/>
                <w:sz w:val="18"/>
              </w:rPr>
              <w:t>Surface 2</w:t>
            </w:r>
          </w:p>
        </w:tc>
        <w:tc>
          <w:tcPr>
            <w:tcW w:type="dxa" w:w="6192"/>
            <w:tcMar>
              <w:top w:w="90" w:type="dxa"/>
              <w:start w:w="100" w:type="dxa"/>
              <w:bottom w:w="90" w:type="dxa"/>
              <w:end w:w="100" w:type="dxa"/>
            </w:tcMar>
            <w:vAlign w:val="center"/>
          </w:tcPr>
          <w:p>
            <w:r>
              <w:rPr>
                <w:color w:val="2A3032"/>
                <w:sz w:val="18"/>
              </w:rPr>
              <w:t>İç kartlar, list rows, input yüzeyleri</w:t>
            </w:r>
          </w:p>
        </w:tc>
      </w:tr>
      <w:tr>
        <w:tc>
          <w:tcPr>
            <w:tcW w:type="dxa" w:w="2592"/>
            <w:tcMar>
              <w:top w:w="90" w:type="dxa"/>
              <w:start w:w="100" w:type="dxa"/>
              <w:bottom w:w="90" w:type="dxa"/>
              <w:end w:w="100" w:type="dxa"/>
            </w:tcMar>
            <w:shd w:fill="F6F9F9"/>
            <w:vAlign w:val="center"/>
          </w:tcPr>
          <w:p>
            <w:r>
              <w:rPr>
                <w:color w:val="2A3032"/>
                <w:sz w:val="18"/>
              </w:rPr>
              <w:t>Border subtle</w:t>
            </w:r>
          </w:p>
        </w:tc>
        <w:tc>
          <w:tcPr>
            <w:tcW w:type="dxa" w:w="6192"/>
            <w:tcMar>
              <w:top w:w="90" w:type="dxa"/>
              <w:start w:w="100" w:type="dxa"/>
              <w:bottom w:w="90" w:type="dxa"/>
              <w:end w:w="100" w:type="dxa"/>
            </w:tcMar>
            <w:shd w:fill="F6F9F9"/>
            <w:vAlign w:val="center"/>
          </w:tcPr>
          <w:p>
            <w:r>
              <w:rPr>
                <w:color w:val="2A3032"/>
                <w:sz w:val="18"/>
              </w:rPr>
              <w:t>Düşük opaklıklı açık çizgi</w:t>
            </w:r>
          </w:p>
        </w:tc>
      </w:tr>
      <w:tr>
        <w:tc>
          <w:tcPr>
            <w:tcW w:type="dxa" w:w="2592"/>
            <w:tcMar>
              <w:top w:w="90" w:type="dxa"/>
              <w:start w:w="100" w:type="dxa"/>
              <w:bottom w:w="90" w:type="dxa"/>
              <w:end w:w="100" w:type="dxa"/>
            </w:tcMar>
            <w:vAlign w:val="center"/>
          </w:tcPr>
          <w:p>
            <w:r>
              <w:rPr>
                <w:color w:val="2A3032"/>
                <w:sz w:val="18"/>
              </w:rPr>
              <w:t>Brand teal</w:t>
            </w:r>
          </w:p>
        </w:tc>
        <w:tc>
          <w:tcPr>
            <w:tcW w:type="dxa" w:w="6192"/>
            <w:tcMar>
              <w:top w:w="90" w:type="dxa"/>
              <w:start w:w="100" w:type="dxa"/>
              <w:bottom w:w="90" w:type="dxa"/>
              <w:end w:w="100" w:type="dxa"/>
            </w:tcMar>
            <w:vAlign w:val="center"/>
          </w:tcPr>
          <w:p>
            <w:r>
              <w:rPr>
                <w:color w:val="2A3032"/>
                <w:sz w:val="18"/>
              </w:rPr>
              <w:t>Aktif durum, ana vurgu, METRIX kimliği</w:t>
            </w:r>
          </w:p>
        </w:tc>
      </w:tr>
      <w:tr>
        <w:tc>
          <w:tcPr>
            <w:tcW w:type="dxa" w:w="2592"/>
            <w:tcMar>
              <w:top w:w="90" w:type="dxa"/>
              <w:start w:w="100" w:type="dxa"/>
              <w:bottom w:w="90" w:type="dxa"/>
              <w:end w:w="100" w:type="dxa"/>
            </w:tcMar>
            <w:shd w:fill="F6F9F9"/>
            <w:vAlign w:val="center"/>
          </w:tcPr>
          <w:p>
            <w:r>
              <w:rPr>
                <w:color w:val="2A3032"/>
                <w:sz w:val="18"/>
              </w:rPr>
              <w:t>Blue</w:t>
            </w:r>
          </w:p>
        </w:tc>
        <w:tc>
          <w:tcPr>
            <w:tcW w:type="dxa" w:w="6192"/>
            <w:tcMar>
              <w:top w:w="90" w:type="dxa"/>
              <w:start w:w="100" w:type="dxa"/>
              <w:bottom w:w="90" w:type="dxa"/>
              <w:end w:w="100" w:type="dxa"/>
            </w:tcMar>
            <w:shd w:fill="F6F9F9"/>
            <w:vAlign w:val="center"/>
          </w:tcPr>
          <w:p>
            <w:r>
              <w:rPr>
                <w:color w:val="2A3032"/>
                <w:sz w:val="18"/>
              </w:rPr>
              <w:t>Hedefler, bilgi ve planlanan durum</w:t>
            </w:r>
          </w:p>
        </w:tc>
      </w:tr>
      <w:tr>
        <w:tc>
          <w:tcPr>
            <w:tcW w:type="dxa" w:w="2592"/>
            <w:tcMar>
              <w:top w:w="90" w:type="dxa"/>
              <w:start w:w="100" w:type="dxa"/>
              <w:bottom w:w="90" w:type="dxa"/>
              <w:end w:w="100" w:type="dxa"/>
            </w:tcMar>
            <w:vAlign w:val="center"/>
          </w:tcPr>
          <w:p>
            <w:r>
              <w:rPr>
                <w:color w:val="2A3032"/>
                <w:sz w:val="18"/>
              </w:rPr>
              <w:t>Green</w:t>
            </w:r>
          </w:p>
        </w:tc>
        <w:tc>
          <w:tcPr>
            <w:tcW w:type="dxa" w:w="6192"/>
            <w:tcMar>
              <w:top w:w="90" w:type="dxa"/>
              <w:start w:w="100" w:type="dxa"/>
              <w:bottom w:w="90" w:type="dxa"/>
              <w:end w:w="100" w:type="dxa"/>
            </w:tcMar>
            <w:vAlign w:val="center"/>
          </w:tcPr>
          <w:p>
            <w:r>
              <w:rPr>
                <w:color w:val="2A3032"/>
                <w:sz w:val="18"/>
              </w:rPr>
              <w:t>Olumlu sonuç, bağlı kaynak, başarı</w:t>
            </w:r>
          </w:p>
        </w:tc>
      </w:tr>
      <w:tr>
        <w:tc>
          <w:tcPr>
            <w:tcW w:type="dxa" w:w="2592"/>
            <w:tcMar>
              <w:top w:w="90" w:type="dxa"/>
              <w:start w:w="100" w:type="dxa"/>
              <w:bottom w:w="90" w:type="dxa"/>
              <w:end w:w="100" w:type="dxa"/>
            </w:tcMar>
            <w:shd w:fill="F6F9F9"/>
            <w:vAlign w:val="center"/>
          </w:tcPr>
          <w:p>
            <w:r>
              <w:rPr>
                <w:color w:val="2A3032"/>
                <w:sz w:val="18"/>
              </w:rPr>
              <w:t>Amber</w:t>
            </w:r>
          </w:p>
        </w:tc>
        <w:tc>
          <w:tcPr>
            <w:tcW w:type="dxa" w:w="6192"/>
            <w:tcMar>
              <w:top w:w="90" w:type="dxa"/>
              <w:start w:w="100" w:type="dxa"/>
              <w:bottom w:w="90" w:type="dxa"/>
              <w:end w:w="100" w:type="dxa"/>
            </w:tcMar>
            <w:shd w:fill="F6F9F9"/>
            <w:vAlign w:val="center"/>
          </w:tcPr>
          <w:p>
            <w:r>
              <w:rPr>
                <w:color w:val="2A3032"/>
                <w:sz w:val="18"/>
              </w:rPr>
              <w:t>Eksik veri, dikkat, bekleyen işlem</w:t>
            </w:r>
          </w:p>
        </w:tc>
      </w:tr>
      <w:tr>
        <w:tc>
          <w:tcPr>
            <w:tcW w:type="dxa" w:w="2592"/>
            <w:tcMar>
              <w:top w:w="90" w:type="dxa"/>
              <w:start w:w="100" w:type="dxa"/>
              <w:bottom w:w="90" w:type="dxa"/>
              <w:end w:w="100" w:type="dxa"/>
            </w:tcMar>
            <w:vAlign w:val="center"/>
          </w:tcPr>
          <w:p>
            <w:r>
              <w:rPr>
                <w:color w:val="2A3032"/>
                <w:sz w:val="18"/>
              </w:rPr>
              <w:t>Red</w:t>
            </w:r>
          </w:p>
        </w:tc>
        <w:tc>
          <w:tcPr>
            <w:tcW w:type="dxa" w:w="6192"/>
            <w:tcMar>
              <w:top w:w="90" w:type="dxa"/>
              <w:start w:w="100" w:type="dxa"/>
              <w:bottom w:w="90" w:type="dxa"/>
              <w:end w:w="100" w:type="dxa"/>
            </w:tcMar>
            <w:vAlign w:val="center"/>
          </w:tcPr>
          <w:p>
            <w:r>
              <w:rPr>
                <w:color w:val="2A3032"/>
                <w:sz w:val="18"/>
              </w:rPr>
              <w:t>Kritik risk, destructive işlem, hata</w:t>
            </w:r>
          </w:p>
        </w:tc>
      </w:tr>
      <w:tr>
        <w:tc>
          <w:tcPr>
            <w:tcW w:type="dxa" w:w="2592"/>
            <w:tcMar>
              <w:top w:w="90" w:type="dxa"/>
              <w:start w:w="100" w:type="dxa"/>
              <w:bottom w:w="90" w:type="dxa"/>
              <w:end w:w="100" w:type="dxa"/>
            </w:tcMar>
            <w:shd w:fill="F6F9F9"/>
            <w:vAlign w:val="center"/>
          </w:tcPr>
          <w:p>
            <w:r>
              <w:rPr>
                <w:color w:val="2A3032"/>
                <w:sz w:val="18"/>
              </w:rPr>
              <w:t>Text primary / secondary / tertiary</w:t>
            </w:r>
          </w:p>
        </w:tc>
        <w:tc>
          <w:tcPr>
            <w:tcW w:type="dxa" w:w="6192"/>
            <w:tcMar>
              <w:top w:w="90" w:type="dxa"/>
              <w:start w:w="100" w:type="dxa"/>
              <w:bottom w:w="90" w:type="dxa"/>
              <w:end w:w="100" w:type="dxa"/>
            </w:tcMar>
            <w:shd w:fill="F6F9F9"/>
            <w:vAlign w:val="center"/>
          </w:tcPr>
          <w:p>
            <w:r>
              <w:rPr>
                <w:color w:val="2A3032"/>
                <w:sz w:val="18"/>
              </w:rPr>
              <w:t>Bilgi hiyerarşisi; opacity ile değil erişilebilir kontrastla</w:t>
            </w:r>
          </w:p>
        </w:tc>
      </w:tr>
    </w:tbl>
    <w:p>
      <w:pPr>
        <w:spacing w:after="120" w:line="271" w:lineRule="auto"/>
      </w:pPr>
    </w:p>
    <w:p>
      <w:pPr>
        <w:pStyle w:val="Heading2"/>
        <w:keepNext/>
      </w:pPr>
      <w:r>
        <w:t>Radius ve spacing sistemi</w:t>
      </w:r>
    </w:p>
    <w:tbl>
      <w:tblPr>
        <w:tblStyle w:val="TableGrid"/>
        <w:tblW w:type="auto" w:w="0"/>
        <w:jc w:val="center"/>
        <w:tblLook w:firstColumn="1" w:firstRow="1" w:lastColumn="0" w:lastRow="0" w:noHBand="0" w:noVBand="1" w:val="04A0"/>
      </w:tblPr>
      <w:tblGrid>
        <w:gridCol w:w="5083"/>
        <w:gridCol w:w="5083"/>
      </w:tblGrid>
      <w:tr>
        <w:tc>
          <w:tcPr>
            <w:tcW w:type="dxa" w:w="3168"/>
            <w:shd w:fill="143B42"/>
            <w:tcMar>
              <w:top w:w="100" w:type="dxa"/>
              <w:start w:w="100" w:type="dxa"/>
              <w:bottom w:w="100" w:type="dxa"/>
              <w:end w:w="100" w:type="dxa"/>
            </w:tcMar>
          </w:tcPr>
          <w:p>
            <w:pPr>
              <w:jc w:val="left"/>
            </w:pPr>
            <w:r>
              <w:rPr>
                <w:b/>
                <w:color w:val="FFFFFF"/>
                <w:sz w:val="19"/>
              </w:rPr>
              <w:t>Token grubu</w:t>
            </w:r>
          </w:p>
        </w:tc>
        <w:tc>
          <w:tcPr>
            <w:tcW w:type="dxa" w:w="5616"/>
            <w:shd w:fill="143B42"/>
            <w:tcMar>
              <w:top w:w="100" w:type="dxa"/>
              <w:start w:w="100" w:type="dxa"/>
              <w:bottom w:w="100" w:type="dxa"/>
              <w:end w:w="100" w:type="dxa"/>
            </w:tcMar>
          </w:tcPr>
          <w:p>
            <w:pPr>
              <w:jc w:val="left"/>
            </w:pPr>
            <w:r>
              <w:rPr>
                <w:b/>
                <w:color w:val="FFFFFF"/>
                <w:sz w:val="19"/>
              </w:rPr>
              <w:t>Değer mantığı</w:t>
            </w:r>
          </w:p>
        </w:tc>
      </w:tr>
      <w:tr>
        <w:tc>
          <w:tcPr>
            <w:tcW w:type="dxa" w:w="3168"/>
            <w:tcMar>
              <w:top w:w="90" w:type="dxa"/>
              <w:start w:w="100" w:type="dxa"/>
              <w:bottom w:w="90" w:type="dxa"/>
              <w:end w:w="100" w:type="dxa"/>
            </w:tcMar>
            <w:vAlign w:val="center"/>
          </w:tcPr>
          <w:p>
            <w:r>
              <w:rPr>
                <w:color w:val="2A3032"/>
                <w:sz w:val="18"/>
              </w:rPr>
              <w:t>Radius XS / S / M / L / XL</w:t>
            </w:r>
          </w:p>
        </w:tc>
        <w:tc>
          <w:tcPr>
            <w:tcW w:type="dxa" w:w="5616"/>
            <w:tcMar>
              <w:top w:w="90" w:type="dxa"/>
              <w:start w:w="100" w:type="dxa"/>
              <w:bottom w:w="90" w:type="dxa"/>
              <w:end w:w="100" w:type="dxa"/>
            </w:tcMar>
            <w:vAlign w:val="center"/>
          </w:tcPr>
          <w:p>
            <w:r>
              <w:rPr>
                <w:color w:val="2A3032"/>
                <w:sz w:val="18"/>
              </w:rPr>
              <w:t>10 / 14 / 20 / 28 / 36 px</w:t>
            </w:r>
          </w:p>
        </w:tc>
      </w:tr>
      <w:tr>
        <w:tc>
          <w:tcPr>
            <w:tcW w:type="dxa" w:w="3168"/>
            <w:tcMar>
              <w:top w:w="90" w:type="dxa"/>
              <w:start w:w="100" w:type="dxa"/>
              <w:bottom w:w="90" w:type="dxa"/>
              <w:end w:w="100" w:type="dxa"/>
            </w:tcMar>
            <w:shd w:fill="F6F9F9"/>
            <w:vAlign w:val="center"/>
          </w:tcPr>
          <w:p>
            <w:r>
              <w:rPr>
                <w:color w:val="2A3032"/>
                <w:sz w:val="18"/>
              </w:rPr>
              <w:t>Spacing scale</w:t>
            </w:r>
          </w:p>
        </w:tc>
        <w:tc>
          <w:tcPr>
            <w:tcW w:type="dxa" w:w="5616"/>
            <w:tcMar>
              <w:top w:w="90" w:type="dxa"/>
              <w:start w:w="100" w:type="dxa"/>
              <w:bottom w:w="90" w:type="dxa"/>
              <w:end w:w="100" w:type="dxa"/>
            </w:tcMar>
            <w:shd w:fill="F6F9F9"/>
            <w:vAlign w:val="center"/>
          </w:tcPr>
          <w:p>
            <w:r>
              <w:rPr>
                <w:color w:val="2A3032"/>
                <w:sz w:val="18"/>
              </w:rPr>
              <w:t>4 tabanlı: 4, 8, 12, 16, 20, 24, 32, 40, 48</w:t>
            </w:r>
          </w:p>
        </w:tc>
      </w:tr>
      <w:tr>
        <w:tc>
          <w:tcPr>
            <w:tcW w:type="dxa" w:w="3168"/>
            <w:tcMar>
              <w:top w:w="90" w:type="dxa"/>
              <w:start w:w="100" w:type="dxa"/>
              <w:bottom w:w="90" w:type="dxa"/>
              <w:end w:w="100" w:type="dxa"/>
            </w:tcMar>
            <w:vAlign w:val="center"/>
          </w:tcPr>
          <w:p>
            <w:r>
              <w:rPr>
                <w:color w:val="2A3032"/>
                <w:sz w:val="18"/>
              </w:rPr>
              <w:t>Page gutter mobile</w:t>
            </w:r>
          </w:p>
        </w:tc>
        <w:tc>
          <w:tcPr>
            <w:tcW w:type="dxa" w:w="5616"/>
            <w:tcMar>
              <w:top w:w="90" w:type="dxa"/>
              <w:start w:w="100" w:type="dxa"/>
              <w:bottom w:w="90" w:type="dxa"/>
              <w:end w:w="100" w:type="dxa"/>
            </w:tcMar>
            <w:vAlign w:val="center"/>
          </w:tcPr>
          <w:p>
            <w:r>
              <w:rPr>
                <w:color w:val="2A3032"/>
                <w:sz w:val="18"/>
              </w:rPr>
              <w:t>16–20 px</w:t>
            </w:r>
          </w:p>
        </w:tc>
      </w:tr>
      <w:tr>
        <w:tc>
          <w:tcPr>
            <w:tcW w:type="dxa" w:w="3168"/>
            <w:tcMar>
              <w:top w:w="90" w:type="dxa"/>
              <w:start w:w="100" w:type="dxa"/>
              <w:bottom w:w="90" w:type="dxa"/>
              <w:end w:w="100" w:type="dxa"/>
            </w:tcMar>
            <w:shd w:fill="F6F9F9"/>
            <w:vAlign w:val="center"/>
          </w:tcPr>
          <w:p>
            <w:r>
              <w:rPr>
                <w:color w:val="2A3032"/>
                <w:sz w:val="18"/>
              </w:rPr>
              <w:t>Page gutter tablet</w:t>
            </w:r>
          </w:p>
        </w:tc>
        <w:tc>
          <w:tcPr>
            <w:tcW w:type="dxa" w:w="5616"/>
            <w:tcMar>
              <w:top w:w="90" w:type="dxa"/>
              <w:start w:w="100" w:type="dxa"/>
              <w:bottom w:w="90" w:type="dxa"/>
              <w:end w:w="100" w:type="dxa"/>
            </w:tcMar>
            <w:shd w:fill="F6F9F9"/>
            <w:vAlign w:val="center"/>
          </w:tcPr>
          <w:p>
            <w:r>
              <w:rPr>
                <w:color w:val="2A3032"/>
                <w:sz w:val="18"/>
              </w:rPr>
              <w:t>24 px</w:t>
            </w:r>
          </w:p>
        </w:tc>
      </w:tr>
      <w:tr>
        <w:tc>
          <w:tcPr>
            <w:tcW w:type="dxa" w:w="3168"/>
            <w:tcMar>
              <w:top w:w="90" w:type="dxa"/>
              <w:start w:w="100" w:type="dxa"/>
              <w:bottom w:w="90" w:type="dxa"/>
              <w:end w:w="100" w:type="dxa"/>
            </w:tcMar>
            <w:vAlign w:val="center"/>
          </w:tcPr>
          <w:p>
            <w:r>
              <w:rPr>
                <w:color w:val="2A3032"/>
                <w:sz w:val="18"/>
              </w:rPr>
              <w:t>Page gutter desktop</w:t>
            </w:r>
          </w:p>
        </w:tc>
        <w:tc>
          <w:tcPr>
            <w:tcW w:type="dxa" w:w="5616"/>
            <w:tcMar>
              <w:top w:w="90" w:type="dxa"/>
              <w:start w:w="100" w:type="dxa"/>
              <w:bottom w:w="90" w:type="dxa"/>
              <w:end w:w="100" w:type="dxa"/>
            </w:tcMar>
            <w:vAlign w:val="center"/>
          </w:tcPr>
          <w:p>
            <w:r>
              <w:rPr>
                <w:color w:val="2A3032"/>
                <w:sz w:val="18"/>
              </w:rPr>
              <w:t>28–40 px</w:t>
            </w:r>
          </w:p>
        </w:tc>
      </w:tr>
      <w:tr>
        <w:tc>
          <w:tcPr>
            <w:tcW w:type="dxa" w:w="3168"/>
            <w:tcMar>
              <w:top w:w="90" w:type="dxa"/>
              <w:start w:w="100" w:type="dxa"/>
              <w:bottom w:w="90" w:type="dxa"/>
              <w:end w:w="100" w:type="dxa"/>
            </w:tcMar>
            <w:shd w:fill="F6F9F9"/>
            <w:vAlign w:val="center"/>
          </w:tcPr>
          <w:p>
            <w:r>
              <w:rPr>
                <w:color w:val="2A3032"/>
                <w:sz w:val="18"/>
              </w:rPr>
              <w:t>Card internal padding</w:t>
            </w:r>
          </w:p>
        </w:tc>
        <w:tc>
          <w:tcPr>
            <w:tcW w:type="dxa" w:w="5616"/>
            <w:tcMar>
              <w:top w:w="90" w:type="dxa"/>
              <w:start w:w="100" w:type="dxa"/>
              <w:bottom w:w="90" w:type="dxa"/>
              <w:end w:w="100" w:type="dxa"/>
            </w:tcMar>
            <w:shd w:fill="F6F9F9"/>
            <w:vAlign w:val="center"/>
          </w:tcPr>
          <w:p>
            <w:r>
              <w:rPr>
                <w:color w:val="2A3032"/>
                <w:sz w:val="18"/>
              </w:rPr>
              <w:t>16–24 px mobile; 20–32 px desktop</w:t>
            </w:r>
          </w:p>
        </w:tc>
      </w:tr>
      <w:tr>
        <w:tc>
          <w:tcPr>
            <w:tcW w:type="dxa" w:w="3168"/>
            <w:tcMar>
              <w:top w:w="90" w:type="dxa"/>
              <w:start w:w="100" w:type="dxa"/>
              <w:bottom w:w="90" w:type="dxa"/>
              <w:end w:w="100" w:type="dxa"/>
            </w:tcMar>
            <w:vAlign w:val="center"/>
          </w:tcPr>
          <w:p>
            <w:r>
              <w:rPr>
                <w:color w:val="2A3032"/>
                <w:sz w:val="18"/>
              </w:rPr>
              <w:t>Section gap</w:t>
            </w:r>
          </w:p>
        </w:tc>
        <w:tc>
          <w:tcPr>
            <w:tcW w:type="dxa" w:w="5616"/>
            <w:tcMar>
              <w:top w:w="90" w:type="dxa"/>
              <w:start w:w="100" w:type="dxa"/>
              <w:bottom w:w="90" w:type="dxa"/>
              <w:end w:w="100" w:type="dxa"/>
            </w:tcMar>
            <w:vAlign w:val="center"/>
          </w:tcPr>
          <w:p>
            <w:r>
              <w:rPr>
                <w:color w:val="2A3032"/>
                <w:sz w:val="18"/>
              </w:rPr>
              <w:t>20–32 px</w:t>
            </w:r>
          </w:p>
        </w:tc>
      </w:tr>
    </w:tbl>
    <w:p>
      <w:pPr>
        <w:spacing w:after="120" w:line="271" w:lineRule="auto"/>
      </w:pPr>
    </w:p>
    <w:p>
      <w:pPr>
        <w:pStyle w:val="Heading2"/>
        <w:keepNext/>
      </w:pPr>
      <w:r>
        <w:t>Glass ve derinlik</w:t>
      </w:r>
    </w:p>
    <w:p>
      <w:pPr>
        <w:pStyle w:val="ListBullet"/>
        <w:spacing w:after="40"/>
      </w:pPr>
      <w:r>
        <w:t>Blur tek başına premium görünüm değildir; surface opacity, inner highlight, border ve shadow birlikte çalışır.</w:t>
      </w:r>
    </w:p>
    <w:p>
      <w:pPr>
        <w:pStyle w:val="ListBullet"/>
        <w:spacing w:after="40"/>
      </w:pPr>
      <w:r>
        <w:t>Her kart aynı glow’u kullanmaz. Glow yalnız aktif, kritik veya METRIX’e ait alanlarda kontrollü kullanılır.</w:t>
      </w:r>
    </w:p>
    <w:p>
      <w:pPr>
        <w:pStyle w:val="ListBullet"/>
        <w:spacing w:after="40"/>
      </w:pPr>
      <w:r>
        <w:t>Ana yüzeyler ile iç kartlar arasında en az iki katmanlı derinlik farkı bulunur.</w:t>
      </w:r>
    </w:p>
    <w:p>
      <w:pPr>
        <w:pStyle w:val="ListBullet"/>
        <w:spacing w:after="40"/>
      </w:pPr>
      <w:r>
        <w:t>Gölge değerleri koyu zeminde görünür ama kirli halo üretmeyecek kadar kontrollüdür.</w:t>
      </w:r>
    </w:p>
    <w:p>
      <w:pPr>
        <w:spacing w:before="80" w:after="120" w:line="271" w:lineRule="auto"/>
      </w:pPr>
      <w:r>
        <w:rPr>
          <w:rFonts w:ascii="Aptos" w:hAnsi="Aptos"/>
          <w:b/>
          <w:color w:val="20DCCB"/>
          <w:sz w:val="18"/>
        </w:rPr>
        <w:t>9. TIPOGRAFI VE İKON SISTEMI</w:t>
      </w:r>
    </w:p>
    <w:p>
      <w:pPr>
        <w:pStyle w:val="Heading1"/>
        <w:keepNext/>
      </w:pPr>
      <w:r>
        <w:t>Okunabilirlik Önceliği</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43B42"/>
            <w:tcMar>
              <w:top w:w="100" w:type="dxa"/>
              <w:start w:w="100" w:type="dxa"/>
              <w:bottom w:w="100" w:type="dxa"/>
              <w:end w:w="100" w:type="dxa"/>
            </w:tcMar>
          </w:tcPr>
          <w:p>
            <w:pPr>
              <w:jc w:val="left"/>
            </w:pPr>
            <w:r>
              <w:rPr>
                <w:b/>
                <w:color w:val="FFFFFF"/>
                <w:sz w:val="19"/>
              </w:rPr>
              <w:t>Rol</w:t>
            </w:r>
          </w:p>
        </w:tc>
        <w:tc>
          <w:tcPr>
            <w:tcW w:type="dxa" w:w="3168"/>
            <w:shd w:fill="143B42"/>
            <w:tcMar>
              <w:top w:w="100" w:type="dxa"/>
              <w:start w:w="100" w:type="dxa"/>
              <w:bottom w:w="100" w:type="dxa"/>
              <w:end w:w="100" w:type="dxa"/>
            </w:tcMar>
          </w:tcPr>
          <w:p>
            <w:pPr>
              <w:jc w:val="left"/>
            </w:pPr>
            <w:r>
              <w:rPr>
                <w:b/>
                <w:color w:val="FFFFFF"/>
                <w:sz w:val="19"/>
              </w:rPr>
              <w:t>Mobil</w:t>
            </w:r>
          </w:p>
        </w:tc>
        <w:tc>
          <w:tcPr>
            <w:tcW w:type="dxa" w:w="3168"/>
            <w:shd w:fill="143B42"/>
            <w:tcMar>
              <w:top w:w="100" w:type="dxa"/>
              <w:start w:w="100" w:type="dxa"/>
              <w:bottom w:w="100" w:type="dxa"/>
              <w:end w:w="100" w:type="dxa"/>
            </w:tcMar>
          </w:tcPr>
          <w:p>
            <w:pPr>
              <w:jc w:val="left"/>
            </w:pPr>
            <w:r>
              <w:rPr>
                <w:b/>
                <w:color w:val="FFFFFF"/>
                <w:sz w:val="19"/>
              </w:rPr>
              <w:t>Masaüstü</w:t>
            </w:r>
          </w:p>
        </w:tc>
      </w:tr>
      <w:tr>
        <w:tc>
          <w:tcPr>
            <w:tcW w:type="dxa" w:w="2304"/>
            <w:tcMar>
              <w:top w:w="90" w:type="dxa"/>
              <w:start w:w="100" w:type="dxa"/>
              <w:bottom w:w="90" w:type="dxa"/>
              <w:end w:w="100" w:type="dxa"/>
            </w:tcMar>
            <w:vAlign w:val="center"/>
          </w:tcPr>
          <w:p>
            <w:r>
              <w:rPr>
                <w:color w:val="2A3032"/>
                <w:sz w:val="18"/>
              </w:rPr>
              <w:t>Page title</w:t>
            </w:r>
          </w:p>
        </w:tc>
        <w:tc>
          <w:tcPr>
            <w:tcW w:type="dxa" w:w="3168"/>
            <w:tcMar>
              <w:top w:w="90" w:type="dxa"/>
              <w:start w:w="100" w:type="dxa"/>
              <w:bottom w:w="90" w:type="dxa"/>
              <w:end w:w="100" w:type="dxa"/>
            </w:tcMar>
            <w:vAlign w:val="center"/>
          </w:tcPr>
          <w:p>
            <w:r>
              <w:rPr>
                <w:color w:val="2A3032"/>
                <w:sz w:val="18"/>
              </w:rPr>
              <w:t>22–28 px / 650–750</w:t>
            </w:r>
          </w:p>
        </w:tc>
        <w:tc>
          <w:tcPr>
            <w:tcW w:type="dxa" w:w="3168"/>
            <w:tcMar>
              <w:top w:w="90" w:type="dxa"/>
              <w:start w:w="100" w:type="dxa"/>
              <w:bottom w:w="90" w:type="dxa"/>
              <w:end w:w="100" w:type="dxa"/>
            </w:tcMar>
            <w:vAlign w:val="center"/>
          </w:tcPr>
          <w:p>
            <w:r>
              <w:rPr>
                <w:color w:val="2A3032"/>
                <w:sz w:val="18"/>
              </w:rPr>
              <w:t>26–34 px / 650–750</w:t>
            </w:r>
          </w:p>
        </w:tc>
      </w:tr>
      <w:tr>
        <w:tc>
          <w:tcPr>
            <w:tcW w:type="dxa" w:w="2304"/>
            <w:tcMar>
              <w:top w:w="90" w:type="dxa"/>
              <w:start w:w="100" w:type="dxa"/>
              <w:bottom w:w="90" w:type="dxa"/>
              <w:end w:w="100" w:type="dxa"/>
            </w:tcMar>
            <w:shd w:fill="F6F9F9"/>
            <w:vAlign w:val="center"/>
          </w:tcPr>
          <w:p>
            <w:r>
              <w:rPr>
                <w:color w:val="2A3032"/>
                <w:sz w:val="18"/>
              </w:rPr>
              <w:t>Section title</w:t>
            </w:r>
          </w:p>
        </w:tc>
        <w:tc>
          <w:tcPr>
            <w:tcW w:type="dxa" w:w="3168"/>
            <w:tcMar>
              <w:top w:w="90" w:type="dxa"/>
              <w:start w:w="100" w:type="dxa"/>
              <w:bottom w:w="90" w:type="dxa"/>
              <w:end w:w="100" w:type="dxa"/>
            </w:tcMar>
            <w:shd w:fill="F6F9F9"/>
            <w:vAlign w:val="center"/>
          </w:tcPr>
          <w:p>
            <w:r>
              <w:rPr>
                <w:color w:val="2A3032"/>
                <w:sz w:val="18"/>
              </w:rPr>
              <w:t>20–24 px / 650</w:t>
            </w:r>
          </w:p>
        </w:tc>
        <w:tc>
          <w:tcPr>
            <w:tcW w:type="dxa" w:w="3168"/>
            <w:tcMar>
              <w:top w:w="90" w:type="dxa"/>
              <w:start w:w="100" w:type="dxa"/>
              <w:bottom w:w="90" w:type="dxa"/>
              <w:end w:w="100" w:type="dxa"/>
            </w:tcMar>
            <w:shd w:fill="F6F9F9"/>
            <w:vAlign w:val="center"/>
          </w:tcPr>
          <w:p>
            <w:r>
              <w:rPr>
                <w:color w:val="2A3032"/>
                <w:sz w:val="18"/>
              </w:rPr>
              <w:t>22–28 px / 650</w:t>
            </w:r>
          </w:p>
        </w:tc>
      </w:tr>
      <w:tr>
        <w:tc>
          <w:tcPr>
            <w:tcW w:type="dxa" w:w="2304"/>
            <w:tcMar>
              <w:top w:w="90" w:type="dxa"/>
              <w:start w:w="100" w:type="dxa"/>
              <w:bottom w:w="90" w:type="dxa"/>
              <w:end w:w="100" w:type="dxa"/>
            </w:tcMar>
            <w:vAlign w:val="center"/>
          </w:tcPr>
          <w:p>
            <w:r>
              <w:rPr>
                <w:color w:val="2A3032"/>
                <w:sz w:val="18"/>
              </w:rPr>
              <w:t>Card metric</w:t>
            </w:r>
          </w:p>
        </w:tc>
        <w:tc>
          <w:tcPr>
            <w:tcW w:type="dxa" w:w="3168"/>
            <w:tcMar>
              <w:top w:w="90" w:type="dxa"/>
              <w:start w:w="100" w:type="dxa"/>
              <w:bottom w:w="90" w:type="dxa"/>
              <w:end w:w="100" w:type="dxa"/>
            </w:tcMar>
            <w:vAlign w:val="center"/>
          </w:tcPr>
          <w:p>
            <w:r>
              <w:rPr>
                <w:color w:val="2A3032"/>
                <w:sz w:val="18"/>
              </w:rPr>
              <w:t>28–38 px / 650–750</w:t>
            </w:r>
          </w:p>
        </w:tc>
        <w:tc>
          <w:tcPr>
            <w:tcW w:type="dxa" w:w="3168"/>
            <w:tcMar>
              <w:top w:w="90" w:type="dxa"/>
              <w:start w:w="100" w:type="dxa"/>
              <w:bottom w:w="90" w:type="dxa"/>
              <w:end w:w="100" w:type="dxa"/>
            </w:tcMar>
            <w:vAlign w:val="center"/>
          </w:tcPr>
          <w:p>
            <w:r>
              <w:rPr>
                <w:color w:val="2A3032"/>
                <w:sz w:val="18"/>
              </w:rPr>
              <w:t>30–44 px / 650–750</w:t>
            </w:r>
          </w:p>
        </w:tc>
      </w:tr>
      <w:tr>
        <w:tc>
          <w:tcPr>
            <w:tcW w:type="dxa" w:w="2304"/>
            <w:tcMar>
              <w:top w:w="90" w:type="dxa"/>
              <w:start w:w="100" w:type="dxa"/>
              <w:bottom w:w="90" w:type="dxa"/>
              <w:end w:w="100" w:type="dxa"/>
            </w:tcMar>
            <w:shd w:fill="F6F9F9"/>
            <w:vAlign w:val="center"/>
          </w:tcPr>
          <w:p>
            <w:r>
              <w:rPr>
                <w:color w:val="2A3032"/>
                <w:sz w:val="18"/>
              </w:rPr>
              <w:t>Body</w:t>
            </w:r>
          </w:p>
        </w:tc>
        <w:tc>
          <w:tcPr>
            <w:tcW w:type="dxa" w:w="3168"/>
            <w:tcMar>
              <w:top w:w="90" w:type="dxa"/>
              <w:start w:w="100" w:type="dxa"/>
              <w:bottom w:w="90" w:type="dxa"/>
              <w:end w:w="100" w:type="dxa"/>
            </w:tcMar>
            <w:shd w:fill="F6F9F9"/>
            <w:vAlign w:val="center"/>
          </w:tcPr>
          <w:p>
            <w:r>
              <w:rPr>
                <w:color w:val="2A3032"/>
                <w:sz w:val="18"/>
              </w:rPr>
              <w:t>15–17 px / 400–500</w:t>
            </w:r>
          </w:p>
        </w:tc>
        <w:tc>
          <w:tcPr>
            <w:tcW w:type="dxa" w:w="3168"/>
            <w:tcMar>
              <w:top w:w="90" w:type="dxa"/>
              <w:start w:w="100" w:type="dxa"/>
              <w:bottom w:w="90" w:type="dxa"/>
              <w:end w:w="100" w:type="dxa"/>
            </w:tcMar>
            <w:shd w:fill="F6F9F9"/>
            <w:vAlign w:val="center"/>
          </w:tcPr>
          <w:p>
            <w:r>
              <w:rPr>
                <w:color w:val="2A3032"/>
                <w:sz w:val="18"/>
              </w:rPr>
              <w:t>15–17 px / 400–500</w:t>
            </w:r>
          </w:p>
        </w:tc>
      </w:tr>
      <w:tr>
        <w:tc>
          <w:tcPr>
            <w:tcW w:type="dxa" w:w="2304"/>
            <w:tcMar>
              <w:top w:w="90" w:type="dxa"/>
              <w:start w:w="100" w:type="dxa"/>
              <w:bottom w:w="90" w:type="dxa"/>
              <w:end w:w="100" w:type="dxa"/>
            </w:tcMar>
            <w:vAlign w:val="center"/>
          </w:tcPr>
          <w:p>
            <w:r>
              <w:rPr>
                <w:color w:val="2A3032"/>
                <w:sz w:val="18"/>
              </w:rPr>
              <w:t>Label</w:t>
            </w:r>
          </w:p>
        </w:tc>
        <w:tc>
          <w:tcPr>
            <w:tcW w:type="dxa" w:w="3168"/>
            <w:tcMar>
              <w:top w:w="90" w:type="dxa"/>
              <w:start w:w="100" w:type="dxa"/>
              <w:bottom w:w="90" w:type="dxa"/>
              <w:end w:w="100" w:type="dxa"/>
            </w:tcMar>
            <w:vAlign w:val="center"/>
          </w:tcPr>
          <w:p>
            <w:r>
              <w:rPr>
                <w:color w:val="2A3032"/>
                <w:sz w:val="18"/>
              </w:rPr>
              <w:t>11–13 px / 600 / tracking</w:t>
            </w:r>
          </w:p>
        </w:tc>
        <w:tc>
          <w:tcPr>
            <w:tcW w:type="dxa" w:w="3168"/>
            <w:tcMar>
              <w:top w:w="90" w:type="dxa"/>
              <w:start w:w="100" w:type="dxa"/>
              <w:bottom w:w="90" w:type="dxa"/>
              <w:end w:w="100" w:type="dxa"/>
            </w:tcMar>
            <w:vAlign w:val="center"/>
          </w:tcPr>
          <w:p>
            <w:r>
              <w:rPr>
                <w:color w:val="2A3032"/>
                <w:sz w:val="18"/>
              </w:rPr>
              <w:t>11–13 px / 600 / tracking</w:t>
            </w:r>
          </w:p>
        </w:tc>
      </w:tr>
      <w:tr>
        <w:tc>
          <w:tcPr>
            <w:tcW w:type="dxa" w:w="2304"/>
            <w:tcMar>
              <w:top w:w="90" w:type="dxa"/>
              <w:start w:w="100" w:type="dxa"/>
              <w:bottom w:w="90" w:type="dxa"/>
              <w:end w:w="100" w:type="dxa"/>
            </w:tcMar>
            <w:shd w:fill="F6F9F9"/>
            <w:vAlign w:val="center"/>
          </w:tcPr>
          <w:p>
            <w:r>
              <w:rPr>
                <w:color w:val="2A3032"/>
                <w:sz w:val="18"/>
              </w:rPr>
              <w:t>Caption</w:t>
            </w:r>
          </w:p>
        </w:tc>
        <w:tc>
          <w:tcPr>
            <w:tcW w:type="dxa" w:w="3168"/>
            <w:tcMar>
              <w:top w:w="90" w:type="dxa"/>
              <w:start w:w="100" w:type="dxa"/>
              <w:bottom w:w="90" w:type="dxa"/>
              <w:end w:w="100" w:type="dxa"/>
            </w:tcMar>
            <w:shd w:fill="F6F9F9"/>
            <w:vAlign w:val="center"/>
          </w:tcPr>
          <w:p>
            <w:r>
              <w:rPr>
                <w:color w:val="2A3032"/>
                <w:sz w:val="18"/>
              </w:rPr>
              <w:t>12–14 px</w:t>
            </w:r>
          </w:p>
        </w:tc>
        <w:tc>
          <w:tcPr>
            <w:tcW w:type="dxa" w:w="3168"/>
            <w:tcMar>
              <w:top w:w="90" w:type="dxa"/>
              <w:start w:w="100" w:type="dxa"/>
              <w:bottom w:w="90" w:type="dxa"/>
              <w:end w:w="100" w:type="dxa"/>
            </w:tcMar>
            <w:shd w:fill="F6F9F9"/>
            <w:vAlign w:val="center"/>
          </w:tcPr>
          <w:p>
            <w:r>
              <w:rPr>
                <w:color w:val="2A3032"/>
                <w:sz w:val="18"/>
              </w:rPr>
              <w:t>12–14 px</w:t>
            </w:r>
          </w:p>
        </w:tc>
      </w:tr>
    </w:tbl>
    <w:p>
      <w:pPr>
        <w:spacing w:after="120" w:line="271" w:lineRule="auto"/>
      </w:pPr>
    </w:p>
    <w:p>
      <w:pPr>
        <w:pStyle w:val="Heading2"/>
        <w:keepNext/>
      </w:pPr>
      <w:r>
        <w:t>İkon otoritesi</w:t>
      </w:r>
    </w:p>
    <w:p>
      <w:pPr>
        <w:pStyle w:val="ListBullet"/>
        <w:spacing w:after="40"/>
      </w:pPr>
      <w:r>
        <w:t>Standart eylemler için tek bir profesyonel SVG ikon ailesi kullanılır.</w:t>
      </w:r>
    </w:p>
    <w:p>
      <w:pPr>
        <w:pStyle w:val="ListBullet"/>
        <w:spacing w:after="40"/>
      </w:pPr>
      <w:r>
        <w:t>Aynı ekranda farklı stroke ağırlığı, dolu/çizgi karışımı veya farklı optik geometri kullanılmaz.</w:t>
      </w:r>
    </w:p>
    <w:p>
      <w:pPr>
        <w:pStyle w:val="ListBullet"/>
        <w:spacing w:after="40"/>
      </w:pPr>
      <w:r>
        <w:t>Özel METRIX ikonları ayrı asset ailesinde tutulur; genel ikon setini taklit edecek optik ölçülere sahip olur.</w:t>
      </w:r>
    </w:p>
    <w:p>
      <w:pPr>
        <w:pStyle w:val="ListBullet"/>
        <w:spacing w:after="40"/>
      </w:pPr>
      <w:r>
        <w:t>İkonlar text karakteri, emoji veya platforma göre değişen font glyph’i olarak kullanılmaz.</w:t>
      </w:r>
    </w:p>
    <w:p>
      <w:pPr>
        <w:pStyle w:val="ListBullet"/>
        <w:spacing w:after="40"/>
      </w:pPr>
      <w:r>
        <w:t>Her ikon component’i size, stroke, state ve accessibility label sözleşmesini taşır.</w:t>
      </w:r>
    </w:p>
    <w:p>
      <w:pPr>
        <w:pStyle w:val="ListBullet"/>
        <w:spacing w:after="40"/>
      </w:pPr>
      <w:r>
        <w:t>KPI kartlarında ikon, bilgi sınıfını hızla tanıtır; yalnız dekorasyon için eklenmez.</w:t>
      </w:r>
    </w:p>
    <w:tbl>
      <w:tblPr>
        <w:tblStyle w:val="TableGrid"/>
        <w:tblW w:type="auto" w:w="0"/>
        <w:jc w:val="center"/>
        <w:tblLook w:firstColumn="1" w:firstRow="1" w:lastColumn="0" w:lastRow="0" w:noHBand="0" w:noVBand="1" w:val="04A0"/>
      </w:tblPr>
      <w:tblGrid>
        <w:gridCol w:w="5083"/>
        <w:gridCol w:w="5083"/>
      </w:tblGrid>
      <w:tr>
        <w:tc>
          <w:tcPr>
            <w:tcW w:type="dxa" w:w="3600"/>
            <w:shd w:fill="143B42"/>
            <w:tcMar>
              <w:top w:w="100" w:type="dxa"/>
              <w:start w:w="100" w:type="dxa"/>
              <w:bottom w:w="100" w:type="dxa"/>
              <w:end w:w="100" w:type="dxa"/>
            </w:tcMar>
          </w:tcPr>
          <w:p>
            <w:pPr>
              <w:jc w:val="left"/>
            </w:pPr>
            <w:r>
              <w:rPr>
                <w:b/>
                <w:color w:val="FFFFFF"/>
                <w:sz w:val="19"/>
              </w:rPr>
              <w:t>İkon bağlamı</w:t>
            </w:r>
          </w:p>
        </w:tc>
        <w:tc>
          <w:tcPr>
            <w:tcW w:type="dxa" w:w="5040"/>
            <w:shd w:fill="143B42"/>
            <w:tcMar>
              <w:top w:w="100" w:type="dxa"/>
              <w:start w:w="100" w:type="dxa"/>
              <w:bottom w:w="100" w:type="dxa"/>
              <w:end w:w="100" w:type="dxa"/>
            </w:tcMar>
          </w:tcPr>
          <w:p>
            <w:pPr>
              <w:jc w:val="left"/>
            </w:pPr>
            <w:r>
              <w:rPr>
                <w:b/>
                <w:color w:val="FFFFFF"/>
                <w:sz w:val="19"/>
              </w:rPr>
              <w:t>Optik boyut</w:t>
            </w:r>
          </w:p>
        </w:tc>
      </w:tr>
      <w:tr>
        <w:tc>
          <w:tcPr>
            <w:tcW w:type="dxa" w:w="3600"/>
            <w:tcMar>
              <w:top w:w="90" w:type="dxa"/>
              <w:start w:w="100" w:type="dxa"/>
              <w:bottom w:w="90" w:type="dxa"/>
              <w:end w:w="100" w:type="dxa"/>
            </w:tcMar>
            <w:vAlign w:val="center"/>
          </w:tcPr>
          <w:p>
            <w:r>
              <w:rPr>
                <w:color w:val="2A3032"/>
                <w:sz w:val="18"/>
              </w:rPr>
              <w:t>Dock item</w:t>
            </w:r>
          </w:p>
        </w:tc>
        <w:tc>
          <w:tcPr>
            <w:tcW w:type="dxa" w:w="5040"/>
            <w:tcMar>
              <w:top w:w="90" w:type="dxa"/>
              <w:start w:w="100" w:type="dxa"/>
              <w:bottom w:w="90" w:type="dxa"/>
              <w:end w:w="100" w:type="dxa"/>
            </w:tcMar>
            <w:vAlign w:val="center"/>
          </w:tcPr>
          <w:p>
            <w:r>
              <w:rPr>
                <w:color w:val="2A3032"/>
                <w:sz w:val="18"/>
              </w:rPr>
              <w:t>22–26 px</w:t>
            </w:r>
          </w:p>
        </w:tc>
      </w:tr>
      <w:tr>
        <w:tc>
          <w:tcPr>
            <w:tcW w:type="dxa" w:w="3600"/>
            <w:tcMar>
              <w:top w:w="90" w:type="dxa"/>
              <w:start w:w="100" w:type="dxa"/>
              <w:bottom w:w="90" w:type="dxa"/>
              <w:end w:w="100" w:type="dxa"/>
            </w:tcMar>
            <w:shd w:fill="F6F9F9"/>
            <w:vAlign w:val="center"/>
          </w:tcPr>
          <w:p>
            <w:r>
              <w:rPr>
                <w:color w:val="2A3032"/>
                <w:sz w:val="18"/>
              </w:rPr>
              <w:t>Header action</w:t>
            </w:r>
          </w:p>
        </w:tc>
        <w:tc>
          <w:tcPr>
            <w:tcW w:type="dxa" w:w="5040"/>
            <w:tcMar>
              <w:top w:w="90" w:type="dxa"/>
              <w:start w:w="100" w:type="dxa"/>
              <w:bottom w:w="90" w:type="dxa"/>
              <w:end w:w="100" w:type="dxa"/>
            </w:tcMar>
            <w:shd w:fill="F6F9F9"/>
            <w:vAlign w:val="center"/>
          </w:tcPr>
          <w:p>
            <w:r>
              <w:rPr>
                <w:color w:val="2A3032"/>
                <w:sz w:val="18"/>
              </w:rPr>
              <w:t>22–24 px, 44 px touch container</w:t>
            </w:r>
          </w:p>
        </w:tc>
      </w:tr>
      <w:tr>
        <w:tc>
          <w:tcPr>
            <w:tcW w:type="dxa" w:w="3600"/>
            <w:tcMar>
              <w:top w:w="90" w:type="dxa"/>
              <w:start w:w="100" w:type="dxa"/>
              <w:bottom w:w="90" w:type="dxa"/>
              <w:end w:w="100" w:type="dxa"/>
            </w:tcMar>
            <w:vAlign w:val="center"/>
          </w:tcPr>
          <w:p>
            <w:r>
              <w:rPr>
                <w:color w:val="2A3032"/>
                <w:sz w:val="18"/>
              </w:rPr>
              <w:t>KPI card badge</w:t>
            </w:r>
          </w:p>
        </w:tc>
        <w:tc>
          <w:tcPr>
            <w:tcW w:type="dxa" w:w="5040"/>
            <w:tcMar>
              <w:top w:w="90" w:type="dxa"/>
              <w:start w:w="100" w:type="dxa"/>
              <w:bottom w:w="90" w:type="dxa"/>
              <w:end w:w="100" w:type="dxa"/>
            </w:tcMar>
            <w:vAlign w:val="center"/>
          </w:tcPr>
          <w:p>
            <w:r>
              <w:rPr>
                <w:color w:val="2A3032"/>
                <w:sz w:val="18"/>
              </w:rPr>
              <w:t>24–30 px, 44–52 px badge</w:t>
            </w:r>
          </w:p>
        </w:tc>
      </w:tr>
      <w:tr>
        <w:tc>
          <w:tcPr>
            <w:tcW w:type="dxa" w:w="3600"/>
            <w:tcMar>
              <w:top w:w="90" w:type="dxa"/>
              <w:start w:w="100" w:type="dxa"/>
              <w:bottom w:w="90" w:type="dxa"/>
              <w:end w:w="100" w:type="dxa"/>
            </w:tcMar>
            <w:shd w:fill="F6F9F9"/>
            <w:vAlign w:val="center"/>
          </w:tcPr>
          <w:p>
            <w:r>
              <w:rPr>
                <w:color w:val="2A3032"/>
                <w:sz w:val="18"/>
              </w:rPr>
              <w:t>List row</w:t>
            </w:r>
          </w:p>
        </w:tc>
        <w:tc>
          <w:tcPr>
            <w:tcW w:type="dxa" w:w="5040"/>
            <w:tcMar>
              <w:top w:w="90" w:type="dxa"/>
              <w:start w:w="100" w:type="dxa"/>
              <w:bottom w:w="90" w:type="dxa"/>
              <w:end w:w="100" w:type="dxa"/>
            </w:tcMar>
            <w:shd w:fill="F6F9F9"/>
            <w:vAlign w:val="center"/>
          </w:tcPr>
          <w:p>
            <w:r>
              <w:rPr>
                <w:color w:val="2A3032"/>
                <w:sz w:val="18"/>
              </w:rPr>
              <w:t>20–24 px</w:t>
            </w:r>
          </w:p>
        </w:tc>
      </w:tr>
      <w:tr>
        <w:tc>
          <w:tcPr>
            <w:tcW w:type="dxa" w:w="3600"/>
            <w:tcMar>
              <w:top w:w="90" w:type="dxa"/>
              <w:start w:w="100" w:type="dxa"/>
              <w:bottom w:w="90" w:type="dxa"/>
              <w:end w:w="100" w:type="dxa"/>
            </w:tcMar>
            <w:vAlign w:val="center"/>
          </w:tcPr>
          <w:p>
            <w:r>
              <w:rPr>
                <w:color w:val="2A3032"/>
                <w:sz w:val="18"/>
              </w:rPr>
              <w:t>Inline status</w:t>
            </w:r>
          </w:p>
        </w:tc>
        <w:tc>
          <w:tcPr>
            <w:tcW w:type="dxa" w:w="5040"/>
            <w:tcMar>
              <w:top w:w="90" w:type="dxa"/>
              <w:start w:w="100" w:type="dxa"/>
              <w:bottom w:w="90" w:type="dxa"/>
              <w:end w:w="100" w:type="dxa"/>
            </w:tcMar>
            <w:vAlign w:val="center"/>
          </w:tcPr>
          <w:p>
            <w:r>
              <w:rPr>
                <w:color w:val="2A3032"/>
                <w:sz w:val="18"/>
              </w:rPr>
              <w:t>14–18 px</w:t>
            </w:r>
          </w:p>
        </w:tc>
      </w:tr>
      <w:tr>
        <w:tc>
          <w:tcPr>
            <w:tcW w:type="dxa" w:w="3600"/>
            <w:tcMar>
              <w:top w:w="90" w:type="dxa"/>
              <w:start w:w="100" w:type="dxa"/>
              <w:bottom w:w="90" w:type="dxa"/>
              <w:end w:w="100" w:type="dxa"/>
            </w:tcMar>
            <w:shd w:fill="F6F9F9"/>
            <w:vAlign w:val="center"/>
          </w:tcPr>
          <w:p>
            <w:r>
              <w:rPr>
                <w:color w:val="2A3032"/>
                <w:sz w:val="18"/>
              </w:rPr>
              <w:t>METRIX custom mark</w:t>
            </w:r>
          </w:p>
        </w:tc>
        <w:tc>
          <w:tcPr>
            <w:tcW w:type="dxa" w:w="5040"/>
            <w:tcMar>
              <w:top w:w="90" w:type="dxa"/>
              <w:start w:w="100" w:type="dxa"/>
              <w:bottom w:w="90" w:type="dxa"/>
              <w:end w:w="100" w:type="dxa"/>
            </w:tcMar>
            <w:shd w:fill="F6F9F9"/>
            <w:vAlign w:val="center"/>
          </w:tcPr>
          <w:p>
            <w:r>
              <w:rPr>
                <w:color w:val="2A3032"/>
                <w:sz w:val="18"/>
              </w:rPr>
              <w:t>Context’e göre özel token</w:t>
            </w:r>
          </w:p>
        </w:tc>
      </w:tr>
    </w:tbl>
    <w:p>
      <w:pPr>
        <w:spacing w:after="120" w:line="271" w:lineRule="auto"/>
      </w:pPr>
    </w:p>
    <w:p>
      <w:pPr>
        <w:spacing w:before="80" w:after="120" w:line="271" w:lineRule="auto"/>
      </w:pPr>
      <w:r>
        <w:rPr>
          <w:rFonts w:ascii="Aptos" w:hAnsi="Aptos"/>
          <w:b/>
          <w:color w:val="20DCCB"/>
          <w:sz w:val="18"/>
        </w:rPr>
        <w:t>10. ORTAK COMPONENT SÖZLEŞMESI</w:t>
      </w:r>
    </w:p>
    <w:p>
      <w:pPr>
        <w:pStyle w:val="Heading1"/>
        <w:keepNext/>
      </w:pPr>
      <w:r>
        <w:t>Sayfalar Parçalardan Kurulur</w:t>
      </w:r>
    </w:p>
    <w:tbl>
      <w:tblPr>
        <w:tblStyle w:val="TableGrid"/>
        <w:tblW w:type="auto" w:w="0"/>
        <w:jc w:val="center"/>
        <w:tblLook w:firstColumn="1" w:firstRow="1" w:lastColumn="0" w:lastRow="0" w:noHBand="0" w:noVBand="1" w:val="04A0"/>
      </w:tblPr>
      <w:tblGrid>
        <w:gridCol w:w="5083"/>
        <w:gridCol w:w="5083"/>
      </w:tblGrid>
      <w:tr>
        <w:tc>
          <w:tcPr>
            <w:tcW w:type="dxa" w:w="2880"/>
            <w:shd w:fill="143B42"/>
            <w:tcMar>
              <w:top w:w="100" w:type="dxa"/>
              <w:start w:w="100" w:type="dxa"/>
              <w:bottom w:w="100" w:type="dxa"/>
              <w:end w:w="100" w:type="dxa"/>
            </w:tcMar>
          </w:tcPr>
          <w:p>
            <w:pPr>
              <w:jc w:val="left"/>
            </w:pPr>
            <w:r>
              <w:rPr>
                <w:b/>
                <w:color w:val="FFFFFF"/>
                <w:sz w:val="19"/>
              </w:rPr>
              <w:t>Component</w:t>
            </w:r>
          </w:p>
        </w:tc>
        <w:tc>
          <w:tcPr>
            <w:tcW w:type="dxa" w:w="6048"/>
            <w:shd w:fill="143B42"/>
            <w:tcMar>
              <w:top w:w="100" w:type="dxa"/>
              <w:start w:w="100" w:type="dxa"/>
              <w:bottom w:w="100" w:type="dxa"/>
              <w:end w:w="100" w:type="dxa"/>
            </w:tcMar>
          </w:tcPr>
          <w:p>
            <w:pPr>
              <w:jc w:val="left"/>
            </w:pPr>
            <w:r>
              <w:rPr>
                <w:b/>
                <w:color w:val="FFFFFF"/>
                <w:sz w:val="19"/>
              </w:rPr>
              <w:t>Zorunlu özellikler</w:t>
            </w:r>
          </w:p>
        </w:tc>
      </w:tr>
      <w:tr>
        <w:tc>
          <w:tcPr>
            <w:tcW w:type="dxa" w:w="2880"/>
            <w:tcMar>
              <w:top w:w="90" w:type="dxa"/>
              <w:start w:w="100" w:type="dxa"/>
              <w:bottom w:w="90" w:type="dxa"/>
              <w:end w:w="100" w:type="dxa"/>
            </w:tcMar>
            <w:vAlign w:val="center"/>
          </w:tcPr>
          <w:p>
            <w:r>
              <w:rPr>
                <w:color w:val="2A3032"/>
                <w:sz w:val="18"/>
              </w:rPr>
              <w:t>ExecutiveMetricCard</w:t>
            </w:r>
          </w:p>
        </w:tc>
        <w:tc>
          <w:tcPr>
            <w:tcW w:type="dxa" w:w="6048"/>
            <w:tcMar>
              <w:top w:w="90" w:type="dxa"/>
              <w:start w:w="100" w:type="dxa"/>
              <w:bottom w:w="90" w:type="dxa"/>
              <w:end w:w="100" w:type="dxa"/>
            </w:tcMar>
            <w:vAlign w:val="center"/>
          </w:tcPr>
          <w:p>
            <w:r>
              <w:rPr>
                <w:color w:val="2A3032"/>
                <w:sz w:val="18"/>
              </w:rPr>
              <w:t>label, value, status, icon, helper, progress, action; loading/empty/error state</w:t>
            </w:r>
          </w:p>
        </w:tc>
      </w:tr>
      <w:tr>
        <w:tc>
          <w:tcPr>
            <w:tcW w:type="dxa" w:w="2880"/>
            <w:tcMar>
              <w:top w:w="90" w:type="dxa"/>
              <w:start w:w="100" w:type="dxa"/>
              <w:bottom w:w="90" w:type="dxa"/>
              <w:end w:w="100" w:type="dxa"/>
            </w:tcMar>
            <w:shd w:fill="F6F9F9"/>
            <w:vAlign w:val="center"/>
          </w:tcPr>
          <w:p>
            <w:r>
              <w:rPr>
                <w:color w:val="2A3032"/>
                <w:sz w:val="18"/>
              </w:rPr>
              <w:t>ExecutiveSection</w:t>
            </w:r>
          </w:p>
        </w:tc>
        <w:tc>
          <w:tcPr>
            <w:tcW w:type="dxa" w:w="6048"/>
            <w:tcMar>
              <w:top w:w="90" w:type="dxa"/>
              <w:start w:w="100" w:type="dxa"/>
              <w:bottom w:w="90" w:type="dxa"/>
              <w:end w:w="100" w:type="dxa"/>
            </w:tcMar>
            <w:shd w:fill="F6F9F9"/>
            <w:vAlign w:val="center"/>
          </w:tcPr>
          <w:p>
            <w:r>
              <w:rPr>
                <w:color w:val="2A3032"/>
                <w:sz w:val="18"/>
              </w:rPr>
              <w:t>title, kicker, description, actions, collapsible, scroll mode</w:t>
            </w:r>
          </w:p>
        </w:tc>
      </w:tr>
      <w:tr>
        <w:tc>
          <w:tcPr>
            <w:tcW w:type="dxa" w:w="2880"/>
            <w:tcMar>
              <w:top w:w="90" w:type="dxa"/>
              <w:start w:w="100" w:type="dxa"/>
              <w:bottom w:w="90" w:type="dxa"/>
              <w:end w:w="100" w:type="dxa"/>
            </w:tcMar>
            <w:vAlign w:val="center"/>
          </w:tcPr>
          <w:p>
            <w:r>
              <w:rPr>
                <w:color w:val="2A3032"/>
                <w:sz w:val="18"/>
              </w:rPr>
              <w:t>ExecutiveSummaryCard</w:t>
            </w:r>
          </w:p>
        </w:tc>
        <w:tc>
          <w:tcPr>
            <w:tcW w:type="dxa" w:w="6048"/>
            <w:tcMar>
              <w:top w:w="90" w:type="dxa"/>
              <w:start w:w="100" w:type="dxa"/>
              <w:bottom w:w="90" w:type="dxa"/>
              <w:end w:w="100" w:type="dxa"/>
            </w:tcMar>
            <w:vAlign w:val="center"/>
          </w:tcPr>
          <w:p>
            <w:r>
              <w:rPr>
                <w:color w:val="2A3032"/>
                <w:sz w:val="18"/>
              </w:rPr>
              <w:t>METRIX özeti, primary insight, supporting metrics, presence anchor</w:t>
            </w:r>
          </w:p>
        </w:tc>
      </w:tr>
      <w:tr>
        <w:tc>
          <w:tcPr>
            <w:tcW w:type="dxa" w:w="2880"/>
            <w:tcMar>
              <w:top w:w="90" w:type="dxa"/>
              <w:start w:w="100" w:type="dxa"/>
              <w:bottom w:w="90" w:type="dxa"/>
              <w:end w:w="100" w:type="dxa"/>
            </w:tcMar>
            <w:shd w:fill="F6F9F9"/>
            <w:vAlign w:val="center"/>
          </w:tcPr>
          <w:p>
            <w:r>
              <w:rPr>
                <w:color w:val="2A3032"/>
                <w:sz w:val="18"/>
              </w:rPr>
              <w:t>ExecutiveRow</w:t>
            </w:r>
          </w:p>
        </w:tc>
        <w:tc>
          <w:tcPr>
            <w:tcW w:type="dxa" w:w="6048"/>
            <w:tcMar>
              <w:top w:w="90" w:type="dxa"/>
              <w:start w:w="100" w:type="dxa"/>
              <w:bottom w:w="90" w:type="dxa"/>
              <w:end w:w="100" w:type="dxa"/>
            </w:tcMar>
            <w:shd w:fill="F6F9F9"/>
            <w:vAlign w:val="center"/>
          </w:tcPr>
          <w:p>
            <w:r>
              <w:rPr>
                <w:color w:val="2A3032"/>
                <w:sz w:val="18"/>
              </w:rPr>
              <w:t>icon, label, value, status, chevron/action, hover/focus/touch state</w:t>
            </w:r>
          </w:p>
        </w:tc>
      </w:tr>
      <w:tr>
        <w:tc>
          <w:tcPr>
            <w:tcW w:type="dxa" w:w="2880"/>
            <w:tcMar>
              <w:top w:w="90" w:type="dxa"/>
              <w:start w:w="100" w:type="dxa"/>
              <w:bottom w:w="90" w:type="dxa"/>
              <w:end w:w="100" w:type="dxa"/>
            </w:tcMar>
            <w:vAlign w:val="center"/>
          </w:tcPr>
          <w:p>
            <w:r>
              <w:rPr>
                <w:color w:val="2A3032"/>
                <w:sz w:val="18"/>
              </w:rPr>
              <w:t>ExecutiveIconBadge</w:t>
            </w:r>
          </w:p>
        </w:tc>
        <w:tc>
          <w:tcPr>
            <w:tcW w:type="dxa" w:w="6048"/>
            <w:tcMar>
              <w:top w:w="90" w:type="dxa"/>
              <w:start w:w="100" w:type="dxa"/>
              <w:bottom w:w="90" w:type="dxa"/>
              <w:end w:w="100" w:type="dxa"/>
            </w:tcMar>
            <w:vAlign w:val="center"/>
          </w:tcPr>
          <w:p>
            <w:r>
              <w:rPr>
                <w:color w:val="2A3032"/>
                <w:sz w:val="18"/>
              </w:rPr>
              <w:t>icon role, semantic color, size token, accessible label</w:t>
            </w:r>
          </w:p>
        </w:tc>
      </w:tr>
      <w:tr>
        <w:tc>
          <w:tcPr>
            <w:tcW w:type="dxa" w:w="2880"/>
            <w:tcMar>
              <w:top w:w="90" w:type="dxa"/>
              <w:start w:w="100" w:type="dxa"/>
              <w:bottom w:w="90" w:type="dxa"/>
              <w:end w:w="100" w:type="dxa"/>
            </w:tcMar>
            <w:shd w:fill="F6F9F9"/>
            <w:vAlign w:val="center"/>
          </w:tcPr>
          <w:p>
            <w:r>
              <w:rPr>
                <w:color w:val="2A3032"/>
                <w:sz w:val="18"/>
              </w:rPr>
              <w:t>ExecutiveEmptyState</w:t>
            </w:r>
          </w:p>
        </w:tc>
        <w:tc>
          <w:tcPr>
            <w:tcW w:type="dxa" w:w="6048"/>
            <w:tcMar>
              <w:top w:w="90" w:type="dxa"/>
              <w:start w:w="100" w:type="dxa"/>
              <w:bottom w:w="90" w:type="dxa"/>
              <w:end w:w="100" w:type="dxa"/>
            </w:tcMar>
            <w:shd w:fill="F6F9F9"/>
            <w:vAlign w:val="center"/>
          </w:tcPr>
          <w:p>
            <w:r>
              <w:rPr>
                <w:color w:val="2A3032"/>
                <w:sz w:val="18"/>
              </w:rPr>
              <w:t>Neden veri yok + nasıl tamamlanır + tek primary action</w:t>
            </w:r>
          </w:p>
        </w:tc>
      </w:tr>
      <w:tr>
        <w:tc>
          <w:tcPr>
            <w:tcW w:type="dxa" w:w="2880"/>
            <w:tcMar>
              <w:top w:w="90" w:type="dxa"/>
              <w:start w:w="100" w:type="dxa"/>
              <w:bottom w:w="90" w:type="dxa"/>
              <w:end w:w="100" w:type="dxa"/>
            </w:tcMar>
            <w:vAlign w:val="center"/>
          </w:tcPr>
          <w:p>
            <w:r>
              <w:rPr>
                <w:color w:val="2A3032"/>
                <w:sz w:val="18"/>
              </w:rPr>
              <w:t>ExecutiveDataStatus</w:t>
            </w:r>
          </w:p>
        </w:tc>
        <w:tc>
          <w:tcPr>
            <w:tcW w:type="dxa" w:w="6048"/>
            <w:tcMar>
              <w:top w:w="90" w:type="dxa"/>
              <w:start w:w="100" w:type="dxa"/>
              <w:bottom w:w="90" w:type="dxa"/>
              <w:end w:w="100" w:type="dxa"/>
            </w:tcMar>
            <w:vAlign w:val="center"/>
          </w:tcPr>
          <w:p>
            <w:r>
              <w:rPr>
                <w:color w:val="2A3032"/>
                <w:sz w:val="18"/>
              </w:rPr>
              <w:t>actual / forecast / missing / stale / candidate / conflict</w:t>
            </w:r>
          </w:p>
        </w:tc>
      </w:tr>
      <w:tr>
        <w:tc>
          <w:tcPr>
            <w:tcW w:type="dxa" w:w="2880"/>
            <w:tcMar>
              <w:top w:w="90" w:type="dxa"/>
              <w:start w:w="100" w:type="dxa"/>
              <w:bottom w:w="90" w:type="dxa"/>
              <w:end w:w="100" w:type="dxa"/>
            </w:tcMar>
            <w:shd w:fill="F6F9F9"/>
            <w:vAlign w:val="center"/>
          </w:tcPr>
          <w:p>
            <w:r>
              <w:rPr>
                <w:color w:val="2A3032"/>
                <w:sz w:val="18"/>
              </w:rPr>
              <w:t>ExecutiveSheet</w:t>
            </w:r>
          </w:p>
        </w:tc>
        <w:tc>
          <w:tcPr>
            <w:tcW w:type="dxa" w:w="6048"/>
            <w:tcMar>
              <w:top w:w="90" w:type="dxa"/>
              <w:start w:w="100" w:type="dxa"/>
              <w:bottom w:w="90" w:type="dxa"/>
              <w:end w:w="100" w:type="dxa"/>
            </w:tcMar>
            <w:shd w:fill="F6F9F9"/>
            <w:vAlign w:val="center"/>
          </w:tcPr>
          <w:p>
            <w:r>
              <w:rPr>
                <w:color w:val="2A3032"/>
                <w:sz w:val="18"/>
              </w:rPr>
              <w:t>Mobil düzenleme ve detay için bottom/full sheet</w:t>
            </w:r>
          </w:p>
        </w:tc>
      </w:tr>
      <w:tr>
        <w:tc>
          <w:tcPr>
            <w:tcW w:type="dxa" w:w="2880"/>
            <w:tcMar>
              <w:top w:w="90" w:type="dxa"/>
              <w:start w:w="100" w:type="dxa"/>
              <w:bottom w:w="90" w:type="dxa"/>
              <w:end w:w="100" w:type="dxa"/>
            </w:tcMar>
            <w:vAlign w:val="center"/>
          </w:tcPr>
          <w:p>
            <w:r>
              <w:rPr>
                <w:color w:val="2A3032"/>
                <w:sz w:val="18"/>
              </w:rPr>
              <w:t>ExecutiveDialog</w:t>
            </w:r>
          </w:p>
        </w:tc>
        <w:tc>
          <w:tcPr>
            <w:tcW w:type="dxa" w:w="6048"/>
            <w:tcMar>
              <w:top w:w="90" w:type="dxa"/>
              <w:start w:w="100" w:type="dxa"/>
              <w:bottom w:w="90" w:type="dxa"/>
              <w:end w:w="100" w:type="dxa"/>
            </w:tcMar>
            <w:vAlign w:val="center"/>
          </w:tcPr>
          <w:p>
            <w:r>
              <w:rPr>
                <w:color w:val="2A3032"/>
                <w:sz w:val="18"/>
              </w:rPr>
              <w:t>Riskli onay, destructive veya kritik confirmation</w:t>
            </w:r>
          </w:p>
        </w:tc>
      </w:tr>
      <w:tr>
        <w:tc>
          <w:tcPr>
            <w:tcW w:type="dxa" w:w="2880"/>
            <w:tcMar>
              <w:top w:w="90" w:type="dxa"/>
              <w:start w:w="100" w:type="dxa"/>
              <w:bottom w:w="90" w:type="dxa"/>
              <w:end w:w="100" w:type="dxa"/>
            </w:tcMar>
            <w:shd w:fill="F6F9F9"/>
            <w:vAlign w:val="center"/>
          </w:tcPr>
          <w:p>
            <w:r>
              <w:rPr>
                <w:color w:val="2A3032"/>
                <w:sz w:val="18"/>
              </w:rPr>
              <w:t>ExecutiveTabs / SectionNav</w:t>
            </w:r>
          </w:p>
        </w:tc>
        <w:tc>
          <w:tcPr>
            <w:tcW w:type="dxa" w:w="6048"/>
            <w:tcMar>
              <w:top w:w="90" w:type="dxa"/>
              <w:start w:w="100" w:type="dxa"/>
              <w:bottom w:w="90" w:type="dxa"/>
              <w:end w:w="100" w:type="dxa"/>
            </w:tcMar>
            <w:shd w:fill="F6F9F9"/>
            <w:vAlign w:val="center"/>
          </w:tcPr>
          <w:p>
            <w:r>
              <w:rPr>
                <w:color w:val="2A3032"/>
                <w:sz w:val="18"/>
              </w:rPr>
              <w:t>Desktop tab, mobile select/sheet/segmented navigation; yatay sıkışık tab yasak</w:t>
            </w:r>
          </w:p>
        </w:tc>
      </w:tr>
    </w:tbl>
    <w:p>
      <w:pPr>
        <w:spacing w:after="120" w:line="271" w:lineRule="auto"/>
      </w:pPr>
    </w:p>
    <w:p>
      <w:pPr>
        <w:pStyle w:val="Heading2"/>
        <w:keepNext/>
      </w:pPr>
      <w:r>
        <w:t>State kapsamı</w:t>
      </w:r>
    </w:p>
    <w:tbl>
      <w:tblPr>
        <w:tblStyle w:val="TableGrid"/>
        <w:tblW w:type="auto" w:w="0"/>
        <w:jc w:val="center"/>
        <w:tblLook w:firstColumn="1" w:firstRow="1" w:lastColumn="0" w:lastRow="0" w:noHBand="0" w:noVBand="1" w:val="04A0"/>
      </w:tblPr>
      <w:tblGrid>
        <w:gridCol w:w="5083"/>
        <w:gridCol w:w="5083"/>
      </w:tblGrid>
      <w:tr>
        <w:tc>
          <w:tcPr>
            <w:tcW w:type="dxa" w:w="2592"/>
            <w:shd w:fill="143B42"/>
            <w:tcMar>
              <w:top w:w="100" w:type="dxa"/>
              <w:start w:w="100" w:type="dxa"/>
              <w:bottom w:w="100" w:type="dxa"/>
              <w:end w:w="100" w:type="dxa"/>
            </w:tcMar>
          </w:tcPr>
          <w:p>
            <w:pPr>
              <w:jc w:val="left"/>
            </w:pPr>
            <w:r>
              <w:rPr>
                <w:b/>
                <w:color w:val="FFFFFF"/>
                <w:sz w:val="19"/>
              </w:rPr>
              <w:t>State</w:t>
            </w:r>
          </w:p>
        </w:tc>
        <w:tc>
          <w:tcPr>
            <w:tcW w:type="dxa" w:w="6192"/>
            <w:shd w:fill="143B42"/>
            <w:tcMar>
              <w:top w:w="100" w:type="dxa"/>
              <w:start w:w="100" w:type="dxa"/>
              <w:bottom w:w="100" w:type="dxa"/>
              <w:end w:w="100" w:type="dxa"/>
            </w:tcMar>
          </w:tcPr>
          <w:p>
            <w:pPr>
              <w:jc w:val="left"/>
            </w:pPr>
            <w:r>
              <w:rPr>
                <w:b/>
                <w:color w:val="FFFFFF"/>
                <w:sz w:val="19"/>
              </w:rPr>
              <w:t>Görsel davranış</w:t>
            </w:r>
          </w:p>
        </w:tc>
      </w:tr>
      <w:tr>
        <w:tc>
          <w:tcPr>
            <w:tcW w:type="dxa" w:w="2592"/>
            <w:tcMar>
              <w:top w:w="90" w:type="dxa"/>
              <w:start w:w="100" w:type="dxa"/>
              <w:bottom w:w="90" w:type="dxa"/>
              <w:end w:w="100" w:type="dxa"/>
            </w:tcMar>
            <w:vAlign w:val="center"/>
          </w:tcPr>
          <w:p>
            <w:r>
              <w:rPr>
                <w:color w:val="2A3032"/>
                <w:sz w:val="18"/>
              </w:rPr>
              <w:t>Loading</w:t>
            </w:r>
          </w:p>
        </w:tc>
        <w:tc>
          <w:tcPr>
            <w:tcW w:type="dxa" w:w="6192"/>
            <w:tcMar>
              <w:top w:w="90" w:type="dxa"/>
              <w:start w:w="100" w:type="dxa"/>
              <w:bottom w:w="90" w:type="dxa"/>
              <w:end w:w="100" w:type="dxa"/>
            </w:tcMar>
            <w:vAlign w:val="center"/>
          </w:tcPr>
          <w:p>
            <w:r>
              <w:rPr>
                <w:color w:val="2A3032"/>
                <w:sz w:val="18"/>
              </w:rPr>
              <w:t>Skeleton; layout zıplamaz</w:t>
            </w:r>
          </w:p>
        </w:tc>
      </w:tr>
      <w:tr>
        <w:tc>
          <w:tcPr>
            <w:tcW w:type="dxa" w:w="2592"/>
            <w:tcMar>
              <w:top w:w="90" w:type="dxa"/>
              <w:start w:w="100" w:type="dxa"/>
              <w:bottom w:w="90" w:type="dxa"/>
              <w:end w:w="100" w:type="dxa"/>
            </w:tcMar>
            <w:shd w:fill="F6F9F9"/>
            <w:vAlign w:val="center"/>
          </w:tcPr>
          <w:p>
            <w:r>
              <w:rPr>
                <w:color w:val="2A3032"/>
                <w:sz w:val="18"/>
              </w:rPr>
              <w:t>Empty</w:t>
            </w:r>
          </w:p>
        </w:tc>
        <w:tc>
          <w:tcPr>
            <w:tcW w:type="dxa" w:w="6192"/>
            <w:tcMar>
              <w:top w:w="90" w:type="dxa"/>
              <w:start w:w="100" w:type="dxa"/>
              <w:bottom w:w="90" w:type="dxa"/>
              <w:end w:w="100" w:type="dxa"/>
            </w:tcMar>
            <w:shd w:fill="F6F9F9"/>
            <w:vAlign w:val="center"/>
          </w:tcPr>
          <w:p>
            <w:r>
              <w:rPr>
                <w:color w:val="2A3032"/>
                <w:sz w:val="18"/>
              </w:rPr>
              <w:t>Boş alan değil; sebep ve tamamlayıcı aksiyon</w:t>
            </w:r>
          </w:p>
        </w:tc>
      </w:tr>
      <w:tr>
        <w:tc>
          <w:tcPr>
            <w:tcW w:type="dxa" w:w="2592"/>
            <w:tcMar>
              <w:top w:w="90" w:type="dxa"/>
              <w:start w:w="100" w:type="dxa"/>
              <w:bottom w:w="90" w:type="dxa"/>
              <w:end w:w="100" w:type="dxa"/>
            </w:tcMar>
            <w:vAlign w:val="center"/>
          </w:tcPr>
          <w:p>
            <w:r>
              <w:rPr>
                <w:color w:val="2A3032"/>
                <w:sz w:val="18"/>
              </w:rPr>
              <w:t>Missing data</w:t>
            </w:r>
          </w:p>
        </w:tc>
        <w:tc>
          <w:tcPr>
            <w:tcW w:type="dxa" w:w="6192"/>
            <w:tcMar>
              <w:top w:w="90" w:type="dxa"/>
              <w:start w:w="100" w:type="dxa"/>
              <w:bottom w:w="90" w:type="dxa"/>
              <w:end w:w="100" w:type="dxa"/>
            </w:tcMar>
            <w:vAlign w:val="center"/>
          </w:tcPr>
          <w:p>
            <w:r>
              <w:rPr>
                <w:color w:val="2A3032"/>
                <w:sz w:val="18"/>
              </w:rPr>
              <w:t>Amber “Veri yok” ve veri kaynağı açıklaması</w:t>
            </w:r>
          </w:p>
        </w:tc>
      </w:tr>
      <w:tr>
        <w:tc>
          <w:tcPr>
            <w:tcW w:type="dxa" w:w="2592"/>
            <w:tcMar>
              <w:top w:w="90" w:type="dxa"/>
              <w:start w:w="100" w:type="dxa"/>
              <w:bottom w:w="90" w:type="dxa"/>
              <w:end w:w="100" w:type="dxa"/>
            </w:tcMar>
            <w:shd w:fill="F6F9F9"/>
            <w:vAlign w:val="center"/>
          </w:tcPr>
          <w:p>
            <w:r>
              <w:rPr>
                <w:color w:val="2A3032"/>
                <w:sz w:val="18"/>
              </w:rPr>
              <w:t>Candidate</w:t>
            </w:r>
          </w:p>
        </w:tc>
        <w:tc>
          <w:tcPr>
            <w:tcW w:type="dxa" w:w="6192"/>
            <w:tcMar>
              <w:top w:w="90" w:type="dxa"/>
              <w:start w:w="100" w:type="dxa"/>
              <w:bottom w:w="90" w:type="dxa"/>
              <w:end w:w="100" w:type="dxa"/>
            </w:tcMar>
            <w:shd w:fill="F6F9F9"/>
            <w:vAlign w:val="center"/>
          </w:tcPr>
          <w:p>
            <w:r>
              <w:rPr>
                <w:color w:val="2A3032"/>
                <w:sz w:val="18"/>
              </w:rPr>
              <w:t>Onay bekleyen badge + inceleme aksiyonu</w:t>
            </w:r>
          </w:p>
        </w:tc>
      </w:tr>
      <w:tr>
        <w:tc>
          <w:tcPr>
            <w:tcW w:type="dxa" w:w="2592"/>
            <w:tcMar>
              <w:top w:w="90" w:type="dxa"/>
              <w:start w:w="100" w:type="dxa"/>
              <w:bottom w:w="90" w:type="dxa"/>
              <w:end w:w="100" w:type="dxa"/>
            </w:tcMar>
            <w:vAlign w:val="center"/>
          </w:tcPr>
          <w:p>
            <w:r>
              <w:rPr>
                <w:color w:val="2A3032"/>
                <w:sz w:val="18"/>
              </w:rPr>
              <w:t>Conflict</w:t>
            </w:r>
          </w:p>
        </w:tc>
        <w:tc>
          <w:tcPr>
            <w:tcW w:type="dxa" w:w="6192"/>
            <w:tcMar>
              <w:top w:w="90" w:type="dxa"/>
              <w:start w:w="100" w:type="dxa"/>
              <w:bottom w:w="90" w:type="dxa"/>
              <w:end w:w="100" w:type="dxa"/>
            </w:tcMar>
            <w:vAlign w:val="center"/>
          </w:tcPr>
          <w:p>
            <w:r>
              <w:rPr>
                <w:color w:val="2A3032"/>
                <w:sz w:val="18"/>
              </w:rPr>
              <w:t>Kaynaklar arası çelişki açık gösterilir</w:t>
            </w:r>
          </w:p>
        </w:tc>
      </w:tr>
      <w:tr>
        <w:tc>
          <w:tcPr>
            <w:tcW w:type="dxa" w:w="2592"/>
            <w:tcMar>
              <w:top w:w="90" w:type="dxa"/>
              <w:start w:w="100" w:type="dxa"/>
              <w:bottom w:w="90" w:type="dxa"/>
              <w:end w:w="100" w:type="dxa"/>
            </w:tcMar>
            <w:shd w:fill="F6F9F9"/>
            <w:vAlign w:val="center"/>
          </w:tcPr>
          <w:p>
            <w:r>
              <w:rPr>
                <w:color w:val="2A3032"/>
                <w:sz w:val="18"/>
              </w:rPr>
              <w:t>Error</w:t>
            </w:r>
          </w:p>
        </w:tc>
        <w:tc>
          <w:tcPr>
            <w:tcW w:type="dxa" w:w="6192"/>
            <w:tcMar>
              <w:top w:w="90" w:type="dxa"/>
              <w:start w:w="100" w:type="dxa"/>
              <w:bottom w:w="90" w:type="dxa"/>
              <w:end w:w="100" w:type="dxa"/>
            </w:tcMar>
            <w:shd w:fill="F6F9F9"/>
            <w:vAlign w:val="center"/>
          </w:tcPr>
          <w:p>
            <w:r>
              <w:rPr>
                <w:color w:val="2A3032"/>
                <w:sz w:val="18"/>
              </w:rPr>
              <w:t>İşlem başarısız; yeniden dene ve hata bağlamı</w:t>
            </w:r>
          </w:p>
        </w:tc>
      </w:tr>
      <w:tr>
        <w:tc>
          <w:tcPr>
            <w:tcW w:type="dxa" w:w="2592"/>
            <w:tcMar>
              <w:top w:w="90" w:type="dxa"/>
              <w:start w:w="100" w:type="dxa"/>
              <w:bottom w:w="90" w:type="dxa"/>
              <w:end w:w="100" w:type="dxa"/>
            </w:tcMar>
            <w:vAlign w:val="center"/>
          </w:tcPr>
          <w:p>
            <w:r>
              <w:rPr>
                <w:color w:val="2A3032"/>
                <w:sz w:val="18"/>
              </w:rPr>
              <w:t>Success</w:t>
            </w:r>
          </w:p>
        </w:tc>
        <w:tc>
          <w:tcPr>
            <w:tcW w:type="dxa" w:w="6192"/>
            <w:tcMar>
              <w:top w:w="90" w:type="dxa"/>
              <w:start w:w="100" w:type="dxa"/>
              <w:bottom w:w="90" w:type="dxa"/>
              <w:end w:w="100" w:type="dxa"/>
            </w:tcMar>
            <w:vAlign w:val="center"/>
          </w:tcPr>
          <w:p>
            <w:r>
              <w:rPr>
                <w:color w:val="2A3032"/>
                <w:sz w:val="18"/>
              </w:rPr>
              <w:t>Kısa, sakin confirmation; kalıcı neon gösteri yok</w:t>
            </w:r>
          </w:p>
        </w:tc>
      </w:tr>
      <w:tr>
        <w:tc>
          <w:tcPr>
            <w:tcW w:type="dxa" w:w="2592"/>
            <w:tcMar>
              <w:top w:w="90" w:type="dxa"/>
              <w:start w:w="100" w:type="dxa"/>
              <w:bottom w:w="90" w:type="dxa"/>
              <w:end w:w="100" w:type="dxa"/>
            </w:tcMar>
            <w:shd w:fill="F6F9F9"/>
            <w:vAlign w:val="center"/>
          </w:tcPr>
          <w:p>
            <w:r>
              <w:rPr>
                <w:color w:val="2A3032"/>
                <w:sz w:val="18"/>
              </w:rPr>
              <w:t>Stale</w:t>
            </w:r>
          </w:p>
        </w:tc>
        <w:tc>
          <w:tcPr>
            <w:tcW w:type="dxa" w:w="6192"/>
            <w:tcMar>
              <w:top w:w="90" w:type="dxa"/>
              <w:start w:w="100" w:type="dxa"/>
              <w:bottom w:w="90" w:type="dxa"/>
              <w:end w:w="100" w:type="dxa"/>
            </w:tcMar>
            <w:shd w:fill="F6F9F9"/>
            <w:vAlign w:val="center"/>
          </w:tcPr>
          <w:p>
            <w:r>
              <w:rPr>
                <w:color w:val="2A3032"/>
                <w:sz w:val="18"/>
              </w:rPr>
              <w:t>Son güncelleme ve yenileme aksiyonu</w:t>
            </w:r>
          </w:p>
        </w:tc>
      </w:tr>
    </w:tbl>
    <w:p>
      <w:pPr>
        <w:spacing w:after="120" w:line="271" w:lineRule="auto"/>
      </w:pPr>
    </w:p>
    <w:p>
      <w:pPr>
        <w:spacing w:before="80" w:after="120" w:line="271" w:lineRule="auto"/>
      </w:pPr>
      <w:r>
        <w:rPr>
          <w:rFonts w:ascii="Aptos" w:hAnsi="Aptos"/>
          <w:b/>
          <w:color w:val="20DCCB"/>
          <w:sz w:val="18"/>
        </w:rPr>
        <w:t>11. ŞIRKETIM REFERANS UYGULAMASI</w:t>
      </w:r>
    </w:p>
    <w:p>
      <w:pPr>
        <w:pStyle w:val="Heading1"/>
        <w:keepNext/>
      </w:pPr>
      <w:r>
        <w:t>Beğenilen Tasarımın Teknik Karşılığı</w:t>
      </w:r>
    </w:p>
    <w:p>
      <w:pPr>
        <w:spacing w:after="120" w:line="271" w:lineRule="auto"/>
      </w:pPr>
      <w:r>
        <w:t>Şirketim sayfası bu sistemin ilk referans uygulamasıdır. Görsel hedef, üstte METRIX markası ve bildirim alanı; dengeli KPI kartları; sayfa seçimi; METRIX Yönetim Özeti; şirket gerçekliğini gösteren yönetim panelleri ve altta içerikle çakışmayan Executive Dock yapısıdır.</w:t>
      </w:r>
    </w:p>
    <w:tbl>
      <w:tblPr>
        <w:tblStyle w:val="TableGrid"/>
        <w:tblW w:type="auto" w:w="0"/>
        <w:jc w:val="center"/>
        <w:tblLook w:firstColumn="1" w:firstRow="1" w:lastColumn="0" w:lastRow="0" w:noHBand="0" w:noVBand="1" w:val="04A0"/>
      </w:tblPr>
      <w:tblGrid>
        <w:gridCol w:w="5083"/>
        <w:gridCol w:w="5083"/>
      </w:tblGrid>
      <w:tr>
        <w:tc>
          <w:tcPr>
            <w:tcW w:type="dxa" w:w="2880"/>
            <w:shd w:fill="143B42"/>
            <w:tcMar>
              <w:top w:w="100" w:type="dxa"/>
              <w:start w:w="100" w:type="dxa"/>
              <w:bottom w:w="100" w:type="dxa"/>
              <w:end w:w="100" w:type="dxa"/>
            </w:tcMar>
          </w:tcPr>
          <w:p>
            <w:pPr>
              <w:jc w:val="left"/>
            </w:pPr>
            <w:r>
              <w:rPr>
                <w:b/>
                <w:color w:val="FFFFFF"/>
                <w:sz w:val="19"/>
              </w:rPr>
              <w:t>Bölüm</w:t>
            </w:r>
          </w:p>
        </w:tc>
        <w:tc>
          <w:tcPr>
            <w:tcW w:type="dxa" w:w="6048"/>
            <w:shd w:fill="143B42"/>
            <w:tcMar>
              <w:top w:w="100" w:type="dxa"/>
              <w:start w:w="100" w:type="dxa"/>
              <w:bottom w:w="100" w:type="dxa"/>
              <w:end w:w="100" w:type="dxa"/>
            </w:tcMar>
          </w:tcPr>
          <w:p>
            <w:pPr>
              <w:jc w:val="left"/>
            </w:pPr>
            <w:r>
              <w:rPr>
                <w:b/>
                <w:color w:val="FFFFFF"/>
                <w:sz w:val="19"/>
              </w:rPr>
              <w:t>Teknik yapı</w:t>
            </w:r>
          </w:p>
        </w:tc>
      </w:tr>
      <w:tr>
        <w:tc>
          <w:tcPr>
            <w:tcW w:type="dxa" w:w="2880"/>
            <w:tcMar>
              <w:top w:w="90" w:type="dxa"/>
              <w:start w:w="100" w:type="dxa"/>
              <w:bottom w:w="90" w:type="dxa"/>
              <w:end w:w="100" w:type="dxa"/>
            </w:tcMar>
            <w:vAlign w:val="center"/>
          </w:tcPr>
          <w:p>
            <w:r>
              <w:rPr>
                <w:color w:val="2A3032"/>
                <w:sz w:val="18"/>
              </w:rPr>
              <w:t>Header</w:t>
            </w:r>
          </w:p>
        </w:tc>
        <w:tc>
          <w:tcPr>
            <w:tcW w:type="dxa" w:w="6048"/>
            <w:tcMar>
              <w:top w:w="90" w:type="dxa"/>
              <w:start w:w="100" w:type="dxa"/>
              <w:bottom w:w="90" w:type="dxa"/>
              <w:end w:w="100" w:type="dxa"/>
            </w:tcMar>
            <w:vAlign w:val="center"/>
          </w:tcPr>
          <w:p>
            <w:r>
              <w:rPr>
                <w:color w:val="2A3032"/>
                <w:sz w:val="18"/>
              </w:rPr>
              <w:t>ExecutiveHeader; marka + Şirketim / Yönetim Merkezi + notification/profile</w:t>
            </w:r>
          </w:p>
        </w:tc>
      </w:tr>
      <w:tr>
        <w:tc>
          <w:tcPr>
            <w:tcW w:type="dxa" w:w="2880"/>
            <w:tcMar>
              <w:top w:w="90" w:type="dxa"/>
              <w:start w:w="100" w:type="dxa"/>
              <w:bottom w:w="90" w:type="dxa"/>
              <w:end w:w="100" w:type="dxa"/>
            </w:tcMar>
            <w:shd w:fill="F6F9F9"/>
            <w:vAlign w:val="center"/>
          </w:tcPr>
          <w:p>
            <w:r>
              <w:rPr>
                <w:color w:val="2A3032"/>
                <w:sz w:val="18"/>
              </w:rPr>
              <w:t>KPI grid</w:t>
            </w:r>
          </w:p>
        </w:tc>
        <w:tc>
          <w:tcPr>
            <w:tcW w:type="dxa" w:w="6048"/>
            <w:tcMar>
              <w:top w:w="90" w:type="dxa"/>
              <w:start w:w="100" w:type="dxa"/>
              <w:bottom w:w="90" w:type="dxa"/>
              <w:end w:w="100" w:type="dxa"/>
            </w:tcMar>
            <w:shd w:fill="F6F9F9"/>
            <w:vAlign w:val="center"/>
          </w:tcPr>
          <w:p>
            <w:r>
              <w:rPr>
                <w:color w:val="2A3032"/>
                <w:sz w:val="18"/>
              </w:rPr>
              <w:t>ExecutiveMetricCard; mobil 2×2, desktop 4-column veya responsive grid</w:t>
            </w:r>
          </w:p>
        </w:tc>
      </w:tr>
      <w:tr>
        <w:tc>
          <w:tcPr>
            <w:tcW w:type="dxa" w:w="2880"/>
            <w:tcMar>
              <w:top w:w="90" w:type="dxa"/>
              <w:start w:w="100" w:type="dxa"/>
              <w:bottom w:w="90" w:type="dxa"/>
              <w:end w:w="100" w:type="dxa"/>
            </w:tcMar>
            <w:vAlign w:val="center"/>
          </w:tcPr>
          <w:p>
            <w:r>
              <w:rPr>
                <w:color w:val="2A3032"/>
                <w:sz w:val="18"/>
              </w:rPr>
              <w:t>Section navigation</w:t>
            </w:r>
          </w:p>
        </w:tc>
        <w:tc>
          <w:tcPr>
            <w:tcW w:type="dxa" w:w="6048"/>
            <w:tcMar>
              <w:top w:w="90" w:type="dxa"/>
              <w:start w:w="100" w:type="dxa"/>
              <w:bottom w:w="90" w:type="dxa"/>
              <w:end w:w="100" w:type="dxa"/>
            </w:tcMar>
            <w:vAlign w:val="center"/>
          </w:tcPr>
          <w:p>
            <w:r>
              <w:rPr>
                <w:color w:val="2A3032"/>
                <w:sz w:val="18"/>
              </w:rPr>
              <w:t>Desktop tab/segmented; mobil premium select veya sheet</w:t>
            </w:r>
          </w:p>
        </w:tc>
      </w:tr>
      <w:tr>
        <w:tc>
          <w:tcPr>
            <w:tcW w:type="dxa" w:w="2880"/>
            <w:tcMar>
              <w:top w:w="90" w:type="dxa"/>
              <w:start w:w="100" w:type="dxa"/>
              <w:bottom w:w="90" w:type="dxa"/>
              <w:end w:w="100" w:type="dxa"/>
            </w:tcMar>
            <w:shd w:fill="F6F9F9"/>
            <w:vAlign w:val="center"/>
          </w:tcPr>
          <w:p>
            <w:r>
              <w:rPr>
                <w:color w:val="2A3032"/>
                <w:sz w:val="18"/>
              </w:rPr>
              <w:t>Management summary</w:t>
            </w:r>
          </w:p>
        </w:tc>
        <w:tc>
          <w:tcPr>
            <w:tcW w:type="dxa" w:w="6048"/>
            <w:tcMar>
              <w:top w:w="90" w:type="dxa"/>
              <w:start w:w="100" w:type="dxa"/>
              <w:bottom w:w="90" w:type="dxa"/>
              <w:end w:w="100" w:type="dxa"/>
            </w:tcMar>
            <w:shd w:fill="F6F9F9"/>
            <w:vAlign w:val="center"/>
          </w:tcPr>
          <w:p>
            <w:r>
              <w:rPr>
                <w:color w:val="2A3032"/>
                <w:sz w:val="18"/>
              </w:rPr>
              <w:t>ExecutiveSummaryCard; canonical özet + dört supporting metric</w:t>
            </w:r>
          </w:p>
        </w:tc>
      </w:tr>
      <w:tr>
        <w:tc>
          <w:tcPr>
            <w:tcW w:type="dxa" w:w="2880"/>
            <w:tcMar>
              <w:top w:w="90" w:type="dxa"/>
              <w:start w:w="100" w:type="dxa"/>
              <w:bottom w:w="90" w:type="dxa"/>
              <w:end w:w="100" w:type="dxa"/>
            </w:tcMar>
            <w:vAlign w:val="center"/>
          </w:tcPr>
          <w:p>
            <w:r>
              <w:rPr>
                <w:color w:val="2A3032"/>
                <w:sz w:val="18"/>
              </w:rPr>
              <w:t>Financial view</w:t>
            </w:r>
          </w:p>
        </w:tc>
        <w:tc>
          <w:tcPr>
            <w:tcW w:type="dxa" w:w="6048"/>
            <w:tcMar>
              <w:top w:w="90" w:type="dxa"/>
              <w:start w:w="100" w:type="dxa"/>
              <w:bottom w:w="90" w:type="dxa"/>
              <w:end w:w="100" w:type="dxa"/>
            </w:tcMar>
            <w:vAlign w:val="center"/>
          </w:tcPr>
          <w:p>
            <w:r>
              <w:rPr>
                <w:color w:val="2A3032"/>
                <w:sz w:val="18"/>
              </w:rPr>
              <w:t>ExecutiveSection + ExecutiveRow; missing/actual/forecast durumları</w:t>
            </w:r>
          </w:p>
        </w:tc>
      </w:tr>
      <w:tr>
        <w:tc>
          <w:tcPr>
            <w:tcW w:type="dxa" w:w="2880"/>
            <w:tcMar>
              <w:top w:w="90" w:type="dxa"/>
              <w:start w:w="100" w:type="dxa"/>
              <w:bottom w:w="90" w:type="dxa"/>
              <w:end w:w="100" w:type="dxa"/>
            </w:tcMar>
            <w:shd w:fill="F6F9F9"/>
            <w:vAlign w:val="center"/>
          </w:tcPr>
          <w:p>
            <w:r>
              <w:rPr>
                <w:color w:val="2A3032"/>
                <w:sz w:val="18"/>
              </w:rPr>
              <w:t>Floating presence</w:t>
            </w:r>
          </w:p>
        </w:tc>
        <w:tc>
          <w:tcPr>
            <w:tcW w:type="dxa" w:w="6048"/>
            <w:tcMar>
              <w:top w:w="90" w:type="dxa"/>
              <w:start w:w="100" w:type="dxa"/>
              <w:bottom w:w="90" w:type="dxa"/>
              <w:end w:w="100" w:type="dxa"/>
            </w:tcMar>
            <w:shd w:fill="F6F9F9"/>
            <w:vAlign w:val="center"/>
          </w:tcPr>
          <w:p>
            <w:r>
              <w:rPr>
                <w:color w:val="2A3032"/>
                <w:sz w:val="18"/>
              </w:rPr>
              <w:t>Desktop/mobile bağlama göre küçük orb; dock ve içerikle çakışmaz</w:t>
            </w:r>
          </w:p>
        </w:tc>
      </w:tr>
      <w:tr>
        <w:tc>
          <w:tcPr>
            <w:tcW w:type="dxa" w:w="2880"/>
            <w:tcMar>
              <w:top w:w="90" w:type="dxa"/>
              <w:start w:w="100" w:type="dxa"/>
              <w:bottom w:w="90" w:type="dxa"/>
              <w:end w:w="100" w:type="dxa"/>
            </w:tcMar>
            <w:vAlign w:val="center"/>
          </w:tcPr>
          <w:p>
            <w:r>
              <w:rPr>
                <w:color w:val="2A3032"/>
                <w:sz w:val="18"/>
              </w:rPr>
              <w:t>Dock</w:t>
            </w:r>
          </w:p>
        </w:tc>
        <w:tc>
          <w:tcPr>
            <w:tcW w:type="dxa" w:w="6048"/>
            <w:tcMar>
              <w:top w:w="90" w:type="dxa"/>
              <w:start w:w="100" w:type="dxa"/>
              <w:bottom w:w="90" w:type="dxa"/>
              <w:end w:w="100" w:type="dxa"/>
            </w:tcMar>
            <w:vAlign w:val="center"/>
          </w:tcPr>
          <w:p>
            <w:r>
              <w:rPr>
                <w:color w:val="2A3032"/>
                <w:sz w:val="18"/>
              </w:rPr>
              <w:t>ExecutiveDock; shell bottom inset ile içerikten bağımsız</w:t>
            </w:r>
          </w:p>
        </w:tc>
      </w:tr>
    </w:tbl>
    <w:p>
      <w:pPr>
        <w:spacing w:after="120" w:line="271" w:lineRule="auto"/>
      </w:pPr>
    </w:p>
    <w:p>
      <w:pPr>
        <w:pStyle w:val="Heading2"/>
        <w:keepNext/>
      </w:pPr>
      <w:r>
        <w:t>KPI grid kuralları</w:t>
      </w:r>
    </w:p>
    <w:p>
      <w:pPr>
        <w:pStyle w:val="ListBullet"/>
        <w:spacing w:after="40"/>
      </w:pPr>
      <w:r>
        <w:t>Kartların yükseklikleri aynı olur; değer, label ve yardımcı bilgi aynı hizada yerleşir.</w:t>
      </w:r>
    </w:p>
    <w:p>
      <w:pPr>
        <w:pStyle w:val="ListBullet"/>
        <w:spacing w:after="40"/>
      </w:pPr>
      <w:r>
        <w:t>Her KPI kendi semantic ikon ve rengini taşır.</w:t>
      </w:r>
    </w:p>
    <w:p>
      <w:pPr>
        <w:pStyle w:val="ListBullet"/>
        <w:spacing w:after="40"/>
      </w:pPr>
      <w:r>
        <w:t>0 veya veri yok durumu görsel olarak bozuk görünmez; yardımcı cümle kullanıcıya ne eksik olduğunu söyler.</w:t>
      </w:r>
    </w:p>
    <w:p>
      <w:pPr>
        <w:pStyle w:val="ListBullet"/>
        <w:spacing w:after="40"/>
      </w:pPr>
      <w:r>
        <w:t>Mobilde kartlar en az iki sütun; çok dar ekranda tek sütuna düşebilir. Yatay scroll kullanılmaz.</w:t>
      </w:r>
    </w:p>
    <w:p>
      <w:pPr>
        <w:pStyle w:val="ListBullet"/>
        <w:spacing w:after="40"/>
      </w:pPr>
      <w:r>
        <w:t>KPI kartı yalnız gerçek veya açıkça sınıflandırılmış projection verisi gösterir.</w:t>
      </w:r>
    </w:p>
    <w:p>
      <w:pPr>
        <w:spacing w:before="80" w:after="120" w:line="271" w:lineRule="auto"/>
      </w:pPr>
      <w:r>
        <w:rPr>
          <w:rFonts w:ascii="Aptos" w:hAnsi="Aptos"/>
          <w:b/>
          <w:color w:val="20DCCB"/>
          <w:sz w:val="18"/>
        </w:rPr>
        <w:t>12. SOHBET SAYFASI UYGULAMASI</w:t>
      </w:r>
    </w:p>
    <w:p>
      <w:pPr>
        <w:pStyle w:val="Heading1"/>
        <w:keepNext/>
      </w:pPr>
      <w:r>
        <w:t>Sohbet de Aynı Uygulamanın Parçasıdır</w:t>
      </w:r>
    </w:p>
    <w:p>
      <w:pPr>
        <w:spacing w:after="120" w:line="271" w:lineRule="auto"/>
      </w:pPr>
      <w:r>
        <w:t>METRIX sohbet sayfası bu mimariye göre yeniden ele alınacaktır. Sohbet ayrı bir uygulama veya farklı bir görsel dünya olmayacaktır. Aynı ExecutiveAppShell, aynı header, aynı dock ve aynı token sistemini kullanacaktır; ancak çalışma alanı konuşma akışına göre özelleşecektir.</w:t>
      </w:r>
    </w:p>
    <w:p>
      <w:pPr>
        <w:pStyle w:val="Heading2"/>
        <w:keepNext/>
      </w:pPr>
      <w:r>
        <w:t>Sohbet yüzeyi kuralları</w:t>
      </w:r>
    </w:p>
    <w:p>
      <w:pPr>
        <w:pStyle w:val="ListBullet"/>
        <w:spacing w:after="40"/>
      </w:pPr>
      <w:r>
        <w:t>Sohbet sayfasında bağımsız floating orb gösterilmez; voice giriş noktası composer veya header/presence alanında yaşar.</w:t>
      </w:r>
    </w:p>
    <w:p>
      <w:pPr>
        <w:pStyle w:val="ListBullet"/>
        <w:spacing w:after="40"/>
      </w:pPr>
      <w:r>
        <w:t>Mesaj akışı workspace içinde tek ana scroll container’dır.</w:t>
      </w:r>
    </w:p>
    <w:p>
      <w:pPr>
        <w:pStyle w:val="ListBullet"/>
        <w:spacing w:after="40"/>
      </w:pPr>
      <w:r>
        <w:t>Composer dock’un üstünde sabit/sticky çalışır; mesajların üstüne binmez.</w:t>
      </w:r>
    </w:p>
    <w:p>
      <w:pPr>
        <w:pStyle w:val="ListBullet"/>
        <w:spacing w:after="40"/>
      </w:pPr>
      <w:r>
        <w:t>Kullanıcı yukarı kaydırdıysa otomatik olarak zorla en alta götürülmez; yeni mesaj göstergesi sunulur.</w:t>
      </w:r>
    </w:p>
    <w:p>
      <w:pPr>
        <w:pStyle w:val="ListBullet"/>
        <w:spacing w:after="40"/>
      </w:pPr>
      <w:r>
        <w:t>Kullanıcı alt konumdaysa yeni text/voice reveal doğal olarak takip edilir.</w:t>
      </w:r>
    </w:p>
    <w:p>
      <w:pPr>
        <w:pStyle w:val="ListBullet"/>
        <w:spacing w:after="40"/>
      </w:pPr>
      <w:r>
        <w:t>Text ve voice aynı canonical response’un iki reveal biçimidir.</w:t>
      </w:r>
    </w:p>
    <w:p>
      <w:pPr>
        <w:pStyle w:val="ListBullet"/>
        <w:spacing w:after="40"/>
      </w:pPr>
      <w:r>
        <w:t>Header, aktif konuşma bağlamını ve gerekli global aksiyonları gösterir; gereksiz kalabalık oluşturmaz.</w:t>
      </w:r>
    </w:p>
    <w:p>
      <w:pPr>
        <w:pStyle w:val="ListBullet"/>
        <w:spacing w:after="40"/>
      </w:pPr>
      <w:r>
        <w:t>Sohbet açılışı günlük brief, dünkü özet ve bugünkü odaklar gibi Executive içerikleri aynı card sistemiyle sunabilir.</w:t>
      </w:r>
    </w:p>
    <w:tbl>
      <w:tblPr>
        <w:tblStyle w:val="TableGrid"/>
        <w:tblW w:type="auto" w:w="0"/>
        <w:jc w:val="center"/>
        <w:tblLook w:firstColumn="1" w:firstRow="1" w:lastColumn="0" w:lastRow="0" w:noHBand="0" w:noVBand="1" w:val="04A0"/>
      </w:tblPr>
      <w:tblGrid>
        <w:gridCol w:w="5083"/>
        <w:gridCol w:w="5083"/>
      </w:tblGrid>
      <w:tr>
        <w:tc>
          <w:tcPr>
            <w:tcW w:type="dxa" w:w="3024"/>
            <w:shd w:fill="143B42"/>
            <w:tcMar>
              <w:top w:w="100" w:type="dxa"/>
              <w:start w:w="100" w:type="dxa"/>
              <w:bottom w:w="100" w:type="dxa"/>
              <w:end w:w="100" w:type="dxa"/>
            </w:tcMar>
          </w:tcPr>
          <w:p>
            <w:pPr>
              <w:jc w:val="left"/>
            </w:pPr>
            <w:r>
              <w:rPr>
                <w:b/>
                <w:color w:val="FFFFFF"/>
                <w:sz w:val="19"/>
              </w:rPr>
              <w:t>Sohbet katmanı</w:t>
            </w:r>
          </w:p>
        </w:tc>
        <w:tc>
          <w:tcPr>
            <w:tcW w:type="dxa" w:w="5760"/>
            <w:shd w:fill="143B42"/>
            <w:tcMar>
              <w:top w:w="100" w:type="dxa"/>
              <w:start w:w="100" w:type="dxa"/>
              <w:bottom w:w="100" w:type="dxa"/>
              <w:end w:w="100" w:type="dxa"/>
            </w:tcMar>
          </w:tcPr>
          <w:p>
            <w:pPr>
              <w:jc w:val="left"/>
            </w:pPr>
            <w:r>
              <w:rPr>
                <w:b/>
                <w:color w:val="FFFFFF"/>
                <w:sz w:val="19"/>
              </w:rPr>
              <w:t>Sorumluluk</w:t>
            </w:r>
          </w:p>
        </w:tc>
      </w:tr>
      <w:tr>
        <w:tc>
          <w:tcPr>
            <w:tcW w:type="dxa" w:w="3024"/>
            <w:tcMar>
              <w:top w:w="90" w:type="dxa"/>
              <w:start w:w="100" w:type="dxa"/>
              <w:bottom w:w="90" w:type="dxa"/>
              <w:end w:w="100" w:type="dxa"/>
            </w:tcMar>
            <w:vAlign w:val="center"/>
          </w:tcPr>
          <w:p>
            <w:r>
              <w:rPr>
                <w:color w:val="2A3032"/>
                <w:sz w:val="18"/>
              </w:rPr>
              <w:t>ConversationWorkspace</w:t>
            </w:r>
          </w:p>
        </w:tc>
        <w:tc>
          <w:tcPr>
            <w:tcW w:type="dxa" w:w="5760"/>
            <w:tcMar>
              <w:top w:w="90" w:type="dxa"/>
              <w:start w:w="100" w:type="dxa"/>
              <w:bottom w:w="90" w:type="dxa"/>
              <w:end w:w="100" w:type="dxa"/>
            </w:tcMar>
            <w:vAlign w:val="center"/>
          </w:tcPr>
          <w:p>
            <w:r>
              <w:rPr>
                <w:color w:val="2A3032"/>
                <w:sz w:val="18"/>
              </w:rPr>
              <w:t>Mesaj listesi, günlük açılış, streaming reveal</w:t>
            </w:r>
          </w:p>
        </w:tc>
      </w:tr>
      <w:tr>
        <w:tc>
          <w:tcPr>
            <w:tcW w:type="dxa" w:w="3024"/>
            <w:tcMar>
              <w:top w:w="90" w:type="dxa"/>
              <w:start w:w="100" w:type="dxa"/>
              <w:bottom w:w="90" w:type="dxa"/>
              <w:end w:w="100" w:type="dxa"/>
            </w:tcMar>
            <w:shd w:fill="F6F9F9"/>
            <w:vAlign w:val="center"/>
          </w:tcPr>
          <w:p>
            <w:r>
              <w:rPr>
                <w:color w:val="2A3032"/>
                <w:sz w:val="18"/>
              </w:rPr>
              <w:t>MessageTimeline</w:t>
            </w:r>
          </w:p>
        </w:tc>
        <w:tc>
          <w:tcPr>
            <w:tcW w:type="dxa" w:w="5760"/>
            <w:tcMar>
              <w:top w:w="90" w:type="dxa"/>
              <w:start w:w="100" w:type="dxa"/>
              <w:bottom w:w="90" w:type="dxa"/>
              <w:end w:w="100" w:type="dxa"/>
            </w:tcMar>
            <w:shd w:fill="F6F9F9"/>
            <w:vAlign w:val="center"/>
          </w:tcPr>
          <w:p>
            <w:r>
              <w:rPr>
                <w:color w:val="2A3032"/>
                <w:sz w:val="18"/>
              </w:rPr>
              <w:t>User/assistant/system-event görsel ayrımı</w:t>
            </w:r>
          </w:p>
        </w:tc>
      </w:tr>
      <w:tr>
        <w:tc>
          <w:tcPr>
            <w:tcW w:type="dxa" w:w="3024"/>
            <w:tcMar>
              <w:top w:w="90" w:type="dxa"/>
              <w:start w:w="100" w:type="dxa"/>
              <w:bottom w:w="90" w:type="dxa"/>
              <w:end w:w="100" w:type="dxa"/>
            </w:tcMar>
            <w:vAlign w:val="center"/>
          </w:tcPr>
          <w:p>
            <w:r>
              <w:rPr>
                <w:color w:val="2A3032"/>
                <w:sz w:val="18"/>
              </w:rPr>
              <w:t>ConversationComposer</w:t>
            </w:r>
          </w:p>
        </w:tc>
        <w:tc>
          <w:tcPr>
            <w:tcW w:type="dxa" w:w="5760"/>
            <w:tcMar>
              <w:top w:w="90" w:type="dxa"/>
              <w:start w:w="100" w:type="dxa"/>
              <w:bottom w:w="90" w:type="dxa"/>
              <w:end w:w="100" w:type="dxa"/>
            </w:tcMar>
            <w:vAlign w:val="center"/>
          </w:tcPr>
          <w:p>
            <w:r>
              <w:rPr>
                <w:color w:val="2A3032"/>
                <w:sz w:val="18"/>
              </w:rPr>
              <w:t>Text, voice, attachment, send/stop</w:t>
            </w:r>
          </w:p>
        </w:tc>
      </w:tr>
      <w:tr>
        <w:tc>
          <w:tcPr>
            <w:tcW w:type="dxa" w:w="3024"/>
            <w:tcMar>
              <w:top w:w="90" w:type="dxa"/>
              <w:start w:w="100" w:type="dxa"/>
              <w:bottom w:w="90" w:type="dxa"/>
              <w:end w:w="100" w:type="dxa"/>
            </w:tcMar>
            <w:shd w:fill="F6F9F9"/>
            <w:vAlign w:val="center"/>
          </w:tcPr>
          <w:p>
            <w:r>
              <w:rPr>
                <w:color w:val="2A3032"/>
                <w:sz w:val="18"/>
              </w:rPr>
              <w:t>Voice state</w:t>
            </w:r>
          </w:p>
        </w:tc>
        <w:tc>
          <w:tcPr>
            <w:tcW w:type="dxa" w:w="5760"/>
            <w:tcMar>
              <w:top w:w="90" w:type="dxa"/>
              <w:start w:w="100" w:type="dxa"/>
              <w:bottom w:w="90" w:type="dxa"/>
              <w:end w:w="100" w:type="dxa"/>
            </w:tcMar>
            <w:shd w:fill="F6F9F9"/>
            <w:vAlign w:val="center"/>
          </w:tcPr>
          <w:p>
            <w:r>
              <w:rPr>
                <w:color w:val="2A3032"/>
                <w:sz w:val="18"/>
              </w:rPr>
              <w:t>Listening/thinking/speaking; aynı response state’ine bağlı</w:t>
            </w:r>
          </w:p>
        </w:tc>
      </w:tr>
      <w:tr>
        <w:tc>
          <w:tcPr>
            <w:tcW w:type="dxa" w:w="3024"/>
            <w:tcMar>
              <w:top w:w="90" w:type="dxa"/>
              <w:start w:w="100" w:type="dxa"/>
              <w:bottom w:w="90" w:type="dxa"/>
              <w:end w:w="100" w:type="dxa"/>
            </w:tcMar>
            <w:vAlign w:val="center"/>
          </w:tcPr>
          <w:p>
            <w:r>
              <w:rPr>
                <w:color w:val="2A3032"/>
                <w:sz w:val="18"/>
              </w:rPr>
              <w:t>ConversationDock relation</w:t>
            </w:r>
          </w:p>
        </w:tc>
        <w:tc>
          <w:tcPr>
            <w:tcW w:type="dxa" w:w="5760"/>
            <w:tcMar>
              <w:top w:w="90" w:type="dxa"/>
              <w:start w:w="100" w:type="dxa"/>
              <w:bottom w:w="90" w:type="dxa"/>
              <w:end w:w="100" w:type="dxa"/>
            </w:tcMar>
            <w:vAlign w:val="center"/>
          </w:tcPr>
          <w:p>
            <w:r>
              <w:rPr>
                <w:color w:val="2A3032"/>
                <w:sz w:val="18"/>
              </w:rPr>
              <w:t>Global dock korunur; composer için doğru bottom inset ayrılır</w:t>
            </w:r>
          </w:p>
        </w:tc>
      </w:tr>
    </w:tbl>
    <w:p>
      <w:pPr>
        <w:spacing w:after="120" w:line="271" w:lineRule="auto"/>
      </w:pPr>
    </w:p>
    <w:p>
      <w:pPr>
        <w:spacing w:after="120" w:line="271" w:lineRule="auto"/>
      </w:pPr>
      <w:r>
        <w:br w:type="page"/>
      </w:r>
    </w:p>
    <w:p>
      <w:pPr>
        <w:spacing w:before="80" w:after="120" w:line="271" w:lineRule="auto"/>
      </w:pPr>
      <w:r>
        <w:rPr>
          <w:rFonts w:ascii="Aptos" w:hAnsi="Aptos"/>
          <w:b/>
          <w:color w:val="20DCCB"/>
          <w:sz w:val="18"/>
        </w:rPr>
        <w:t>13. RESPONSIVE VE ERIŞILEBILIRLIK</w:t>
      </w:r>
    </w:p>
    <w:p>
      <w:pPr>
        <w:pStyle w:val="Heading1"/>
        <w:keepNext/>
      </w:pPr>
      <w:r>
        <w:t>Kalite Her Ekranda Korunur</w:t>
      </w:r>
    </w:p>
    <w:tbl>
      <w:tblPr>
        <w:tblStyle w:val="TableGrid"/>
        <w:tblW w:type="auto" w:w="0"/>
        <w:jc w:val="center"/>
        <w:tblLook w:firstColumn="1" w:firstRow="1" w:lastColumn="0" w:lastRow="0" w:noHBand="0" w:noVBand="1" w:val="04A0"/>
      </w:tblPr>
      <w:tblGrid>
        <w:gridCol w:w="5083"/>
        <w:gridCol w:w="5083"/>
      </w:tblGrid>
      <w:tr>
        <w:tc>
          <w:tcPr>
            <w:tcW w:type="dxa" w:w="2448"/>
            <w:shd w:fill="143B42"/>
            <w:tcMar>
              <w:top w:w="100" w:type="dxa"/>
              <w:start w:w="100" w:type="dxa"/>
              <w:bottom w:w="100" w:type="dxa"/>
              <w:end w:w="100" w:type="dxa"/>
            </w:tcMar>
          </w:tcPr>
          <w:p>
            <w:pPr>
              <w:jc w:val="left"/>
            </w:pPr>
            <w:r>
              <w:rPr>
                <w:b/>
                <w:color w:val="FFFFFF"/>
                <w:sz w:val="19"/>
              </w:rPr>
              <w:t>Breakpoint / bağlam</w:t>
            </w:r>
          </w:p>
        </w:tc>
        <w:tc>
          <w:tcPr>
            <w:tcW w:type="dxa" w:w="6336"/>
            <w:shd w:fill="143B42"/>
            <w:tcMar>
              <w:top w:w="100" w:type="dxa"/>
              <w:start w:w="100" w:type="dxa"/>
              <w:bottom w:w="100" w:type="dxa"/>
              <w:end w:w="100" w:type="dxa"/>
            </w:tcMar>
          </w:tcPr>
          <w:p>
            <w:pPr>
              <w:jc w:val="left"/>
            </w:pPr>
            <w:r>
              <w:rPr>
                <w:b/>
                <w:color w:val="FFFFFF"/>
                <w:sz w:val="19"/>
              </w:rPr>
              <w:t>Davranış</w:t>
            </w:r>
          </w:p>
        </w:tc>
      </w:tr>
      <w:tr>
        <w:tc>
          <w:tcPr>
            <w:tcW w:type="dxa" w:w="2448"/>
            <w:tcMar>
              <w:top w:w="90" w:type="dxa"/>
              <w:start w:w="100" w:type="dxa"/>
              <w:bottom w:w="90" w:type="dxa"/>
              <w:end w:w="100" w:type="dxa"/>
            </w:tcMar>
            <w:vAlign w:val="center"/>
          </w:tcPr>
          <w:p>
            <w:r>
              <w:rPr>
                <w:color w:val="2A3032"/>
                <w:sz w:val="18"/>
              </w:rPr>
              <w:t>≤ 430 px</w:t>
            </w:r>
          </w:p>
        </w:tc>
        <w:tc>
          <w:tcPr>
            <w:tcW w:type="dxa" w:w="6336"/>
            <w:tcMar>
              <w:top w:w="90" w:type="dxa"/>
              <w:start w:w="100" w:type="dxa"/>
              <w:bottom w:w="90" w:type="dxa"/>
              <w:end w:w="100" w:type="dxa"/>
            </w:tcMar>
            <w:vAlign w:val="center"/>
          </w:tcPr>
          <w:p>
            <w:r>
              <w:rPr>
                <w:color w:val="2A3032"/>
                <w:sz w:val="18"/>
              </w:rPr>
              <w:t>Mobil shell, 2×2 KPI, full-width sections, sheet edit, safe-area dock</w:t>
            </w:r>
          </w:p>
        </w:tc>
      </w:tr>
      <w:tr>
        <w:tc>
          <w:tcPr>
            <w:tcW w:type="dxa" w:w="2448"/>
            <w:tcMar>
              <w:top w:w="90" w:type="dxa"/>
              <w:start w:w="100" w:type="dxa"/>
              <w:bottom w:w="90" w:type="dxa"/>
              <w:end w:w="100" w:type="dxa"/>
            </w:tcMar>
            <w:shd w:fill="F6F9F9"/>
            <w:vAlign w:val="center"/>
          </w:tcPr>
          <w:p>
            <w:r>
              <w:rPr>
                <w:color w:val="2A3032"/>
                <w:sz w:val="18"/>
              </w:rPr>
              <w:t>431–767 px</w:t>
            </w:r>
          </w:p>
        </w:tc>
        <w:tc>
          <w:tcPr>
            <w:tcW w:type="dxa" w:w="6336"/>
            <w:tcMar>
              <w:top w:w="90" w:type="dxa"/>
              <w:start w:w="100" w:type="dxa"/>
              <w:bottom w:w="90" w:type="dxa"/>
              <w:end w:w="100" w:type="dxa"/>
            </w:tcMar>
            <w:shd w:fill="F6F9F9"/>
            <w:vAlign w:val="center"/>
          </w:tcPr>
          <w:p>
            <w:r>
              <w:rPr>
                <w:color w:val="2A3032"/>
                <w:sz w:val="18"/>
              </w:rPr>
              <w:t>Geniş mobil; içerik aynı, padding ve kart genişliği artar</w:t>
            </w:r>
          </w:p>
        </w:tc>
      </w:tr>
      <w:tr>
        <w:tc>
          <w:tcPr>
            <w:tcW w:type="dxa" w:w="2448"/>
            <w:tcMar>
              <w:top w:w="90" w:type="dxa"/>
              <w:start w:w="100" w:type="dxa"/>
              <w:bottom w:w="90" w:type="dxa"/>
              <w:end w:w="100" w:type="dxa"/>
            </w:tcMar>
            <w:vAlign w:val="center"/>
          </w:tcPr>
          <w:p>
            <w:r>
              <w:rPr>
                <w:color w:val="2A3032"/>
                <w:sz w:val="18"/>
              </w:rPr>
              <w:t>768–1023 px</w:t>
            </w:r>
          </w:p>
        </w:tc>
        <w:tc>
          <w:tcPr>
            <w:tcW w:type="dxa" w:w="6336"/>
            <w:tcMar>
              <w:top w:w="90" w:type="dxa"/>
              <w:start w:w="100" w:type="dxa"/>
              <w:bottom w:w="90" w:type="dxa"/>
              <w:end w:w="100" w:type="dxa"/>
            </w:tcMar>
            <w:vAlign w:val="center"/>
          </w:tcPr>
          <w:p>
            <w:r>
              <w:rPr>
                <w:color w:val="2A3032"/>
                <w:sz w:val="18"/>
              </w:rPr>
              <w:t>Tablet; çift kolon, side sheet veya split panel mümkün</w:t>
            </w:r>
          </w:p>
        </w:tc>
      </w:tr>
      <w:tr>
        <w:tc>
          <w:tcPr>
            <w:tcW w:type="dxa" w:w="2448"/>
            <w:tcMar>
              <w:top w:w="90" w:type="dxa"/>
              <w:start w:w="100" w:type="dxa"/>
              <w:bottom w:w="90" w:type="dxa"/>
              <w:end w:w="100" w:type="dxa"/>
            </w:tcMar>
            <w:shd w:fill="F6F9F9"/>
            <w:vAlign w:val="center"/>
          </w:tcPr>
          <w:p>
            <w:r>
              <w:rPr>
                <w:color w:val="2A3032"/>
                <w:sz w:val="18"/>
              </w:rPr>
              <w:t>1024–1439 px</w:t>
            </w:r>
          </w:p>
        </w:tc>
        <w:tc>
          <w:tcPr>
            <w:tcW w:type="dxa" w:w="6336"/>
            <w:tcMar>
              <w:top w:w="90" w:type="dxa"/>
              <w:start w:w="100" w:type="dxa"/>
              <w:bottom w:w="90" w:type="dxa"/>
              <w:end w:w="100" w:type="dxa"/>
            </w:tcMar>
            <w:shd w:fill="F6F9F9"/>
            <w:vAlign w:val="center"/>
          </w:tcPr>
          <w:p>
            <w:r>
              <w:rPr>
                <w:color w:val="2A3032"/>
                <w:sz w:val="18"/>
              </w:rPr>
              <w:t>Desktop; max-width workspace, header ve dock dengeli ölçek</w:t>
            </w:r>
          </w:p>
        </w:tc>
      </w:tr>
      <w:tr>
        <w:tc>
          <w:tcPr>
            <w:tcW w:type="dxa" w:w="2448"/>
            <w:tcMar>
              <w:top w:w="90" w:type="dxa"/>
              <w:start w:w="100" w:type="dxa"/>
              <w:bottom w:w="90" w:type="dxa"/>
              <w:end w:w="100" w:type="dxa"/>
            </w:tcMar>
            <w:vAlign w:val="center"/>
          </w:tcPr>
          <w:p>
            <w:r>
              <w:rPr>
                <w:color w:val="2A3032"/>
                <w:sz w:val="18"/>
              </w:rPr>
              <w:t>≥ 1440 px</w:t>
            </w:r>
          </w:p>
        </w:tc>
        <w:tc>
          <w:tcPr>
            <w:tcW w:type="dxa" w:w="6336"/>
            <w:tcMar>
              <w:top w:w="90" w:type="dxa"/>
              <w:start w:w="100" w:type="dxa"/>
              <w:bottom w:w="90" w:type="dxa"/>
              <w:end w:w="100" w:type="dxa"/>
            </w:tcMar>
            <w:vAlign w:val="center"/>
          </w:tcPr>
          <w:p>
            <w:r>
              <w:rPr>
                <w:color w:val="2A3032"/>
                <w:sz w:val="18"/>
              </w:rPr>
              <w:t>Geniş desktop; satır uzunluğu ve panel genişliği sınırlandırılır</w:t>
            </w:r>
          </w:p>
        </w:tc>
      </w:tr>
    </w:tbl>
    <w:p>
      <w:pPr>
        <w:spacing w:after="120" w:line="271" w:lineRule="auto"/>
      </w:pPr>
    </w:p>
    <w:p>
      <w:pPr>
        <w:pStyle w:val="Heading2"/>
        <w:keepNext/>
      </w:pPr>
      <w:r>
        <w:t>Erişilebilirlik zorunlulukları</w:t>
      </w:r>
    </w:p>
    <w:p>
      <w:pPr>
        <w:pStyle w:val="ListBullet"/>
        <w:spacing w:after="40"/>
      </w:pPr>
      <w:r>
        <w:t>Kontrast WCAG AA seviyesini karşılar; düşük opaklıklı gri metin okunmaz hâle getirilemez.</w:t>
      </w:r>
    </w:p>
    <w:p>
      <w:pPr>
        <w:pStyle w:val="ListBullet"/>
        <w:spacing w:after="40"/>
      </w:pPr>
      <w:r>
        <w:t>Sadece renk ile durum anlatılmaz; ikon, label veya metin desteği bulunur.</w:t>
      </w:r>
    </w:p>
    <w:p>
      <w:pPr>
        <w:pStyle w:val="ListBullet"/>
        <w:spacing w:after="40"/>
      </w:pPr>
      <w:r>
        <w:t>Keyboard focus görünür ve bütün interaktif kontroller erişilebilirdir.</w:t>
      </w:r>
    </w:p>
    <w:p>
      <w:pPr>
        <w:pStyle w:val="ListBullet"/>
        <w:spacing w:after="40"/>
      </w:pPr>
      <w:r>
        <w:t>Icon-only button’larda accessible name zorunludur.</w:t>
      </w:r>
    </w:p>
    <w:p>
      <w:pPr>
        <w:pStyle w:val="ListBullet"/>
        <w:spacing w:after="40"/>
      </w:pPr>
      <w:r>
        <w:t>Motion azaltma tercihinde glow, pulse ve transition sadeleşir.</w:t>
      </w:r>
    </w:p>
    <w:p>
      <w:pPr>
        <w:pStyle w:val="ListBullet"/>
        <w:spacing w:after="40"/>
      </w:pPr>
      <w:r>
        <w:t>Font büyütmede kartlar kesilmez; sabit yükseklikler içerik taşmasına yol açmaz.</w:t>
      </w:r>
    </w:p>
    <w:p>
      <w:pPr>
        <w:pStyle w:val="ListBullet"/>
        <w:spacing w:after="40"/>
      </w:pPr>
      <w:r>
        <w:t>Loading ve async state’ler screen reader için uygun live-region davranışına sahiptir.</w:t>
      </w:r>
    </w:p>
    <w:p>
      <w:pPr>
        <w:spacing w:after="120" w:line="271" w:lineRule="auto"/>
      </w:pPr>
      <w:r>
        <w:br w:type="page"/>
      </w:r>
    </w:p>
    <w:p>
      <w:pPr>
        <w:spacing w:before="80" w:after="120" w:line="271" w:lineRule="auto"/>
      </w:pPr>
      <w:r>
        <w:rPr>
          <w:rFonts w:ascii="Aptos" w:hAnsi="Aptos"/>
          <w:b/>
          <w:color w:val="20DCCB"/>
          <w:sz w:val="18"/>
        </w:rPr>
        <w:t>14. MOTION VE ETKILEŞIM</w:t>
      </w:r>
    </w:p>
    <w:p>
      <w:pPr>
        <w:pStyle w:val="Heading1"/>
        <w:keepNext/>
      </w:pPr>
      <w:r>
        <w:t>Sakin Hareket</w:t>
      </w:r>
    </w:p>
    <w:p>
      <w:pPr>
        <w:spacing w:after="120" w:line="271" w:lineRule="auto"/>
      </w:pPr>
      <w:r>
        <w:t>Animasyon, premium görünmek için eklenen gösteri değildir. Kullanıcıya state değişimini, katman ilişkisini ve aksiyon sonucunu anlatır. METRIX’in tasarım dili hızlı fakat sakin olmalıdır.</w:t>
      </w:r>
    </w:p>
    <w:tbl>
      <w:tblPr>
        <w:tblStyle w:val="TableGrid"/>
        <w:tblW w:type="auto" w:w="0"/>
        <w:jc w:val="center"/>
        <w:tblLook w:firstColumn="1" w:firstRow="1" w:lastColumn="0" w:lastRow="0" w:noHBand="0" w:noVBand="1" w:val="04A0"/>
      </w:tblPr>
      <w:tblGrid>
        <w:gridCol w:w="5083"/>
        <w:gridCol w:w="5083"/>
      </w:tblGrid>
      <w:tr>
        <w:tc>
          <w:tcPr>
            <w:tcW w:type="dxa" w:w="2880"/>
            <w:shd w:fill="143B42"/>
            <w:tcMar>
              <w:top w:w="100" w:type="dxa"/>
              <w:start w:w="100" w:type="dxa"/>
              <w:bottom w:w="100" w:type="dxa"/>
              <w:end w:w="100" w:type="dxa"/>
            </w:tcMar>
          </w:tcPr>
          <w:p>
            <w:pPr>
              <w:jc w:val="left"/>
            </w:pPr>
            <w:r>
              <w:rPr>
                <w:b/>
                <w:color w:val="FFFFFF"/>
                <w:sz w:val="19"/>
              </w:rPr>
              <w:t>Etkileşim</w:t>
            </w:r>
          </w:p>
        </w:tc>
        <w:tc>
          <w:tcPr>
            <w:tcW w:type="dxa" w:w="5904"/>
            <w:shd w:fill="143B42"/>
            <w:tcMar>
              <w:top w:w="100" w:type="dxa"/>
              <w:start w:w="100" w:type="dxa"/>
              <w:bottom w:w="100" w:type="dxa"/>
              <w:end w:w="100" w:type="dxa"/>
            </w:tcMar>
          </w:tcPr>
          <w:p>
            <w:pPr>
              <w:jc w:val="left"/>
            </w:pPr>
            <w:r>
              <w:rPr>
                <w:b/>
                <w:color w:val="FFFFFF"/>
                <w:sz w:val="19"/>
              </w:rPr>
              <w:t>Süre / davranış</w:t>
            </w:r>
          </w:p>
        </w:tc>
      </w:tr>
      <w:tr>
        <w:tc>
          <w:tcPr>
            <w:tcW w:type="dxa" w:w="2880"/>
            <w:tcMar>
              <w:top w:w="90" w:type="dxa"/>
              <w:start w:w="100" w:type="dxa"/>
              <w:bottom w:w="90" w:type="dxa"/>
              <w:end w:w="100" w:type="dxa"/>
            </w:tcMar>
            <w:vAlign w:val="center"/>
          </w:tcPr>
          <w:p>
            <w:r>
              <w:rPr>
                <w:color w:val="2A3032"/>
                <w:sz w:val="18"/>
              </w:rPr>
              <w:t>Hover / press</w:t>
            </w:r>
          </w:p>
        </w:tc>
        <w:tc>
          <w:tcPr>
            <w:tcW w:type="dxa" w:w="5904"/>
            <w:tcMar>
              <w:top w:w="90" w:type="dxa"/>
              <w:start w:w="100" w:type="dxa"/>
              <w:bottom w:w="90" w:type="dxa"/>
              <w:end w:w="100" w:type="dxa"/>
            </w:tcMar>
            <w:vAlign w:val="center"/>
          </w:tcPr>
          <w:p>
            <w:r>
              <w:rPr>
                <w:color w:val="2A3032"/>
                <w:sz w:val="18"/>
              </w:rPr>
              <w:t>120–180 ms</w:t>
            </w:r>
          </w:p>
        </w:tc>
      </w:tr>
      <w:tr>
        <w:tc>
          <w:tcPr>
            <w:tcW w:type="dxa" w:w="2880"/>
            <w:tcMar>
              <w:top w:w="90" w:type="dxa"/>
              <w:start w:w="100" w:type="dxa"/>
              <w:bottom w:w="90" w:type="dxa"/>
              <w:end w:w="100" w:type="dxa"/>
            </w:tcMar>
            <w:shd w:fill="F6F9F9"/>
            <w:vAlign w:val="center"/>
          </w:tcPr>
          <w:p>
            <w:r>
              <w:rPr>
                <w:color w:val="2A3032"/>
                <w:sz w:val="18"/>
              </w:rPr>
              <w:t>Panel open / sheet</w:t>
            </w:r>
          </w:p>
        </w:tc>
        <w:tc>
          <w:tcPr>
            <w:tcW w:type="dxa" w:w="5904"/>
            <w:tcMar>
              <w:top w:w="90" w:type="dxa"/>
              <w:start w:w="100" w:type="dxa"/>
              <w:bottom w:w="90" w:type="dxa"/>
              <w:end w:w="100" w:type="dxa"/>
            </w:tcMar>
            <w:shd w:fill="F6F9F9"/>
            <w:vAlign w:val="center"/>
          </w:tcPr>
          <w:p>
            <w:r>
              <w:rPr>
                <w:color w:val="2A3032"/>
                <w:sz w:val="18"/>
              </w:rPr>
              <w:t>220–320 ms</w:t>
            </w:r>
          </w:p>
        </w:tc>
      </w:tr>
      <w:tr>
        <w:tc>
          <w:tcPr>
            <w:tcW w:type="dxa" w:w="2880"/>
            <w:tcMar>
              <w:top w:w="90" w:type="dxa"/>
              <w:start w:w="100" w:type="dxa"/>
              <w:bottom w:w="90" w:type="dxa"/>
              <w:end w:w="100" w:type="dxa"/>
            </w:tcMar>
            <w:vAlign w:val="center"/>
          </w:tcPr>
          <w:p>
            <w:r>
              <w:rPr>
                <w:color w:val="2A3032"/>
                <w:sz w:val="18"/>
              </w:rPr>
              <w:t>Route transition</w:t>
            </w:r>
          </w:p>
        </w:tc>
        <w:tc>
          <w:tcPr>
            <w:tcW w:type="dxa" w:w="5904"/>
            <w:tcMar>
              <w:top w:w="90" w:type="dxa"/>
              <w:start w:w="100" w:type="dxa"/>
              <w:bottom w:w="90" w:type="dxa"/>
              <w:end w:w="100" w:type="dxa"/>
            </w:tcMar>
            <w:vAlign w:val="center"/>
          </w:tcPr>
          <w:p>
            <w:r>
              <w:rPr>
                <w:color w:val="2A3032"/>
                <w:sz w:val="18"/>
              </w:rPr>
              <w:t>Hafif fade/translate; 180–260 ms</w:t>
            </w:r>
          </w:p>
        </w:tc>
      </w:tr>
      <w:tr>
        <w:tc>
          <w:tcPr>
            <w:tcW w:type="dxa" w:w="2880"/>
            <w:tcMar>
              <w:top w:w="90" w:type="dxa"/>
              <w:start w:w="100" w:type="dxa"/>
              <w:bottom w:w="90" w:type="dxa"/>
              <w:end w:w="100" w:type="dxa"/>
            </w:tcMar>
            <w:shd w:fill="F6F9F9"/>
            <w:vAlign w:val="center"/>
          </w:tcPr>
          <w:p>
            <w:r>
              <w:rPr>
                <w:color w:val="2A3032"/>
                <w:sz w:val="18"/>
              </w:rPr>
              <w:t>Dock active change</w:t>
            </w:r>
          </w:p>
        </w:tc>
        <w:tc>
          <w:tcPr>
            <w:tcW w:type="dxa" w:w="5904"/>
            <w:tcMar>
              <w:top w:w="90" w:type="dxa"/>
              <w:start w:w="100" w:type="dxa"/>
              <w:bottom w:w="90" w:type="dxa"/>
              <w:end w:w="100" w:type="dxa"/>
            </w:tcMar>
            <w:shd w:fill="F6F9F9"/>
            <w:vAlign w:val="center"/>
          </w:tcPr>
          <w:p>
            <w:r>
              <w:rPr>
                <w:color w:val="2A3032"/>
                <w:sz w:val="18"/>
              </w:rPr>
              <w:t>Indicator slide + icon/color transition</w:t>
            </w:r>
          </w:p>
        </w:tc>
      </w:tr>
      <w:tr>
        <w:tc>
          <w:tcPr>
            <w:tcW w:type="dxa" w:w="2880"/>
            <w:tcMar>
              <w:top w:w="90" w:type="dxa"/>
              <w:start w:w="100" w:type="dxa"/>
              <w:bottom w:w="90" w:type="dxa"/>
              <w:end w:w="100" w:type="dxa"/>
            </w:tcMar>
            <w:vAlign w:val="center"/>
          </w:tcPr>
          <w:p>
            <w:r>
              <w:rPr>
                <w:color w:val="2A3032"/>
                <w:sz w:val="18"/>
              </w:rPr>
              <w:t>Success feedback</w:t>
            </w:r>
          </w:p>
        </w:tc>
        <w:tc>
          <w:tcPr>
            <w:tcW w:type="dxa" w:w="5904"/>
            <w:tcMar>
              <w:top w:w="90" w:type="dxa"/>
              <w:start w:w="100" w:type="dxa"/>
              <w:bottom w:w="90" w:type="dxa"/>
              <w:end w:w="100" w:type="dxa"/>
            </w:tcMar>
            <w:vAlign w:val="center"/>
          </w:tcPr>
          <w:p>
            <w:r>
              <w:rPr>
                <w:color w:val="2A3032"/>
                <w:sz w:val="18"/>
              </w:rPr>
              <w:t>Kısa pulse veya highlight; kalıcı glow yok</w:t>
            </w:r>
          </w:p>
        </w:tc>
      </w:tr>
      <w:tr>
        <w:tc>
          <w:tcPr>
            <w:tcW w:type="dxa" w:w="2880"/>
            <w:tcMar>
              <w:top w:w="90" w:type="dxa"/>
              <w:start w:w="100" w:type="dxa"/>
              <w:bottom w:w="90" w:type="dxa"/>
              <w:end w:w="100" w:type="dxa"/>
            </w:tcMar>
            <w:shd w:fill="F6F9F9"/>
            <w:vAlign w:val="center"/>
          </w:tcPr>
          <w:p>
            <w:r>
              <w:rPr>
                <w:color w:val="2A3032"/>
                <w:sz w:val="18"/>
              </w:rPr>
              <w:t>Voice presence</w:t>
            </w:r>
          </w:p>
        </w:tc>
        <w:tc>
          <w:tcPr>
            <w:tcW w:type="dxa" w:w="5904"/>
            <w:tcMar>
              <w:top w:w="90" w:type="dxa"/>
              <w:start w:w="100" w:type="dxa"/>
              <w:bottom w:w="90" w:type="dxa"/>
              <w:end w:w="100" w:type="dxa"/>
            </w:tcMar>
            <w:shd w:fill="F6F9F9"/>
            <w:vAlign w:val="center"/>
          </w:tcPr>
          <w:p>
            <w:r>
              <w:rPr>
                <w:color w:val="2A3032"/>
                <w:sz w:val="18"/>
              </w:rPr>
              <w:t>State’e bağlı organik motion; reduced-motion desteği</w:t>
            </w:r>
          </w:p>
        </w:tc>
      </w:tr>
    </w:tbl>
    <w:p>
      <w:pPr>
        <w:spacing w:after="120" w:line="271" w:lineRule="auto"/>
      </w:pPr>
    </w:p>
    <w:p>
      <w:pPr>
        <w:pStyle w:val="Heading2"/>
        <w:keepNext/>
      </w:pPr>
      <w:r>
        <w:t>Yasaklar</w:t>
      </w:r>
    </w:p>
    <w:p>
      <w:pPr>
        <w:pStyle w:val="ListBullet"/>
        <w:spacing w:after="40"/>
      </w:pPr>
      <w:r>
        <w:t>Her kartta sürekli neon pulse.</w:t>
      </w:r>
    </w:p>
    <w:p>
      <w:pPr>
        <w:pStyle w:val="ListBullet"/>
        <w:spacing w:after="40"/>
      </w:pPr>
      <w:r>
        <w:t>İçerik okunmasını geciktiren uzun giriş animasyonları.</w:t>
      </w:r>
    </w:p>
    <w:p>
      <w:pPr>
        <w:pStyle w:val="ListBullet"/>
        <w:spacing w:after="40"/>
      </w:pPr>
      <w:r>
        <w:t>Route değişiminde bütün ekranı yeniden kuruyormuş hissi.</w:t>
      </w:r>
    </w:p>
    <w:p>
      <w:pPr>
        <w:pStyle w:val="ListBullet"/>
        <w:spacing w:after="40"/>
      </w:pPr>
      <w:r>
        <w:t>Scroll ile ağır parallax veya cihazı yoran efektler.</w:t>
      </w:r>
    </w:p>
    <w:p>
      <w:pPr>
        <w:pStyle w:val="ListBullet"/>
        <w:spacing w:after="40"/>
      </w:pPr>
      <w:r>
        <w:t>State’e bağlı olmayan rastgele orb hareketi.</w:t>
      </w:r>
    </w:p>
    <w:p>
      <w:pPr>
        <w:spacing w:after="120" w:line="271" w:lineRule="auto"/>
      </w:pPr>
      <w:r>
        <w:br w:type="page"/>
      </w:r>
    </w:p>
    <w:p>
      <w:pPr>
        <w:spacing w:before="80" w:after="120" w:line="271" w:lineRule="auto"/>
      </w:pPr>
      <w:r>
        <w:rPr>
          <w:rFonts w:ascii="Aptos" w:hAnsi="Aptos"/>
          <w:b/>
          <w:color w:val="20DCCB"/>
          <w:sz w:val="18"/>
        </w:rPr>
        <w:t>15. UYGULAMA VE GEÇIŞ SÖZLEŞMESI</w:t>
      </w:r>
    </w:p>
    <w:p>
      <w:pPr>
        <w:pStyle w:val="Heading1"/>
        <w:keepNext/>
      </w:pPr>
      <w:r>
        <w:t>Hızlı ve Tek Hamlede Uygulama</w:t>
      </w:r>
    </w:p>
    <w:p>
      <w:pPr>
        <w:spacing w:after="120" w:line="271" w:lineRule="auto"/>
      </w:pPr>
      <w:r>
        <w:t>Bu belge yeni bir uzun tasarım dönemi başlatmak için değil, tasarım işini tekrar tekrar çözme ihtiyacını bitirmek için hazırlanmıştır. Uygulama tek bütün operasyon olarak yürütülmelidir.</w:t>
      </w:r>
    </w:p>
    <w:p>
      <w:pPr>
        <w:pStyle w:val="Heading2"/>
        <w:keepNext/>
      </w:pPr>
      <w:r>
        <w:t>Öncelikli uygulama kapsamı</w:t>
      </w:r>
    </w:p>
    <w:p>
      <w:pPr>
        <w:pStyle w:val="ListNumber"/>
        <w:spacing w:after="60"/>
      </w:pPr>
      <w:r>
        <w:t>ExecutiveAppShell, ExecutiveHeader, ExecutiveWorkspace, ExecutiveDock ve ExecutivePresence ortak component’lerini kur.</w:t>
      </w:r>
    </w:p>
    <w:p>
      <w:pPr>
        <w:pStyle w:val="ListNumber"/>
        <w:spacing w:after="60"/>
      </w:pPr>
      <w:r>
        <w:t>Merkezi token ve ikon sistemini kur.</w:t>
      </w:r>
    </w:p>
    <w:p>
      <w:pPr>
        <w:pStyle w:val="ListNumber"/>
        <w:spacing w:after="60"/>
      </w:pPr>
      <w:r>
        <w:t>Şirketim sayfasını mevcut functionality’yi bozmadan bu shell’e taşı.</w:t>
      </w:r>
    </w:p>
    <w:p>
      <w:pPr>
        <w:pStyle w:val="ListNumber"/>
        <w:spacing w:after="60"/>
      </w:pPr>
      <w:r>
        <w:t>Müşteriler sayfasını aynı shell ve component sistemine taşı.</w:t>
      </w:r>
    </w:p>
    <w:p>
      <w:pPr>
        <w:pStyle w:val="ListNumber"/>
        <w:spacing w:after="60"/>
      </w:pPr>
      <w:r>
        <w:t>Sohbet sayfasını aynı shell’e bağla; sohbetin özel scroll/composer kurallarını uygula.</w:t>
      </w:r>
    </w:p>
    <w:p>
      <w:pPr>
        <w:pStyle w:val="ListNumber"/>
        <w:spacing w:after="60"/>
      </w:pPr>
      <w:r>
        <w:t>Ana navigasyondaki bütün route’ların canonical navigation kullandığını doğrula.</w:t>
      </w:r>
    </w:p>
    <w:p>
      <w:pPr>
        <w:pStyle w:val="ListNumber"/>
        <w:spacing w:after="60"/>
      </w:pPr>
      <w:r>
        <w:t>Kalan modüller için shell hazır olsun; ancak içerikleri hazır değilse yeni placeholder tasarlama veya sahte veri üretme.</w:t>
      </w:r>
    </w:p>
    <w:p>
      <w:pPr>
        <w:pStyle w:val="Heading2"/>
        <w:keepNext/>
      </w:pPr>
      <w:r>
        <w:t>Geçiş sırasında korunacaklar</w:t>
      </w:r>
    </w:p>
    <w:p>
      <w:pPr>
        <w:pStyle w:val="ListBullet"/>
        <w:spacing w:after="40"/>
      </w:pPr>
      <w:r>
        <w:t>Mevcut domain verisi ve API sözleşmeleri.</w:t>
      </w:r>
    </w:p>
    <w:p>
      <w:pPr>
        <w:pStyle w:val="ListBullet"/>
        <w:spacing w:after="40"/>
      </w:pPr>
      <w:r>
        <w:t>Executive Dock’un kullanıcı tarafından beğenilen merkez METRIX geometrisi ve koyu glass karakteri.</w:t>
      </w:r>
    </w:p>
    <w:p>
      <w:pPr>
        <w:pStyle w:val="ListBullet"/>
        <w:spacing w:after="40"/>
      </w:pPr>
      <w:r>
        <w:t>Müşteriler sayfasındaki onaylanmış görsel dil.</w:t>
      </w:r>
    </w:p>
    <w:p>
      <w:pPr>
        <w:pStyle w:val="ListBullet"/>
        <w:spacing w:after="40"/>
      </w:pPr>
      <w:r>
        <w:t>Şirketim sayfasındaki mevcut gerçek Company Domain işlevleri.</w:t>
      </w:r>
    </w:p>
    <w:p>
      <w:pPr>
        <w:pStyle w:val="ListBullet"/>
        <w:spacing w:after="40"/>
      </w:pPr>
      <w:r>
        <w:t>Sohbet ve voice canonical response otoritesi.</w:t>
      </w:r>
    </w:p>
    <w:p>
      <w:pPr>
        <w:pStyle w:val="ListBullet"/>
        <w:spacing w:after="40"/>
      </w:pPr>
      <w:r>
        <w:t>Mobil-first yaklaşım ve Executive Dock ana navigasyon sırası.</w:t>
      </w:r>
    </w:p>
    <w:p>
      <w:pPr>
        <w:spacing w:after="120" w:line="271" w:lineRule="auto"/>
      </w:pPr>
      <w:r>
        <w:br w:type="page"/>
      </w:r>
    </w:p>
    <w:p>
      <w:pPr>
        <w:spacing w:before="80" w:after="120" w:line="271" w:lineRule="auto"/>
      </w:pPr>
      <w:r>
        <w:rPr>
          <w:rFonts w:ascii="Aptos" w:hAnsi="Aptos"/>
          <w:b/>
          <w:color w:val="20DCCB"/>
          <w:sz w:val="18"/>
        </w:rPr>
        <w:t>16. PRODUCTION KABUL KRITERLERI</w:t>
      </w:r>
    </w:p>
    <w:p>
      <w:pPr>
        <w:pStyle w:val="Heading1"/>
        <w:keepNext/>
      </w:pPr>
      <w:r>
        <w:t>Kabul, Yalnız Build Değildir</w:t>
      </w:r>
    </w:p>
    <w:tbl>
      <w:tblPr>
        <w:tblStyle w:val="TableGrid"/>
        <w:tblW w:type="auto" w:w="0"/>
        <w:jc w:val="center"/>
        <w:tblLook w:firstColumn="1" w:firstRow="1" w:lastColumn="0" w:lastRow="0" w:noHBand="0" w:noVBand="1" w:val="04A0"/>
      </w:tblPr>
      <w:tblGrid>
        <w:gridCol w:w="5083"/>
        <w:gridCol w:w="5083"/>
      </w:tblGrid>
      <w:tr>
        <w:tc>
          <w:tcPr>
            <w:tcW w:type="dxa" w:w="2232"/>
            <w:shd w:fill="143B42"/>
            <w:tcMar>
              <w:top w:w="100" w:type="dxa"/>
              <w:start w:w="100" w:type="dxa"/>
              <w:bottom w:w="100" w:type="dxa"/>
              <w:end w:w="100" w:type="dxa"/>
            </w:tcMar>
          </w:tcPr>
          <w:p>
            <w:pPr>
              <w:jc w:val="left"/>
            </w:pPr>
            <w:r>
              <w:rPr>
                <w:b/>
                <w:color w:val="FFFFFF"/>
                <w:sz w:val="19"/>
              </w:rPr>
              <w:t>Alan</w:t>
            </w:r>
          </w:p>
        </w:tc>
        <w:tc>
          <w:tcPr>
            <w:tcW w:type="dxa" w:w="6624"/>
            <w:shd w:fill="143B42"/>
            <w:tcMar>
              <w:top w:w="100" w:type="dxa"/>
              <w:start w:w="100" w:type="dxa"/>
              <w:bottom w:w="100" w:type="dxa"/>
              <w:end w:w="100" w:type="dxa"/>
            </w:tcMar>
          </w:tcPr>
          <w:p>
            <w:pPr>
              <w:jc w:val="left"/>
            </w:pPr>
            <w:r>
              <w:rPr>
                <w:b/>
                <w:color w:val="FFFFFF"/>
                <w:sz w:val="19"/>
              </w:rPr>
              <w:t>Kabul kriteri</w:t>
            </w:r>
          </w:p>
        </w:tc>
      </w:tr>
      <w:tr>
        <w:tc>
          <w:tcPr>
            <w:tcW w:type="dxa" w:w="2232"/>
            <w:tcMar>
              <w:top w:w="90" w:type="dxa"/>
              <w:start w:w="100" w:type="dxa"/>
              <w:bottom w:w="90" w:type="dxa"/>
              <w:end w:w="100" w:type="dxa"/>
            </w:tcMar>
            <w:vAlign w:val="center"/>
          </w:tcPr>
          <w:p>
            <w:r>
              <w:rPr>
                <w:color w:val="2A3032"/>
                <w:sz w:val="18"/>
              </w:rPr>
              <w:t>App Shell</w:t>
            </w:r>
          </w:p>
        </w:tc>
        <w:tc>
          <w:tcPr>
            <w:tcW w:type="dxa" w:w="6624"/>
            <w:tcMar>
              <w:top w:w="90" w:type="dxa"/>
              <w:start w:w="100" w:type="dxa"/>
              <w:bottom w:w="90" w:type="dxa"/>
              <w:end w:w="100" w:type="dxa"/>
            </w:tcMar>
            <w:vAlign w:val="center"/>
          </w:tcPr>
          <w:p>
            <w:r>
              <w:rPr>
                <w:color w:val="2A3032"/>
                <w:sz w:val="18"/>
              </w:rPr>
              <w:t>Şirketim, Müşteriler ve Sohbet aynı shell içinde çalışıyor.</w:t>
            </w:r>
          </w:p>
        </w:tc>
      </w:tr>
      <w:tr>
        <w:tc>
          <w:tcPr>
            <w:tcW w:type="dxa" w:w="2232"/>
            <w:tcMar>
              <w:top w:w="90" w:type="dxa"/>
              <w:start w:w="100" w:type="dxa"/>
              <w:bottom w:w="90" w:type="dxa"/>
              <w:end w:w="100" w:type="dxa"/>
            </w:tcMar>
            <w:shd w:fill="F6F9F9"/>
            <w:vAlign w:val="center"/>
          </w:tcPr>
          <w:p>
            <w:r>
              <w:rPr>
                <w:color w:val="2A3032"/>
                <w:sz w:val="18"/>
              </w:rPr>
              <w:t>Header</w:t>
            </w:r>
          </w:p>
        </w:tc>
        <w:tc>
          <w:tcPr>
            <w:tcW w:type="dxa" w:w="6624"/>
            <w:tcMar>
              <w:top w:w="90" w:type="dxa"/>
              <w:start w:w="100" w:type="dxa"/>
              <w:bottom w:w="90" w:type="dxa"/>
              <w:end w:w="100" w:type="dxa"/>
            </w:tcMar>
            <w:shd w:fill="F6F9F9"/>
            <w:vAlign w:val="center"/>
          </w:tcPr>
          <w:p>
            <w:r>
              <w:rPr>
                <w:color w:val="2A3032"/>
                <w:sz w:val="18"/>
              </w:rPr>
              <w:t>Sol marka, orta sayfa bağlamı, sağ notification/profile gerçek component.</w:t>
            </w:r>
          </w:p>
        </w:tc>
      </w:tr>
      <w:tr>
        <w:tc>
          <w:tcPr>
            <w:tcW w:type="dxa" w:w="2232"/>
            <w:tcMar>
              <w:top w:w="90" w:type="dxa"/>
              <w:start w:w="100" w:type="dxa"/>
              <w:bottom w:w="90" w:type="dxa"/>
              <w:end w:w="100" w:type="dxa"/>
            </w:tcMar>
            <w:vAlign w:val="center"/>
          </w:tcPr>
          <w:p>
            <w:r>
              <w:rPr>
                <w:color w:val="2A3032"/>
                <w:sz w:val="18"/>
              </w:rPr>
              <w:t>Dock</w:t>
            </w:r>
          </w:p>
        </w:tc>
        <w:tc>
          <w:tcPr>
            <w:tcW w:type="dxa" w:w="6624"/>
            <w:tcMar>
              <w:top w:w="90" w:type="dxa"/>
              <w:start w:w="100" w:type="dxa"/>
              <w:bottom w:w="90" w:type="dxa"/>
              <w:end w:w="100" w:type="dxa"/>
            </w:tcMar>
            <w:vAlign w:val="center"/>
          </w:tcPr>
          <w:p>
            <w:r>
              <w:rPr>
                <w:color w:val="2A3032"/>
                <w:sz w:val="18"/>
              </w:rPr>
              <w:t>İçeriği örtmüyor; safe-area uyumlu; canonical route navigation.</w:t>
            </w:r>
          </w:p>
        </w:tc>
      </w:tr>
      <w:tr>
        <w:tc>
          <w:tcPr>
            <w:tcW w:type="dxa" w:w="2232"/>
            <w:tcMar>
              <w:top w:w="90" w:type="dxa"/>
              <w:start w:w="100" w:type="dxa"/>
              <w:bottom w:w="90" w:type="dxa"/>
              <w:end w:w="100" w:type="dxa"/>
            </w:tcMar>
            <w:shd w:fill="F6F9F9"/>
            <w:vAlign w:val="center"/>
          </w:tcPr>
          <w:p>
            <w:r>
              <w:rPr>
                <w:color w:val="2A3032"/>
                <w:sz w:val="18"/>
              </w:rPr>
              <w:t>Scroll</w:t>
            </w:r>
          </w:p>
        </w:tc>
        <w:tc>
          <w:tcPr>
            <w:tcW w:type="dxa" w:w="6624"/>
            <w:tcMar>
              <w:top w:w="90" w:type="dxa"/>
              <w:start w:w="100" w:type="dxa"/>
              <w:bottom w:w="90" w:type="dxa"/>
              <w:end w:w="100" w:type="dxa"/>
            </w:tcMar>
            <w:shd w:fill="F6F9F9"/>
            <w:vAlign w:val="center"/>
          </w:tcPr>
          <w:p>
            <w:r>
              <w:rPr>
                <w:color w:val="2A3032"/>
                <w:sz w:val="18"/>
              </w:rPr>
              <w:t>Body scroll yok; workspace doğru şekilde scroll ediyor.</w:t>
            </w:r>
          </w:p>
        </w:tc>
      </w:tr>
      <w:tr>
        <w:tc>
          <w:tcPr>
            <w:tcW w:type="dxa" w:w="2232"/>
            <w:tcMar>
              <w:top w:w="90" w:type="dxa"/>
              <w:start w:w="100" w:type="dxa"/>
              <w:bottom w:w="90" w:type="dxa"/>
              <w:end w:w="100" w:type="dxa"/>
            </w:tcMar>
            <w:vAlign w:val="center"/>
          </w:tcPr>
          <w:p>
            <w:r>
              <w:rPr>
                <w:color w:val="2A3032"/>
                <w:sz w:val="18"/>
              </w:rPr>
              <w:t>Responsive</w:t>
            </w:r>
          </w:p>
        </w:tc>
        <w:tc>
          <w:tcPr>
            <w:tcW w:type="dxa" w:w="6624"/>
            <w:tcMar>
              <w:top w:w="90" w:type="dxa"/>
              <w:start w:w="100" w:type="dxa"/>
              <w:bottom w:w="90" w:type="dxa"/>
              <w:end w:w="100" w:type="dxa"/>
            </w:tcMar>
            <w:vAlign w:val="center"/>
          </w:tcPr>
          <w:p>
            <w:r>
              <w:rPr>
                <w:color w:val="2A3032"/>
                <w:sz w:val="18"/>
              </w:rPr>
              <w:t>390×844, tablet ve 1440 desktop görünümü kabul edildi.</w:t>
            </w:r>
          </w:p>
        </w:tc>
      </w:tr>
      <w:tr>
        <w:tc>
          <w:tcPr>
            <w:tcW w:type="dxa" w:w="2232"/>
            <w:tcMar>
              <w:top w:w="90" w:type="dxa"/>
              <w:start w:w="100" w:type="dxa"/>
              <w:bottom w:w="90" w:type="dxa"/>
              <w:end w:w="100" w:type="dxa"/>
            </w:tcMar>
            <w:shd w:fill="F6F9F9"/>
            <w:vAlign w:val="center"/>
          </w:tcPr>
          <w:p>
            <w:r>
              <w:rPr>
                <w:color w:val="2A3032"/>
                <w:sz w:val="18"/>
              </w:rPr>
              <w:t>Icons</w:t>
            </w:r>
          </w:p>
        </w:tc>
        <w:tc>
          <w:tcPr>
            <w:tcW w:type="dxa" w:w="6624"/>
            <w:tcMar>
              <w:top w:w="90" w:type="dxa"/>
              <w:start w:w="100" w:type="dxa"/>
              <w:bottom w:w="90" w:type="dxa"/>
              <w:end w:w="100" w:type="dxa"/>
            </w:tcMar>
            <w:shd w:fill="F6F9F9"/>
            <w:vAlign w:val="center"/>
          </w:tcPr>
          <w:p>
            <w:r>
              <w:rPr>
                <w:color w:val="2A3032"/>
                <w:sz w:val="18"/>
              </w:rPr>
              <w:t>Tek ikon dili; kırık glyph/emoji/rastgele set yok.</w:t>
            </w:r>
          </w:p>
        </w:tc>
      </w:tr>
      <w:tr>
        <w:tc>
          <w:tcPr>
            <w:tcW w:type="dxa" w:w="2232"/>
            <w:tcMar>
              <w:top w:w="90" w:type="dxa"/>
              <w:start w:w="100" w:type="dxa"/>
              <w:bottom w:w="90" w:type="dxa"/>
              <w:end w:w="100" w:type="dxa"/>
            </w:tcMar>
            <w:vAlign w:val="center"/>
          </w:tcPr>
          <w:p>
            <w:r>
              <w:rPr>
                <w:color w:val="2A3032"/>
                <w:sz w:val="18"/>
              </w:rPr>
              <w:t>Tokens</w:t>
            </w:r>
          </w:p>
        </w:tc>
        <w:tc>
          <w:tcPr>
            <w:tcW w:type="dxa" w:w="6624"/>
            <w:tcMar>
              <w:top w:w="90" w:type="dxa"/>
              <w:start w:w="100" w:type="dxa"/>
              <w:bottom w:w="90" w:type="dxa"/>
              <w:end w:w="100" w:type="dxa"/>
            </w:tcMar>
            <w:vAlign w:val="center"/>
          </w:tcPr>
          <w:p>
            <w:r>
              <w:rPr>
                <w:color w:val="2A3032"/>
                <w:sz w:val="18"/>
              </w:rPr>
              <w:t>Renk, radius, spacing ve shadow merkezi sistemden geliyor.</w:t>
            </w:r>
          </w:p>
        </w:tc>
      </w:tr>
      <w:tr>
        <w:tc>
          <w:tcPr>
            <w:tcW w:type="dxa" w:w="2232"/>
            <w:tcMar>
              <w:top w:w="90" w:type="dxa"/>
              <w:start w:w="100" w:type="dxa"/>
              <w:bottom w:w="90" w:type="dxa"/>
              <w:end w:w="100" w:type="dxa"/>
            </w:tcMar>
            <w:shd w:fill="F6F9F9"/>
            <w:vAlign w:val="center"/>
          </w:tcPr>
          <w:p>
            <w:r>
              <w:rPr>
                <w:color w:val="2A3032"/>
                <w:sz w:val="18"/>
              </w:rPr>
              <w:t>States</w:t>
            </w:r>
          </w:p>
        </w:tc>
        <w:tc>
          <w:tcPr>
            <w:tcW w:type="dxa" w:w="6624"/>
            <w:tcMar>
              <w:top w:w="90" w:type="dxa"/>
              <w:start w:w="100" w:type="dxa"/>
              <w:bottom w:w="90" w:type="dxa"/>
              <w:end w:w="100" w:type="dxa"/>
            </w:tcMar>
            <w:shd w:fill="F6F9F9"/>
            <w:vAlign w:val="center"/>
          </w:tcPr>
          <w:p>
            <w:r>
              <w:rPr>
                <w:color w:val="2A3032"/>
                <w:sz w:val="18"/>
              </w:rPr>
              <w:t>Loading, empty, missing data, candidate, error ve success tamam.</w:t>
            </w:r>
          </w:p>
        </w:tc>
      </w:tr>
      <w:tr>
        <w:tc>
          <w:tcPr>
            <w:tcW w:type="dxa" w:w="2232"/>
            <w:tcMar>
              <w:top w:w="90" w:type="dxa"/>
              <w:start w:w="100" w:type="dxa"/>
              <w:bottom w:w="90" w:type="dxa"/>
              <w:end w:w="100" w:type="dxa"/>
            </w:tcMar>
            <w:vAlign w:val="center"/>
          </w:tcPr>
          <w:p>
            <w:r>
              <w:rPr>
                <w:color w:val="2A3032"/>
                <w:sz w:val="18"/>
              </w:rPr>
              <w:t>Chat</w:t>
            </w:r>
          </w:p>
        </w:tc>
        <w:tc>
          <w:tcPr>
            <w:tcW w:type="dxa" w:w="6624"/>
            <w:tcMar>
              <w:top w:w="90" w:type="dxa"/>
              <w:start w:w="100" w:type="dxa"/>
              <w:bottom w:w="90" w:type="dxa"/>
              <w:end w:w="100" w:type="dxa"/>
            </w:tcMar>
            <w:vAlign w:val="center"/>
          </w:tcPr>
          <w:p>
            <w:r>
              <w:rPr>
                <w:color w:val="2A3032"/>
                <w:sz w:val="18"/>
              </w:rPr>
              <w:t>Mesaj akışı ve composer dock’la çakışmıyor; floating orb yok.</w:t>
            </w:r>
          </w:p>
        </w:tc>
      </w:tr>
      <w:tr>
        <w:tc>
          <w:tcPr>
            <w:tcW w:type="dxa" w:w="2232"/>
            <w:tcMar>
              <w:top w:w="90" w:type="dxa"/>
              <w:start w:w="100" w:type="dxa"/>
              <w:bottom w:w="90" w:type="dxa"/>
              <w:end w:w="100" w:type="dxa"/>
            </w:tcMar>
            <w:shd w:fill="F6F9F9"/>
            <w:vAlign w:val="center"/>
          </w:tcPr>
          <w:p>
            <w:r>
              <w:rPr>
                <w:color w:val="2A3032"/>
                <w:sz w:val="18"/>
              </w:rPr>
              <w:t>Accessibility</w:t>
            </w:r>
          </w:p>
        </w:tc>
        <w:tc>
          <w:tcPr>
            <w:tcW w:type="dxa" w:w="6624"/>
            <w:tcMar>
              <w:top w:w="90" w:type="dxa"/>
              <w:start w:w="100" w:type="dxa"/>
              <w:bottom w:w="90" w:type="dxa"/>
              <w:end w:w="100" w:type="dxa"/>
            </w:tcMar>
            <w:shd w:fill="F6F9F9"/>
            <w:vAlign w:val="center"/>
          </w:tcPr>
          <w:p>
            <w:r>
              <w:rPr>
                <w:color w:val="2A3032"/>
                <w:sz w:val="18"/>
              </w:rPr>
              <w:t>Focus, contrast, labels ve reduced motion kabul edildi.</w:t>
            </w:r>
          </w:p>
        </w:tc>
      </w:tr>
      <w:tr>
        <w:tc>
          <w:tcPr>
            <w:tcW w:type="dxa" w:w="2232"/>
            <w:tcMar>
              <w:top w:w="90" w:type="dxa"/>
              <w:start w:w="100" w:type="dxa"/>
              <w:bottom w:w="90" w:type="dxa"/>
              <w:end w:w="100" w:type="dxa"/>
            </w:tcMar>
            <w:vAlign w:val="center"/>
          </w:tcPr>
          <w:p>
            <w:r>
              <w:rPr>
                <w:color w:val="2A3032"/>
                <w:sz w:val="18"/>
              </w:rPr>
              <w:t>User flow</w:t>
            </w:r>
          </w:p>
        </w:tc>
        <w:tc>
          <w:tcPr>
            <w:tcW w:type="dxa" w:w="6624"/>
            <w:tcMar>
              <w:top w:w="90" w:type="dxa"/>
              <w:start w:w="100" w:type="dxa"/>
              <w:bottom w:w="90" w:type="dxa"/>
              <w:end w:w="100" w:type="dxa"/>
            </w:tcMar>
            <w:vAlign w:val="center"/>
          </w:tcPr>
          <w:p>
            <w:r>
              <w:rPr>
                <w:color w:val="2A3032"/>
                <w:sz w:val="18"/>
              </w:rPr>
              <w:t>Ana girişten gerçek kullanıcı yeni sayfalara ulaşabiliyor.</w:t>
            </w:r>
          </w:p>
        </w:tc>
      </w:tr>
      <w:tr>
        <w:tc>
          <w:tcPr>
            <w:tcW w:type="dxa" w:w="2232"/>
            <w:tcMar>
              <w:top w:w="90" w:type="dxa"/>
              <w:start w:w="100" w:type="dxa"/>
              <w:bottom w:w="90" w:type="dxa"/>
              <w:end w:w="100" w:type="dxa"/>
            </w:tcMar>
            <w:shd w:fill="F6F9F9"/>
            <w:vAlign w:val="center"/>
          </w:tcPr>
          <w:p>
            <w:r>
              <w:rPr>
                <w:color w:val="2A3032"/>
                <w:sz w:val="18"/>
              </w:rPr>
              <w:t>Production</w:t>
            </w:r>
          </w:p>
        </w:tc>
        <w:tc>
          <w:tcPr>
            <w:tcW w:type="dxa" w:w="6624"/>
            <w:tcMar>
              <w:top w:w="90" w:type="dxa"/>
              <w:start w:w="100" w:type="dxa"/>
              <w:bottom w:w="90" w:type="dxa"/>
              <w:end w:w="100" w:type="dxa"/>
            </w:tcMar>
            <w:shd w:fill="F6F9F9"/>
            <w:vAlign w:val="center"/>
          </w:tcPr>
          <w:p>
            <w:r>
              <w:rPr>
                <w:color w:val="2A3032"/>
                <w:sz w:val="18"/>
              </w:rPr>
              <w:t>Authenticated canlı kabul ile header, dock, scroll ve route doğrulandı.</w:t>
            </w:r>
          </w:p>
        </w:tc>
      </w:tr>
    </w:tbl>
    <w:p>
      <w:pPr>
        <w:spacing w:after="120" w:line="271" w:lineRule="auto"/>
      </w:pPr>
    </w:p>
    <w:p>
      <w:pPr>
        <w:pStyle w:val="Heading2"/>
        <w:keepNext/>
      </w:pPr>
      <w:r>
        <w:t>Zorunlu görsel test matrisi</w:t>
      </w:r>
    </w:p>
    <w:tbl>
      <w:tblPr>
        <w:tblStyle w:val="TableGrid"/>
        <w:tblW w:type="auto" w:w="0"/>
        <w:jc w:val="center"/>
        <w:tblLook w:firstColumn="1" w:firstRow="1" w:lastColumn="0" w:lastRow="0" w:noHBand="0" w:noVBand="1" w:val="04A0"/>
      </w:tblPr>
      <w:tblGrid>
        <w:gridCol w:w="5083"/>
        <w:gridCol w:w="5083"/>
      </w:tblGrid>
      <w:tr>
        <w:tc>
          <w:tcPr>
            <w:tcW w:type="dxa" w:w="2448"/>
            <w:shd w:fill="143B42"/>
            <w:tcMar>
              <w:top w:w="100" w:type="dxa"/>
              <w:start w:w="100" w:type="dxa"/>
              <w:bottom w:w="100" w:type="dxa"/>
              <w:end w:w="100" w:type="dxa"/>
            </w:tcMar>
          </w:tcPr>
          <w:p>
            <w:pPr>
              <w:jc w:val="left"/>
            </w:pPr>
            <w:r>
              <w:rPr>
                <w:b/>
                <w:color w:val="FFFFFF"/>
                <w:sz w:val="19"/>
              </w:rPr>
              <w:t>Viewport</w:t>
            </w:r>
          </w:p>
        </w:tc>
        <w:tc>
          <w:tcPr>
            <w:tcW w:type="dxa" w:w="6336"/>
            <w:shd w:fill="143B42"/>
            <w:tcMar>
              <w:top w:w="100" w:type="dxa"/>
              <w:start w:w="100" w:type="dxa"/>
              <w:bottom w:w="100" w:type="dxa"/>
              <w:end w:w="100" w:type="dxa"/>
            </w:tcMar>
          </w:tcPr>
          <w:p>
            <w:pPr>
              <w:jc w:val="left"/>
            </w:pPr>
            <w:r>
              <w:rPr>
                <w:b/>
                <w:color w:val="FFFFFF"/>
                <w:sz w:val="19"/>
              </w:rPr>
              <w:t>Kontrol</w:t>
            </w:r>
          </w:p>
        </w:tc>
      </w:tr>
      <w:tr>
        <w:tc>
          <w:tcPr>
            <w:tcW w:type="dxa" w:w="2448"/>
            <w:tcMar>
              <w:top w:w="90" w:type="dxa"/>
              <w:start w:w="100" w:type="dxa"/>
              <w:bottom w:w="90" w:type="dxa"/>
              <w:end w:w="100" w:type="dxa"/>
            </w:tcMar>
            <w:vAlign w:val="center"/>
          </w:tcPr>
          <w:p>
            <w:r>
              <w:rPr>
                <w:color w:val="2A3032"/>
                <w:sz w:val="18"/>
              </w:rPr>
              <w:t>390×844</w:t>
            </w:r>
          </w:p>
        </w:tc>
        <w:tc>
          <w:tcPr>
            <w:tcW w:type="dxa" w:w="6336"/>
            <w:tcMar>
              <w:top w:w="90" w:type="dxa"/>
              <w:start w:w="100" w:type="dxa"/>
              <w:bottom w:w="90" w:type="dxa"/>
              <w:end w:w="100" w:type="dxa"/>
            </w:tcMar>
            <w:vAlign w:val="center"/>
          </w:tcPr>
          <w:p>
            <w:r>
              <w:rPr>
                <w:color w:val="2A3032"/>
                <w:sz w:val="18"/>
              </w:rPr>
              <w:t>Safe-area, dock, KPI grid, son içerik satırı, sheet/edit</w:t>
            </w:r>
          </w:p>
        </w:tc>
      </w:tr>
      <w:tr>
        <w:tc>
          <w:tcPr>
            <w:tcW w:type="dxa" w:w="2448"/>
            <w:tcMar>
              <w:top w:w="90" w:type="dxa"/>
              <w:start w:w="100" w:type="dxa"/>
              <w:bottom w:w="90" w:type="dxa"/>
              <w:end w:w="100" w:type="dxa"/>
            </w:tcMar>
            <w:shd w:fill="F6F9F9"/>
            <w:vAlign w:val="center"/>
          </w:tcPr>
          <w:p>
            <w:r>
              <w:rPr>
                <w:color w:val="2A3032"/>
                <w:sz w:val="18"/>
              </w:rPr>
              <w:t>430×932</w:t>
            </w:r>
          </w:p>
        </w:tc>
        <w:tc>
          <w:tcPr>
            <w:tcW w:type="dxa" w:w="6336"/>
            <w:tcMar>
              <w:top w:w="90" w:type="dxa"/>
              <w:start w:w="100" w:type="dxa"/>
              <w:bottom w:w="90" w:type="dxa"/>
              <w:end w:w="100" w:type="dxa"/>
            </w:tcMar>
            <w:shd w:fill="F6F9F9"/>
            <w:vAlign w:val="center"/>
          </w:tcPr>
          <w:p>
            <w:r>
              <w:rPr>
                <w:color w:val="2A3032"/>
                <w:sz w:val="18"/>
              </w:rPr>
              <w:t>Geniş mobil, text scaling, header dengesi</w:t>
            </w:r>
          </w:p>
        </w:tc>
      </w:tr>
      <w:tr>
        <w:tc>
          <w:tcPr>
            <w:tcW w:type="dxa" w:w="2448"/>
            <w:tcMar>
              <w:top w:w="90" w:type="dxa"/>
              <w:start w:w="100" w:type="dxa"/>
              <w:bottom w:w="90" w:type="dxa"/>
              <w:end w:w="100" w:type="dxa"/>
            </w:tcMar>
            <w:vAlign w:val="center"/>
          </w:tcPr>
          <w:p>
            <w:r>
              <w:rPr>
                <w:color w:val="2A3032"/>
                <w:sz w:val="18"/>
              </w:rPr>
              <w:t>768×1024</w:t>
            </w:r>
          </w:p>
        </w:tc>
        <w:tc>
          <w:tcPr>
            <w:tcW w:type="dxa" w:w="6336"/>
            <w:tcMar>
              <w:top w:w="90" w:type="dxa"/>
              <w:start w:w="100" w:type="dxa"/>
              <w:bottom w:w="90" w:type="dxa"/>
              <w:end w:w="100" w:type="dxa"/>
            </w:tcMar>
            <w:vAlign w:val="center"/>
          </w:tcPr>
          <w:p>
            <w:r>
              <w:rPr>
                <w:color w:val="2A3032"/>
                <w:sz w:val="18"/>
              </w:rPr>
              <w:t>Tablet layout, navigation ve panel genişliği</w:t>
            </w:r>
          </w:p>
        </w:tc>
      </w:tr>
      <w:tr>
        <w:tc>
          <w:tcPr>
            <w:tcW w:type="dxa" w:w="2448"/>
            <w:tcMar>
              <w:top w:w="90" w:type="dxa"/>
              <w:start w:w="100" w:type="dxa"/>
              <w:bottom w:w="90" w:type="dxa"/>
              <w:end w:w="100" w:type="dxa"/>
            </w:tcMar>
            <w:shd w:fill="F6F9F9"/>
            <w:vAlign w:val="center"/>
          </w:tcPr>
          <w:p>
            <w:r>
              <w:rPr>
                <w:color w:val="2A3032"/>
                <w:sz w:val="18"/>
              </w:rPr>
              <w:t>1440×900</w:t>
            </w:r>
          </w:p>
        </w:tc>
        <w:tc>
          <w:tcPr>
            <w:tcW w:type="dxa" w:w="6336"/>
            <w:tcMar>
              <w:top w:w="90" w:type="dxa"/>
              <w:start w:w="100" w:type="dxa"/>
              <w:bottom w:w="90" w:type="dxa"/>
              <w:end w:w="100" w:type="dxa"/>
            </w:tcMar>
            <w:shd w:fill="F6F9F9"/>
            <w:vAlign w:val="center"/>
          </w:tcPr>
          <w:p>
            <w:r>
              <w:rPr>
                <w:color w:val="2A3032"/>
                <w:sz w:val="18"/>
              </w:rPr>
              <w:t>Desktop app shell, max-width, dock ve scroll</w:t>
            </w:r>
          </w:p>
        </w:tc>
      </w:tr>
      <w:tr>
        <w:tc>
          <w:tcPr>
            <w:tcW w:type="dxa" w:w="2448"/>
            <w:tcMar>
              <w:top w:w="90" w:type="dxa"/>
              <w:start w:w="100" w:type="dxa"/>
              <w:bottom w:w="90" w:type="dxa"/>
              <w:end w:w="100" w:type="dxa"/>
            </w:tcMar>
            <w:vAlign w:val="center"/>
          </w:tcPr>
          <w:p>
            <w:r>
              <w:rPr>
                <w:color w:val="2A3032"/>
                <w:sz w:val="18"/>
              </w:rPr>
              <w:t>1920×1080</w:t>
            </w:r>
          </w:p>
        </w:tc>
        <w:tc>
          <w:tcPr>
            <w:tcW w:type="dxa" w:w="6336"/>
            <w:tcMar>
              <w:top w:w="90" w:type="dxa"/>
              <w:start w:w="100" w:type="dxa"/>
              <w:bottom w:w="90" w:type="dxa"/>
              <w:end w:w="100" w:type="dxa"/>
            </w:tcMar>
            <w:vAlign w:val="center"/>
          </w:tcPr>
          <w:p>
            <w:r>
              <w:rPr>
                <w:color w:val="2A3032"/>
                <w:sz w:val="18"/>
              </w:rPr>
              <w:t>Geniş ekran; aşırı yayılma ve boşluk kontrolü</w:t>
            </w:r>
          </w:p>
        </w:tc>
      </w:tr>
    </w:tbl>
    <w:p>
      <w:pPr>
        <w:spacing w:after="120" w:line="271" w:lineRule="auto"/>
      </w:pPr>
    </w:p>
    <w:p>
      <w:pPr>
        <w:spacing w:before="80" w:after="120" w:line="271" w:lineRule="auto"/>
      </w:pPr>
      <w:r>
        <w:rPr>
          <w:rFonts w:ascii="Aptos" w:hAnsi="Aptos"/>
          <w:b/>
          <w:color w:val="20DCCB"/>
          <w:sz w:val="18"/>
        </w:rPr>
        <w:t>17. DEĞIŞMEZ YASAKLAR</w:t>
      </w:r>
    </w:p>
    <w:p>
      <w:pPr>
        <w:pStyle w:val="Heading1"/>
        <w:keepNext/>
      </w:pPr>
      <w:r>
        <w:t>Mimari ve Tasarım İhlalleri</w:t>
      </w:r>
    </w:p>
    <w:p>
      <w:pPr>
        <w:pStyle w:val="ListBullet"/>
        <w:spacing w:after="40"/>
      </w:pPr>
      <w:r>
        <w:t>Her modülün kendi header, dock veya global shell kopyasını oluşturması.</w:t>
      </w:r>
    </w:p>
    <w:p>
      <w:pPr>
        <w:pStyle w:val="ListBullet"/>
        <w:spacing w:after="40"/>
      </w:pPr>
      <w:r>
        <w:t>Ana navigation için local tab state kullanılması.</w:t>
      </w:r>
    </w:p>
    <w:p>
      <w:pPr>
        <w:pStyle w:val="ListBullet"/>
        <w:spacing w:after="40"/>
      </w:pPr>
      <w:r>
        <w:t>İçeriğin dock altında kalması veya safe-area’nın göz ardı edilmesi.</w:t>
      </w:r>
    </w:p>
    <w:p>
      <w:pPr>
        <w:pStyle w:val="ListBullet"/>
        <w:spacing w:after="40"/>
      </w:pPr>
      <w:r>
        <w:t>Sayfanın bütününün kontrolsüz sonsuz scroll olması.</w:t>
      </w:r>
    </w:p>
    <w:p>
      <w:pPr>
        <w:pStyle w:val="ListBullet"/>
        <w:spacing w:after="40"/>
      </w:pPr>
      <w:r>
        <w:t>Her kartın ayrı internal scrollbar kullanması.</w:t>
      </w:r>
    </w:p>
    <w:p>
      <w:pPr>
        <w:pStyle w:val="ListBullet"/>
        <w:spacing w:after="40"/>
      </w:pPr>
      <w:r>
        <w:t>Farklı sayfalarda farklı ikon aileleri ve farklı stroke ağırlıkları.</w:t>
      </w:r>
    </w:p>
    <w:p>
      <w:pPr>
        <w:pStyle w:val="ListBullet"/>
        <w:spacing w:after="40"/>
      </w:pPr>
      <w:r>
        <w:t>Hard-coded renk, radius ve spacing değerlerinin component’lere yayılması.</w:t>
      </w:r>
    </w:p>
    <w:p>
      <w:pPr>
        <w:pStyle w:val="ListBullet"/>
        <w:spacing w:after="40"/>
      </w:pPr>
      <w:r>
        <w:t>Sahte notification sayıları, demo KPI’lar veya placeholder’ın gerçek route yerine açılması.</w:t>
      </w:r>
    </w:p>
    <w:p>
      <w:pPr>
        <w:pStyle w:val="ListBullet"/>
        <w:spacing w:after="40"/>
      </w:pPr>
      <w:r>
        <w:t>Sohbet sayfasında ikinci bir floating orb veya ayrı voice persona oluşturulması.</w:t>
      </w:r>
    </w:p>
    <w:p>
      <w:pPr>
        <w:pStyle w:val="ListBullet"/>
        <w:spacing w:after="40"/>
      </w:pPr>
      <w:r>
        <w:t>Görsel kaliteyi yalnız prompt veya “Apple gibi” ifadesine bırakmak.</w:t>
      </w:r>
    </w:p>
    <w:p>
      <w:pPr>
        <w:pStyle w:val="ListBullet"/>
        <w:spacing w:after="40"/>
      </w:pPr>
      <w:r>
        <w:t>Erişilebilirliği ve reduced-motion davranışını sonradan eklenecek detay olarak görmek.</w:t>
      </w:r>
    </w:p>
    <w:tbl>
      <w:tblPr>
        <w:tblW w:type="auto" w:w="0"/>
        <w:jc w:val="center"/>
        <w:tblLayout w:type="autofit"/>
        <w:tblLook w:firstColumn="1" w:firstRow="1" w:lastColumn="0" w:lastRow="0" w:noHBand="0" w:noVBand="1" w:val="04A0"/>
      </w:tblPr>
      <w:tblGrid>
        <w:gridCol w:w="10166"/>
      </w:tblGrid>
      <w:tr>
        <w:tc>
          <w:tcPr>
            <w:tcW w:type="dxa" w:w="10166"/>
            <w:shd w:fill="F2F8F7"/>
            <w:tcMar>
              <w:top w:w="160" w:type="dxa"/>
              <w:start w:w="190" w:type="dxa"/>
              <w:bottom w:w="160" w:type="dxa"/>
              <w:end w:w="190" w:type="dxa"/>
            </w:tcMar>
            <w:tcBorders>
              <w:top w:val="single" w:sz="8" w:color="143B42"/>
              <w:left w:val="single" w:sz="8" w:color="143B42"/>
              <w:bottom w:val="single" w:sz="8" w:color="143B42"/>
              <w:right w:val="single" w:sz="8" w:color="143B42"/>
            </w:tcBorders>
          </w:tcPr>
          <w:p>
            <w:pPr>
              <w:spacing w:after="80"/>
            </w:pPr>
            <w:r>
              <w:rPr>
                <w:b/>
                <w:color w:val="143B42"/>
                <w:sz w:val="22"/>
              </w:rPr>
              <w:t>Son hüküm</w:t>
            </w:r>
          </w:p>
          <w:p>
            <w:pPr>
              <w:spacing w:after="0"/>
            </w:pPr>
            <w:r>
              <w:rPr>
                <w:color w:val="2A3032"/>
                <w:sz w:val="21"/>
              </w:rPr>
              <w:t>Bu sistem uygulandıktan sonra yeni sayfa tasarımı baştan yapılmaz. Yeni modül, Executive App Shell içine gerekli domain component’leri eklenerek oluşturulur. Kullanıcı deneyiminin kalitesi kişisel yoruma değil, ortak kod sistemine dayanır.</w:t>
            </w:r>
          </w:p>
        </w:tc>
      </w:tr>
    </w:tbl>
    <w:p>
      <w:pPr>
        <w:spacing w:after="120" w:line="271" w:lineRule="auto"/>
      </w:pPr>
      <w:r>
        <w:br w:type="page"/>
      </w:r>
    </w:p>
    <w:p>
      <w:pPr>
        <w:spacing w:before="80" w:after="120" w:line="271" w:lineRule="auto"/>
      </w:pPr>
      <w:r>
        <w:rPr>
          <w:rFonts w:ascii="Aptos" w:hAnsi="Aptos"/>
          <w:b/>
          <w:color w:val="20DCCB"/>
          <w:sz w:val="18"/>
        </w:rPr>
        <w:t>18. CODEX UYGULAMA ÖZETI</w:t>
      </w:r>
    </w:p>
    <w:p>
      <w:pPr>
        <w:pStyle w:val="Heading1"/>
        <w:keepNext/>
      </w:pPr>
      <w:r>
        <w:t>Tek Operasyonluk Uygulama Talimatı</w:t>
      </w:r>
    </w:p>
    <w:p>
      <w:pPr>
        <w:spacing w:after="120" w:line="271" w:lineRule="auto"/>
      </w:pPr>
      <w:r>
        <w:t>Codex bu belgeyi uygularken yeni UI mimarisi icat etmeyecek, işi küçük fazlara ayırmayacak ve yalnız statik bir maket üretmeyecektir. Mevcut gerçek veriyi ve route’ları koruyarak ortak shell’i kuracak; Şirketim, Müşteriler ve Sohbet yüzeylerini bu sisteme taşıyacak; test, commit, push ve yalnız Production deployment yapacaktır.</w:t>
      </w:r>
    </w:p>
    <w:p>
      <w:pPr>
        <w:pStyle w:val="Heading2"/>
        <w:keepNext/>
      </w:pPr>
      <w:r>
        <w:t>Final raporda zorunlu başlıklar</w:t>
      </w:r>
    </w:p>
    <w:p>
      <w:pPr>
        <w:pStyle w:val="ListNumber"/>
        <w:spacing w:after="60"/>
      </w:pPr>
      <w:r>
        <w:t>Başlangıç HEAD ve origin/main.</w:t>
      </w:r>
    </w:p>
    <w:p>
      <w:pPr>
        <w:pStyle w:val="ListNumber"/>
        <w:spacing w:after="60"/>
      </w:pPr>
      <w:r>
        <w:t>Mevcut shell, header, dock ve scroll sahiplikleri.</w:t>
      </w:r>
    </w:p>
    <w:p>
      <w:pPr>
        <w:pStyle w:val="ListNumber"/>
        <w:spacing w:after="60"/>
      </w:pPr>
      <w:r>
        <w:t>Kurulan ortak component ve token sistemi.</w:t>
      </w:r>
    </w:p>
    <w:p>
      <w:pPr>
        <w:pStyle w:val="ListNumber"/>
        <w:spacing w:after="60"/>
      </w:pPr>
      <w:r>
        <w:t>Şirketim geçişi ve görsel/işlevsel doğrulama.</w:t>
      </w:r>
    </w:p>
    <w:p>
      <w:pPr>
        <w:pStyle w:val="ListNumber"/>
        <w:spacing w:after="60"/>
      </w:pPr>
      <w:r>
        <w:t>Müşteriler geçişi ve görsel/işlevsel doğrulama.</w:t>
      </w:r>
    </w:p>
    <w:p>
      <w:pPr>
        <w:pStyle w:val="ListNumber"/>
        <w:spacing w:after="60"/>
      </w:pPr>
      <w:r>
        <w:t>Sohbet sayfası geçişi ve scroll/composer doğrulaması.</w:t>
      </w:r>
    </w:p>
    <w:p>
      <w:pPr>
        <w:pStyle w:val="ListNumber"/>
        <w:spacing w:after="60"/>
      </w:pPr>
      <w:r>
        <w:t>Canonical route navigation kanıtı.</w:t>
      </w:r>
    </w:p>
    <w:p>
      <w:pPr>
        <w:pStyle w:val="ListNumber"/>
        <w:spacing w:after="60"/>
      </w:pPr>
      <w:r>
        <w:t>Mobil/tablet/desktop görsel acceptance sonucu.</w:t>
      </w:r>
    </w:p>
    <w:p>
      <w:pPr>
        <w:pStyle w:val="ListNumber"/>
        <w:spacing w:after="60"/>
      </w:pPr>
      <w:r>
        <w:t>Accessibility ve reduced-motion sonucu.</w:t>
      </w:r>
    </w:p>
    <w:p>
      <w:pPr>
        <w:pStyle w:val="ListNumber"/>
        <w:spacing w:after="60"/>
      </w:pPr>
      <w:r>
        <w:t>Test, build, commit, push ve Production deployment sonucu.</w:t>
      </w:r>
    </w:p>
    <w:p>
      <w:pPr>
        <w:pStyle w:val="ListNumber"/>
        <w:spacing w:after="60"/>
      </w:pPr>
      <w:r>
        <w:t>Authenticated canlı kullanıcı akışı kabulü.</w:t>
      </w:r>
    </w:p>
    <w:p>
      <w:pPr>
        <w:pStyle w:val="ListNumber"/>
        <w:spacing w:after="60"/>
      </w:pPr>
      <w:r>
        <w:t>Açık kalan gerçek engeller.</w:t>
      </w:r>
    </w:p>
    <w:p>
      <w:pPr>
        <w:pStyle w:val="Heading2"/>
        <w:keepNext/>
      </w:pPr>
      <w:r>
        <w:t>Kurucu Mimari Kontrolü</w:t>
      </w:r>
    </w:p>
    <w:tbl>
      <w:tblPr>
        <w:tblStyle w:val="TableGrid"/>
        <w:tblW w:type="auto" w:w="0"/>
        <w:jc w:val="center"/>
        <w:tblLook w:firstColumn="1" w:firstRow="1" w:lastColumn="0" w:lastRow="0" w:noHBand="0" w:noVBand="1" w:val="04A0"/>
      </w:tblPr>
      <w:tblGrid>
        <w:gridCol w:w="5083"/>
        <w:gridCol w:w="5083"/>
      </w:tblGrid>
      <w:tr>
        <w:tc>
          <w:tcPr>
            <w:tcW w:type="dxa" w:w="6624"/>
            <w:shd w:fill="143B42"/>
            <w:tcMar>
              <w:top w:w="100" w:type="dxa"/>
              <w:start w:w="100" w:type="dxa"/>
              <w:bottom w:w="100" w:type="dxa"/>
              <w:end w:w="100" w:type="dxa"/>
            </w:tcMar>
          </w:tcPr>
          <w:p>
            <w:pPr>
              <w:jc w:val="left"/>
            </w:pPr>
            <w:r>
              <w:rPr>
                <w:b/>
                <w:color w:val="FFFFFF"/>
                <w:sz w:val="19"/>
              </w:rPr>
              <w:t>Soru</w:t>
            </w:r>
          </w:p>
        </w:tc>
        <w:tc>
          <w:tcPr>
            <w:tcW w:type="dxa" w:w="2016"/>
            <w:shd w:fill="143B42"/>
            <w:tcMar>
              <w:top w:w="100" w:type="dxa"/>
              <w:start w:w="100" w:type="dxa"/>
              <w:bottom w:w="100" w:type="dxa"/>
              <w:end w:w="100" w:type="dxa"/>
            </w:tcMar>
          </w:tcPr>
          <w:p>
            <w:pPr>
              <w:jc w:val="left"/>
            </w:pPr>
            <w:r>
              <w:rPr>
                <w:b/>
                <w:color w:val="FFFFFF"/>
                <w:sz w:val="19"/>
              </w:rPr>
              <w:t>Zorunlu cevap</w:t>
            </w:r>
          </w:p>
        </w:tc>
      </w:tr>
      <w:tr>
        <w:tc>
          <w:tcPr>
            <w:tcW w:type="dxa" w:w="6624"/>
            <w:tcMar>
              <w:top w:w="90" w:type="dxa"/>
              <w:start w:w="100" w:type="dxa"/>
              <w:bottom w:w="90" w:type="dxa"/>
              <w:end w:w="100" w:type="dxa"/>
            </w:tcMar>
            <w:vAlign w:val="center"/>
          </w:tcPr>
          <w:p>
            <w:r>
              <w:rPr>
                <w:color w:val="2A3032"/>
                <w:sz w:val="18"/>
              </w:rPr>
              <w:t>Tek ortak uygulama kabuğu mu?</w:t>
            </w:r>
          </w:p>
        </w:tc>
        <w:tc>
          <w:tcPr>
            <w:tcW w:type="dxa" w:w="2016"/>
            <w:tcMar>
              <w:top w:w="90" w:type="dxa"/>
              <w:start w:w="100" w:type="dxa"/>
              <w:bottom w:w="90" w:type="dxa"/>
              <w:end w:w="100" w:type="dxa"/>
            </w:tcMar>
            <w:vAlign w:val="center"/>
          </w:tcPr>
          <w:p>
            <w:r>
              <w:rPr>
                <w:color w:val="2A3032"/>
                <w:sz w:val="18"/>
              </w:rPr>
              <w:t>Evet</w:t>
            </w:r>
          </w:p>
        </w:tc>
      </w:tr>
      <w:tr>
        <w:tc>
          <w:tcPr>
            <w:tcW w:type="dxa" w:w="6624"/>
            <w:tcMar>
              <w:top w:w="90" w:type="dxa"/>
              <w:start w:w="100" w:type="dxa"/>
              <w:bottom w:w="90" w:type="dxa"/>
              <w:end w:w="100" w:type="dxa"/>
            </w:tcMar>
            <w:shd w:fill="F6F9F9"/>
            <w:vAlign w:val="center"/>
          </w:tcPr>
          <w:p>
            <w:r>
              <w:rPr>
                <w:color w:val="2A3032"/>
                <w:sz w:val="18"/>
              </w:rPr>
              <w:t>Dock içeriği örtüyor mu?</w:t>
            </w:r>
          </w:p>
        </w:tc>
        <w:tc>
          <w:tcPr>
            <w:tcW w:type="dxa" w:w="2016"/>
            <w:tcMar>
              <w:top w:w="90" w:type="dxa"/>
              <w:start w:w="100" w:type="dxa"/>
              <w:bottom w:w="90" w:type="dxa"/>
              <w:end w:w="100" w:type="dxa"/>
            </w:tcMar>
            <w:shd w:fill="F6F9F9"/>
            <w:vAlign w:val="center"/>
          </w:tcPr>
          <w:p>
            <w:r>
              <w:rPr>
                <w:color w:val="2A3032"/>
                <w:sz w:val="18"/>
              </w:rPr>
              <w:t>Hayır</w:t>
            </w:r>
          </w:p>
        </w:tc>
      </w:tr>
      <w:tr>
        <w:tc>
          <w:tcPr>
            <w:tcW w:type="dxa" w:w="6624"/>
            <w:tcMar>
              <w:top w:w="90" w:type="dxa"/>
              <w:start w:w="100" w:type="dxa"/>
              <w:bottom w:w="90" w:type="dxa"/>
              <w:end w:w="100" w:type="dxa"/>
            </w:tcMar>
            <w:vAlign w:val="center"/>
          </w:tcPr>
          <w:p>
            <w:r>
              <w:rPr>
                <w:color w:val="2A3032"/>
                <w:sz w:val="18"/>
              </w:rPr>
              <w:t>Body kontrolsüz scroll ediyor mu?</w:t>
            </w:r>
          </w:p>
        </w:tc>
        <w:tc>
          <w:tcPr>
            <w:tcW w:type="dxa" w:w="2016"/>
            <w:tcMar>
              <w:top w:w="90" w:type="dxa"/>
              <w:start w:w="100" w:type="dxa"/>
              <w:bottom w:w="90" w:type="dxa"/>
              <w:end w:w="100" w:type="dxa"/>
            </w:tcMar>
            <w:vAlign w:val="center"/>
          </w:tcPr>
          <w:p>
            <w:r>
              <w:rPr>
                <w:color w:val="2A3032"/>
                <w:sz w:val="18"/>
              </w:rPr>
              <w:t>Hayır</w:t>
            </w:r>
          </w:p>
        </w:tc>
      </w:tr>
      <w:tr>
        <w:tc>
          <w:tcPr>
            <w:tcW w:type="dxa" w:w="6624"/>
            <w:tcMar>
              <w:top w:w="90" w:type="dxa"/>
              <w:start w:w="100" w:type="dxa"/>
              <w:bottom w:w="90" w:type="dxa"/>
              <w:end w:w="100" w:type="dxa"/>
            </w:tcMar>
            <w:shd w:fill="F6F9F9"/>
            <w:vAlign w:val="center"/>
          </w:tcPr>
          <w:p>
            <w:r>
              <w:rPr>
                <w:color w:val="2A3032"/>
                <w:sz w:val="18"/>
              </w:rPr>
              <w:t>Şirketim, Müşteriler ve Sohbet aynı tasarım sisteminde mi?</w:t>
            </w:r>
          </w:p>
        </w:tc>
        <w:tc>
          <w:tcPr>
            <w:tcW w:type="dxa" w:w="2016"/>
            <w:tcMar>
              <w:top w:w="90" w:type="dxa"/>
              <w:start w:w="100" w:type="dxa"/>
              <w:bottom w:w="90" w:type="dxa"/>
              <w:end w:w="100" w:type="dxa"/>
            </w:tcMar>
            <w:shd w:fill="F6F9F9"/>
            <w:vAlign w:val="center"/>
          </w:tcPr>
          <w:p>
            <w:r>
              <w:rPr>
                <w:color w:val="2A3032"/>
                <w:sz w:val="18"/>
              </w:rPr>
              <w:t>Evet</w:t>
            </w:r>
          </w:p>
        </w:tc>
      </w:tr>
      <w:tr>
        <w:tc>
          <w:tcPr>
            <w:tcW w:type="dxa" w:w="6624"/>
            <w:tcMar>
              <w:top w:w="90" w:type="dxa"/>
              <w:start w:w="100" w:type="dxa"/>
              <w:bottom w:w="90" w:type="dxa"/>
              <w:end w:w="100" w:type="dxa"/>
            </w:tcMar>
            <w:vAlign w:val="center"/>
          </w:tcPr>
          <w:p>
            <w:r>
              <w:rPr>
                <w:color w:val="2A3032"/>
                <w:sz w:val="18"/>
              </w:rPr>
              <w:t>Sistem gelecek modüllere yeniden tasarım yapmadan yayılabilir mi?</w:t>
            </w:r>
          </w:p>
        </w:tc>
        <w:tc>
          <w:tcPr>
            <w:tcW w:type="dxa" w:w="2016"/>
            <w:tcMar>
              <w:top w:w="90" w:type="dxa"/>
              <w:start w:w="100" w:type="dxa"/>
              <w:bottom w:w="90" w:type="dxa"/>
              <w:end w:w="100" w:type="dxa"/>
            </w:tcMar>
            <w:vAlign w:val="center"/>
          </w:tcPr>
          <w:p>
            <w:r>
              <w:rPr>
                <w:color w:val="2A3032"/>
                <w:sz w:val="18"/>
              </w:rPr>
              <w:t>Evet</w:t>
            </w:r>
          </w:p>
        </w:tc>
      </w:tr>
      <w:tr>
        <w:tc>
          <w:tcPr>
            <w:tcW w:type="dxa" w:w="6624"/>
            <w:tcMar>
              <w:top w:w="90" w:type="dxa"/>
              <w:start w:w="100" w:type="dxa"/>
              <w:bottom w:w="90" w:type="dxa"/>
              <w:end w:w="100" w:type="dxa"/>
            </w:tcMar>
            <w:shd w:fill="F6F9F9"/>
            <w:vAlign w:val="center"/>
          </w:tcPr>
          <w:p>
            <w:r>
              <w:rPr>
                <w:color w:val="2A3032"/>
                <w:sz w:val="18"/>
              </w:rPr>
              <w:t>Geçici, demo veya duplicate UI authority kaldı mı?</w:t>
            </w:r>
          </w:p>
        </w:tc>
        <w:tc>
          <w:tcPr>
            <w:tcW w:type="dxa" w:w="2016"/>
            <w:tcMar>
              <w:top w:w="90" w:type="dxa"/>
              <w:start w:w="100" w:type="dxa"/>
              <w:bottom w:w="90" w:type="dxa"/>
              <w:end w:w="100" w:type="dxa"/>
            </w:tcMar>
            <w:shd w:fill="F6F9F9"/>
            <w:vAlign w:val="center"/>
          </w:tcPr>
          <w:p>
            <w:r>
              <w:rPr>
                <w:color w:val="2A3032"/>
                <w:sz w:val="18"/>
              </w:rPr>
              <w:t>Hayır</w:t>
            </w:r>
          </w:p>
        </w:tc>
      </w:tr>
    </w:tbl>
    <w:p>
      <w:pPr>
        <w:spacing w:after="120" w:line="271" w:lineRule="auto"/>
      </w:pP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METRIX Executive Uygulama Kabuğu ve Arayüz Sistemi 1.0  •  </w:t>
    </w:r>
    <w:r>
      <w:t xml:space="preserv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1" w:color="7EAEB0"/>
      </w:pBdr>
    </w:pPr>
    <w:r>
      <w:t>METRIX AI OS  /  EXECUTIVE UI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A30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143B42"/>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B646B"/>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2D55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Aptos Display"/>
      <w:b/>
      <w:color w:val="143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val="0"/>
      <w:i/>
      <w:iCs/>
      <w:color w:val="5D7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2A303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METRIX Executive Uygulama Kabuğu ve Arayüz Sistemi 1.0</dc:title>
  <dc:subject>Executive App Shell + UI System Kurucu Teknik Sözleşme</dc:subject>
  <dc:creator>METRIX AI OS</dc:creator>
  <cp:keywords>METRIX, Executive App Shell, UI System, Tasarım Sistemi, Executive Dock, Sohbet, Şirketim</cp:keywords>
  <dc:description>Bağlayıcı kurucu mimari belgesi</dc:description>
  <cp:lastModifiedBy/>
  <cp:revision>1</cp:revision>
  <dcterms:created xsi:type="dcterms:W3CDTF">2013-12-23T23:15:00Z</dcterms:created>
  <dcterms:modified xsi:type="dcterms:W3CDTF">2013-12-23T23:15:00Z</dcterms:modified>
  <cp:category/>
</cp:coreProperties>
</file>