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b/>
          <w:color w:val="2E6F73"/>
          <w:sz w:val="30"/>
        </w:rPr>
        <w:t>METRIX</w:t>
      </w:r>
    </w:p>
    <w:p>
      <w:pPr>
        <w:pStyle w:val="Title"/>
        <w:jc w:val="center"/>
      </w:pPr>
      <w:r>
        <w:t>İşletme Sistemi</w:t>
        <w:br/>
        <w:t>Kurucu Mimarisi 1.0</w:t>
      </w:r>
    </w:p>
    <w:p>
      <w:pPr>
        <w:pStyle w:val="Subtitle"/>
        <w:jc w:val="center"/>
      </w:pPr>
      <w:r>
        <w:t>Executive Brain üzerine kurulacak tüm ürün modülleri, iş akışları, entegrasyonlar ve kullanıcı deneyimleri için bağlayıcı Foundation belgesi</w:t>
      </w:r>
    </w:p>
    <w:tbl>
      <w:tblPr>
        <w:tblW w:type="auto" w:w="0"/>
        <w:jc w:val="center"/>
        <w:tblLayout w:type="fixed"/>
        <w:tblLook w:firstColumn="1" w:firstRow="1" w:lastColumn="0" w:lastRow="0" w:noHBand="0" w:noVBand="1" w:val="04A0"/>
      </w:tblPr>
      <w:tblGrid>
        <w:gridCol w:w="8957"/>
      </w:tblGrid>
      <w:tr>
        <w:tc>
          <w:tcPr>
            <w:tcW w:type="dxa" w:w="9746"/>
            <w:shd w:fill="153E42"/>
            <w:tcMar>
              <w:top w:w="300" w:type="dxa"/>
              <w:start w:w="350" w:type="dxa"/>
              <w:bottom w:w="300" w:type="dxa"/>
              <w:end w:w="350" w:type="dxa"/>
            </w:tcMar>
          </w:tcPr>
          <w:p>
            <w:pPr>
              <w:pStyle w:val="FoundationPrinciple"/>
              <w:jc w:val="center"/>
            </w:pPr>
            <w:r>
              <w:t>Kurucu İlke</w:t>
              <w:br/>
            </w:r>
            <w:r>
              <w:rPr>
                <w:b w:val="0"/>
              </w:rPr>
              <w:t>METRIX ürün modülleri ayrı uygulamalar değildir. Hepsi, tek Business Reality üzerinde çalışan ve tek Executive Brain tarafından yönetilen aynı yaşayan şirket sisteminin parçalarıdır.</w:t>
            </w:r>
          </w:p>
        </w:tc>
      </w:tr>
    </w:tbl>
    <w:p>
      <w:pPr>
        <w:pStyle w:val="Subtitle"/>
        <w:jc w:val="center"/>
      </w:pPr>
      <w:r>
        <w:t>Belge Sınıfı: Foundation / Bağlayıcı Kurucu Mimari</w:t>
      </w:r>
    </w:p>
    <w:p>
      <w:pPr>
        <w:pStyle w:val="Subtitle"/>
        <w:jc w:val="center"/>
      </w:pPr>
      <w:r>
        <w:t>Sürüm: 1.0</w:t>
      </w:r>
    </w:p>
    <w:p>
      <w:r>
        <w:br w:type="page"/>
      </w:r>
    </w:p>
    <w:p>
      <w:pPr>
        <w:pStyle w:val="Heading1"/>
      </w:pPr>
      <w:r>
        <w:t>1. Belgenin Amacı ve Otoritesi</w:t>
      </w:r>
    </w:p>
    <w:p>
      <w:pPr>
        <w:spacing w:after="100"/>
      </w:pPr>
      <w:r>
        <w:t>Bu belge, Executive Brain tamamlandıktan sonra METRIX AI OS üzerinde geliştirilecek bütün ürün modüllerinin ortak kurucu mimarisini tanımlar.</w:t>
      </w:r>
    </w:p>
    <w:p>
      <w:pPr>
        <w:spacing w:after="100"/>
      </w:pPr>
      <w:r>
        <w:t>Amaç yeni bir reasoning katmanı eklemek değildir. Amaç; Şirketim, Müşteriler, Ürünler, Teklifler, Tahsilatlar, Tedarikçiler, Belgeler, Görevler, Takvim, Bildirimler, Raporlar ve gelecekteki bütün iş alanlarının aynı şirket gerçekliği, aynı yetki modeli ve aynı Executive Brain üzerinde çalışmasını garanti etmektir.</w:t>
      </w:r>
    </w:p>
    <w:p>
      <w:pPr>
        <w:spacing w:after="100"/>
      </w:pPr>
      <w:r>
        <w:t>Bu belge aşağıdaki soruya bağlayıcı cevap verir:</w:t>
      </w:r>
    </w:p>
    <w:tbl>
      <w:tblPr>
        <w:tblW w:type="auto" w:w="0"/>
        <w:tblLook w:firstColumn="1" w:firstRow="1" w:lastColumn="0" w:lastRow="0" w:noHBand="0" w:noVBand="1" w:val="04A0"/>
      </w:tblPr>
      <w:tblGrid>
        <w:gridCol w:w="9746"/>
      </w:tblGrid>
      <w:tr>
        <w:tc>
          <w:tcPr>
            <w:tcW w:type="dxa" w:w="9746"/>
            <w:shd w:fill="E8F1F1"/>
            <w:tcMar>
              <w:top w:w="220" w:type="dxa"/>
              <w:start w:w="260" w:type="dxa"/>
              <w:bottom w:w="220" w:type="dxa"/>
              <w:end w:w="260" w:type="dxa"/>
            </w:tcMar>
          </w:tcPr>
          <w:p>
            <w:pPr>
              <w:jc w:val="center"/>
            </w:pPr>
            <w:r>
              <w:rPr>
                <w:b/>
                <w:color w:val="153E42"/>
              </w:rPr>
              <w:t>METRIX’in tüm ürün modülleri, gerçek bir şirketi tek bir AI Genel Müdürün yönetebileceği birleşik işletim sistemine nasıl dönüşecektir?</w:t>
            </w:r>
          </w:p>
        </w:tc>
      </w:tr>
    </w:tbl>
    <w:p>
      <w:pPr>
        <w:pStyle w:val="Heading2"/>
      </w:pPr>
      <w:r>
        <w:t>1.1 Bağlayıcılık</w:t>
      </w:r>
    </w:p>
    <w:p>
      <w:pPr>
        <w:pStyle w:val="ListBullet"/>
        <w:spacing w:after="40"/>
      </w:pPr>
      <w:r>
        <w:t>Bu belge METRIX Ürün Anayasası, Executive Personality belgeleri, Runtime Completion kuralları ve Executive Business Reality Architecture ile birlikte uygulanır.</w:t>
      </w:r>
    </w:p>
    <w:p>
      <w:pPr>
        <w:pStyle w:val="ListBullet"/>
        <w:spacing w:after="40"/>
      </w:pPr>
      <w:r>
        <w:t>Alt modül tasarımları bu belgeyle çelişemez.</w:t>
      </w:r>
    </w:p>
    <w:p>
      <w:pPr>
        <w:pStyle w:val="ListBullet"/>
        <w:spacing w:after="40"/>
      </w:pPr>
      <w:r>
        <w:t>Bir modül teknik olarak çalışsa bile ortak Business Reality, tek otorite veya canonical state ilkelerini bozuyorsa production kalitesinde kabul edilmez.</w:t>
      </w:r>
    </w:p>
    <w:p>
      <w:pPr>
        <w:pStyle w:val="ListBullet"/>
        <w:spacing w:after="40"/>
      </w:pPr>
      <w:r>
        <w:t>Executive Brain yeni özellik geliştirme amacıyla değiştirilmez; yalnızca kanıtlanmış kritik platform hatası varsa yeniden ele alınır.</w:t>
      </w:r>
    </w:p>
    <w:p>
      <w:pPr>
        <w:pStyle w:val="Heading1"/>
      </w:pPr>
      <w:r>
        <w:t>2. Temel Ürün Tanımı</w:t>
      </w:r>
    </w:p>
    <w:p>
      <w:pPr>
        <w:spacing w:after="100"/>
      </w:pPr>
      <w:r>
        <w:t>METRIX Business OS, şirketin bütün operasyonel ve yönetsel gerçekliğini tek sistemde birleştiren yaşayan işletme platformudur.</w:t>
      </w:r>
    </w:p>
    <w:p>
      <w:pPr>
        <w:spacing w:after="100"/>
      </w:pPr>
      <w:r>
        <w:t>Bu platformun üstünde kullanıcı ayrı ayrı uygulamalar kullanmaz. Kullanıcı tek METRIX ile çalışır. Sayfalar, modüller, ses, yazı, bildirim ve entegrasyonlar aynı yöneticinin farklı çalışma yüzeyleridir.</w:t>
      </w:r>
    </w:p>
    <w:p>
      <w:pPr>
        <w:pStyle w:val="Heading2"/>
      </w:pPr>
      <w:r>
        <w:t>2.1 METRIX Business OS Ne Değildir?</w:t>
      </w:r>
    </w:p>
    <w:p>
      <w:pPr>
        <w:pStyle w:val="ListBullet"/>
        <w:spacing w:after="40"/>
      </w:pPr>
      <w:r>
        <w:t>Birbirine gevşek bağlanmış CRM, ERP, görev ve belge uygulamaları toplamı değildir.</w:t>
      </w:r>
    </w:p>
    <w:p>
      <w:pPr>
        <w:pStyle w:val="ListBullet"/>
        <w:spacing w:after="40"/>
      </w:pPr>
      <w:r>
        <w:t>Her modül için ayrı AI ajanı veya ayrı persona sistemi değildir.</w:t>
      </w:r>
    </w:p>
    <w:p>
      <w:pPr>
        <w:pStyle w:val="ListBullet"/>
        <w:spacing w:after="40"/>
      </w:pPr>
      <w:r>
        <w:t>Dashboard merkezli raporlama ürünü değildir.</w:t>
      </w:r>
    </w:p>
    <w:p>
      <w:pPr>
        <w:pStyle w:val="ListBullet"/>
        <w:spacing w:after="40"/>
      </w:pPr>
      <w:r>
        <w:t>Sohbetten veri tahmin ederek şirket gerçeği oluşturan bir sistem değildir.</w:t>
      </w:r>
    </w:p>
    <w:p>
      <w:pPr>
        <w:pStyle w:val="ListBullet"/>
        <w:spacing w:after="40"/>
      </w:pPr>
      <w:r>
        <w:t>Entegrasyonların veri modeline göre biçimlenen bir ara katman değildir.</w:t>
      </w:r>
    </w:p>
    <w:p>
      <w:pPr>
        <w:pStyle w:val="ListBullet"/>
        <w:spacing w:after="40"/>
      </w:pPr>
      <w:r>
        <w:t>Form doldurmayı AI ile hızlandıran klasik SaaS değildir.</w:t>
      </w:r>
    </w:p>
    <w:p>
      <w:pPr>
        <w:pStyle w:val="Heading2"/>
      </w:pPr>
      <w:r>
        <w:t>2.2 METRIX Business OS Nedir?</w:t>
      </w:r>
    </w:p>
    <w:p>
      <w:pPr>
        <w:pStyle w:val="ListBullet"/>
        <w:spacing w:after="40"/>
      </w:pPr>
      <w:r>
        <w:t>Tek Business Reality üzerinde çalışan birleşik kurumsal işletim sistemidir.</w:t>
      </w:r>
    </w:p>
    <w:p>
      <w:pPr>
        <w:pStyle w:val="ListBullet"/>
        <w:spacing w:after="40"/>
      </w:pPr>
      <w:r>
        <w:t>Executive Brain’in şirketi okuyabildiği, değerlendirebildiği ve doğru yetkiyle harekete geçebildiği çalışma zemini sağlar.</w:t>
      </w:r>
    </w:p>
    <w:p>
      <w:pPr>
        <w:pStyle w:val="ListBullet"/>
        <w:spacing w:after="40"/>
      </w:pPr>
      <w:r>
        <w:t>Kullanıcıya ekran değil, yönetim sonucu sunar.</w:t>
      </w:r>
    </w:p>
    <w:p>
      <w:pPr>
        <w:pStyle w:val="ListBullet"/>
        <w:spacing w:after="40"/>
      </w:pPr>
      <w:r>
        <w:t>Her kayıt, belge, görev, teklif, tahsilat ve karar aynı kurumsal hafızanın parçasıdır.</w:t>
      </w:r>
    </w:p>
    <w:p>
      <w:pPr>
        <w:pStyle w:val="ListBullet"/>
        <w:spacing w:after="40"/>
      </w:pPr>
      <w:r>
        <w:t>Modüller arası ilişkiyi sonradan entegrasyonla değil, kurucu veri ve olay modeliyle sağlar.</w:t>
      </w:r>
    </w:p>
    <w:p>
      <w:pPr>
        <w:pStyle w:val="ListBullet"/>
        <w:spacing w:after="40"/>
      </w:pPr>
      <w:r>
        <w:t>Yönetim döngüsünü gözlem, değerlendirme, karar, aksiyon, takip ve sonuç öğrenmesi olarak işletir.</w:t>
      </w:r>
    </w:p>
    <w:p>
      <w:pPr>
        <w:pStyle w:val="Heading1"/>
      </w:pPr>
      <w:r>
        <w:t>3. Değişmez Kurucu İlkeler</w:t>
      </w:r>
    </w:p>
    <w:p>
      <w:pPr>
        <w:pStyle w:val="Heading2"/>
      </w:pPr>
      <w:r>
        <w:t>3.1 Tek METRIX</w:t>
      </w:r>
    </w:p>
    <w:p>
      <w:pPr>
        <w:spacing w:after="100"/>
      </w:pPr>
      <w:r>
        <w:t>Kullanıcı hangi sayfada, kanalda veya işlemde olursa olsun yalnızca aynı METRIX ile çalışır. Modül bazlı persona, tool sesi, sistem mesajı veya ayrı danışman kimliği bulunmaz.</w:t>
      </w:r>
    </w:p>
    <w:p>
      <w:pPr>
        <w:pStyle w:val="Heading2"/>
      </w:pPr>
      <w:r>
        <w:t>3.2 Tek Business Reality</w:t>
      </w:r>
    </w:p>
    <w:p>
      <w:pPr>
        <w:spacing w:after="100"/>
      </w:pPr>
      <w:r>
        <w:t>Şirketin doğrulanmış gerçek durumu tek canonical veri düzleminde yaşar. Aynı müşteri, ürün, teklif veya görev farklı modüllerde kopyalanmaz. Modüller aynı kaydın farklı yönetim görünümlerini sunar.</w:t>
      </w:r>
    </w:p>
    <w:p>
      <w:pPr>
        <w:pStyle w:val="Heading2"/>
      </w:pPr>
      <w:r>
        <w:t>3.3 Conversation Reality ile Business Reality Ayrımı</w:t>
      </w:r>
    </w:p>
    <w:p>
      <w:pPr>
        <w:spacing w:after="100"/>
      </w:pPr>
      <w:r>
        <w:t>Konuşmada geçen bilgi doğrudan şirket gerçeğine dönüşmez. Yeni bilgiler önce Business Candidate olur; doğrulama ve uygun kayıt işlemi sonrasında Business Reality’ye geçer.</w:t>
      </w:r>
    </w:p>
    <w:p>
      <w:pPr>
        <w:pStyle w:val="Heading2"/>
      </w:pPr>
      <w:r>
        <w:t>3.4 Tek Otorite, Dağıtılmış Sorumluluk</w:t>
      </w:r>
    </w:p>
    <w:p>
      <w:pPr>
        <w:spacing w:after="100"/>
      </w:pPr>
      <w:r>
        <w:t>Tek otorite METRIX’tir. Ancak domain sorumlulukları ayrıdır. Müşteri servisi müşteriyi, teklif servisi teklifi, belge servisi belgeyi yönetir. Hiçbiri yönetim kanaati üretmez veya kullanıcıyla bağımsız konuşmaz.</w:t>
      </w:r>
    </w:p>
    <w:p>
      <w:pPr>
        <w:pStyle w:val="Heading2"/>
      </w:pPr>
      <w:r>
        <w:t>3.5 Canonical State Ownership</w:t>
      </w:r>
    </w:p>
    <w:p>
      <w:pPr>
        <w:spacing w:after="100"/>
      </w:pPr>
      <w:r>
        <w:t>Her state türünün tek sahibi vardır. Aynı bilgiyi iki servis, iki tablo veya iki client state bağımsız biçimde sahiplenemez.</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324"/>
            <w:shd w:fill="153E42"/>
            <w:vAlign w:val="center"/>
            <w:tcMar>
              <w:top w:w="120" w:type="dxa"/>
              <w:start w:w="120" w:type="dxa"/>
              <w:bottom w:w="120" w:type="dxa"/>
              <w:end w:w="120" w:type="dxa"/>
            </w:tcMar>
          </w:tcPr>
          <w:p>
            <w:pPr>
              <w:jc w:val="center"/>
            </w:pPr>
            <w:r>
              <w:rPr>
                <w:b/>
                <w:color w:val="FFFFFF"/>
                <w:sz w:val="18"/>
              </w:rPr>
              <w:t>State / Varlık</w:t>
            </w:r>
          </w:p>
        </w:tc>
        <w:tc>
          <w:tcPr>
            <w:tcW w:type="dxa" w:w="2835"/>
            <w:shd w:fill="153E42"/>
            <w:vAlign w:val="center"/>
            <w:tcMar>
              <w:top w:w="120" w:type="dxa"/>
              <w:start w:w="120" w:type="dxa"/>
              <w:bottom w:w="120" w:type="dxa"/>
              <w:end w:w="120" w:type="dxa"/>
            </w:tcMar>
          </w:tcPr>
          <w:p>
            <w:pPr>
              <w:jc w:val="center"/>
            </w:pPr>
            <w:r>
              <w:rPr>
                <w:b/>
                <w:color w:val="FFFFFF"/>
                <w:sz w:val="18"/>
              </w:rPr>
              <w:t>Tek Canonical Sahip</w:t>
            </w:r>
          </w:p>
        </w:tc>
        <w:tc>
          <w:tcPr>
            <w:tcW w:type="dxa" w:w="3969"/>
            <w:shd w:fill="153E42"/>
            <w:vAlign w:val="center"/>
            <w:tcMar>
              <w:top w:w="120" w:type="dxa"/>
              <w:start w:w="120" w:type="dxa"/>
              <w:bottom w:w="120" w:type="dxa"/>
              <w:end w:w="120" w:type="dxa"/>
            </w:tcMar>
          </w:tcPr>
          <w:p>
            <w:pPr>
              <w:jc w:val="center"/>
            </w:pPr>
            <w:r>
              <w:rPr>
                <w:b/>
                <w:color w:val="FFFFFF"/>
                <w:sz w:val="18"/>
              </w:rPr>
              <w:t>Yasaklanan Durum</w:t>
            </w:r>
          </w:p>
        </w:tc>
      </w:tr>
      <w:tr>
        <w:tc>
          <w:tcPr>
            <w:tcW w:type="dxa" w:w="2324"/>
            <w:vAlign w:val="top"/>
            <w:tcMar>
              <w:top w:w="120" w:type="dxa"/>
              <w:start w:w="120" w:type="dxa"/>
              <w:bottom w:w="120" w:type="dxa"/>
              <w:end w:w="120" w:type="dxa"/>
            </w:tcMar>
          </w:tcPr>
          <w:p>
            <w:r>
              <w:rPr>
                <w:sz w:val="18"/>
              </w:rPr>
              <w:t>Şirket profili ve kurumsal ayarlar</w:t>
            </w:r>
          </w:p>
        </w:tc>
        <w:tc>
          <w:tcPr>
            <w:tcW w:type="dxa" w:w="2835"/>
            <w:vAlign w:val="top"/>
            <w:tcMar>
              <w:top w:w="120" w:type="dxa"/>
              <w:start w:w="120" w:type="dxa"/>
              <w:bottom w:w="120" w:type="dxa"/>
              <w:end w:w="120" w:type="dxa"/>
            </w:tcMar>
          </w:tcPr>
          <w:p>
            <w:r>
              <w:rPr>
                <w:sz w:val="18"/>
              </w:rPr>
              <w:t>Company Domain</w:t>
            </w:r>
          </w:p>
        </w:tc>
        <w:tc>
          <w:tcPr>
            <w:tcW w:type="dxa" w:w="3969"/>
            <w:vAlign w:val="top"/>
            <w:tcMar>
              <w:top w:w="120" w:type="dxa"/>
              <w:start w:w="120" w:type="dxa"/>
              <w:bottom w:w="120" w:type="dxa"/>
              <w:end w:w="120" w:type="dxa"/>
            </w:tcMar>
          </w:tcPr>
          <w:p>
            <w:r>
              <w:rPr>
                <w:sz w:val="18"/>
              </w:rPr>
              <w:t>Aynı bilginin ayarlar, hafıza ve sohbet içinde ayrı gerçekler olarak tutulması</w:t>
            </w:r>
          </w:p>
        </w:tc>
      </w:tr>
      <w:tr>
        <w:tc>
          <w:tcPr>
            <w:tcW w:type="dxa" w:w="2324"/>
            <w:vAlign w:val="top"/>
            <w:tcMar>
              <w:top w:w="120" w:type="dxa"/>
              <w:start w:w="120" w:type="dxa"/>
              <w:bottom w:w="120" w:type="dxa"/>
              <w:end w:w="120" w:type="dxa"/>
            </w:tcMar>
            <w:shd w:fill="F2F6F6"/>
          </w:tcPr>
          <w:p>
            <w:r>
              <w:rPr>
                <w:sz w:val="18"/>
              </w:rPr>
              <w:t>Müşteri ve kişiler</w:t>
            </w:r>
          </w:p>
        </w:tc>
        <w:tc>
          <w:tcPr>
            <w:tcW w:type="dxa" w:w="2835"/>
            <w:vAlign w:val="top"/>
            <w:tcMar>
              <w:top w:w="120" w:type="dxa"/>
              <w:start w:w="120" w:type="dxa"/>
              <w:bottom w:w="120" w:type="dxa"/>
              <w:end w:w="120" w:type="dxa"/>
            </w:tcMar>
            <w:shd w:fill="F2F6F6"/>
          </w:tcPr>
          <w:p>
            <w:r>
              <w:rPr>
                <w:sz w:val="18"/>
              </w:rPr>
              <w:t>Customer Domain</w:t>
            </w:r>
          </w:p>
        </w:tc>
        <w:tc>
          <w:tcPr>
            <w:tcW w:type="dxa" w:w="3969"/>
            <w:vAlign w:val="top"/>
            <w:tcMar>
              <w:top w:w="120" w:type="dxa"/>
              <w:start w:w="120" w:type="dxa"/>
              <w:bottom w:w="120" w:type="dxa"/>
              <w:end w:w="120" w:type="dxa"/>
            </w:tcMar>
            <w:shd w:fill="F2F6F6"/>
          </w:tcPr>
          <w:p>
            <w:r>
              <w:rPr>
                <w:sz w:val="18"/>
              </w:rPr>
              <w:t>CRM kaydı ile sohbetten türetilmiş ikinci müşteri profili</w:t>
            </w:r>
          </w:p>
        </w:tc>
      </w:tr>
      <w:tr>
        <w:tc>
          <w:tcPr>
            <w:tcW w:type="dxa" w:w="2324"/>
            <w:vAlign w:val="top"/>
            <w:tcMar>
              <w:top w:w="120" w:type="dxa"/>
              <w:start w:w="120" w:type="dxa"/>
              <w:bottom w:w="120" w:type="dxa"/>
              <w:end w:w="120" w:type="dxa"/>
            </w:tcMar>
          </w:tcPr>
          <w:p>
            <w:r>
              <w:rPr>
                <w:sz w:val="18"/>
              </w:rPr>
              <w:t>Ürün ve ticari tanım</w:t>
            </w:r>
          </w:p>
        </w:tc>
        <w:tc>
          <w:tcPr>
            <w:tcW w:type="dxa" w:w="2835"/>
            <w:vAlign w:val="top"/>
            <w:tcMar>
              <w:top w:w="120" w:type="dxa"/>
              <w:start w:w="120" w:type="dxa"/>
              <w:bottom w:w="120" w:type="dxa"/>
              <w:end w:w="120" w:type="dxa"/>
            </w:tcMar>
          </w:tcPr>
          <w:p>
            <w:r>
              <w:rPr>
                <w:sz w:val="18"/>
              </w:rPr>
              <w:t>Product Domain</w:t>
            </w:r>
          </w:p>
        </w:tc>
        <w:tc>
          <w:tcPr>
            <w:tcW w:type="dxa" w:w="3969"/>
            <w:vAlign w:val="top"/>
            <w:tcMar>
              <w:top w:w="120" w:type="dxa"/>
              <w:start w:w="120" w:type="dxa"/>
              <w:bottom w:w="120" w:type="dxa"/>
              <w:end w:w="120" w:type="dxa"/>
            </w:tcMar>
          </w:tcPr>
          <w:p>
            <w:r>
              <w:rPr>
                <w:sz w:val="18"/>
              </w:rPr>
              <w:t>Teklif içinde bağımsız ürün kopyası</w:t>
            </w:r>
          </w:p>
        </w:tc>
      </w:tr>
      <w:tr>
        <w:tc>
          <w:tcPr>
            <w:tcW w:type="dxa" w:w="2324"/>
            <w:vAlign w:val="top"/>
            <w:tcMar>
              <w:top w:w="120" w:type="dxa"/>
              <w:start w:w="120" w:type="dxa"/>
              <w:bottom w:w="120" w:type="dxa"/>
              <w:end w:w="120" w:type="dxa"/>
            </w:tcMar>
            <w:shd w:fill="F2F6F6"/>
          </w:tcPr>
          <w:p>
            <w:r>
              <w:rPr>
                <w:sz w:val="18"/>
              </w:rPr>
              <w:t>Teklif yaşam döngüsü</w:t>
            </w:r>
          </w:p>
        </w:tc>
        <w:tc>
          <w:tcPr>
            <w:tcW w:type="dxa" w:w="2835"/>
            <w:vAlign w:val="top"/>
            <w:tcMar>
              <w:top w:w="120" w:type="dxa"/>
              <w:start w:w="120" w:type="dxa"/>
              <w:bottom w:w="120" w:type="dxa"/>
              <w:end w:w="120" w:type="dxa"/>
            </w:tcMar>
            <w:shd w:fill="F2F6F6"/>
          </w:tcPr>
          <w:p>
            <w:r>
              <w:rPr>
                <w:sz w:val="18"/>
              </w:rPr>
              <w:t>Quote Domain</w:t>
            </w:r>
          </w:p>
        </w:tc>
        <w:tc>
          <w:tcPr>
            <w:tcW w:type="dxa" w:w="3969"/>
            <w:vAlign w:val="top"/>
            <w:tcMar>
              <w:top w:w="120" w:type="dxa"/>
              <w:start w:w="120" w:type="dxa"/>
              <w:bottom w:w="120" w:type="dxa"/>
              <w:end w:w="120" w:type="dxa"/>
            </w:tcMar>
            <w:shd w:fill="F2F6F6"/>
          </w:tcPr>
          <w:p>
            <w:r>
              <w:rPr>
                <w:sz w:val="18"/>
              </w:rPr>
              <w:t>Belge motorunun teklif state’ini sahiplenmesi</w:t>
            </w:r>
          </w:p>
        </w:tc>
      </w:tr>
      <w:tr>
        <w:tc>
          <w:tcPr>
            <w:tcW w:type="dxa" w:w="2324"/>
            <w:vAlign w:val="top"/>
            <w:tcMar>
              <w:top w:w="120" w:type="dxa"/>
              <w:start w:w="120" w:type="dxa"/>
              <w:bottom w:w="120" w:type="dxa"/>
              <w:end w:w="120" w:type="dxa"/>
            </w:tcMar>
          </w:tcPr>
          <w:p>
            <w:r>
              <w:rPr>
                <w:sz w:val="18"/>
              </w:rPr>
              <w:t>Tahsilat ve ödeme durumu</w:t>
            </w:r>
          </w:p>
        </w:tc>
        <w:tc>
          <w:tcPr>
            <w:tcW w:type="dxa" w:w="2835"/>
            <w:vAlign w:val="top"/>
            <w:tcMar>
              <w:top w:w="120" w:type="dxa"/>
              <w:start w:w="120" w:type="dxa"/>
              <w:bottom w:w="120" w:type="dxa"/>
              <w:end w:w="120" w:type="dxa"/>
            </w:tcMar>
          </w:tcPr>
          <w:p>
            <w:r>
              <w:rPr>
                <w:sz w:val="18"/>
              </w:rPr>
              <w:t>Collection / Payment Domain</w:t>
            </w:r>
          </w:p>
        </w:tc>
        <w:tc>
          <w:tcPr>
            <w:tcW w:type="dxa" w:w="3969"/>
            <w:vAlign w:val="top"/>
            <w:tcMar>
              <w:top w:w="120" w:type="dxa"/>
              <w:start w:w="120" w:type="dxa"/>
              <w:bottom w:w="120" w:type="dxa"/>
              <w:end w:w="120" w:type="dxa"/>
            </w:tcMar>
          </w:tcPr>
          <w:p>
            <w:r>
              <w:rPr>
                <w:sz w:val="18"/>
              </w:rPr>
              <w:t>Rapor motorunun finansal gerçek üretmesi</w:t>
            </w:r>
          </w:p>
        </w:tc>
      </w:tr>
      <w:tr>
        <w:tc>
          <w:tcPr>
            <w:tcW w:type="dxa" w:w="2324"/>
            <w:vAlign w:val="top"/>
            <w:tcMar>
              <w:top w:w="120" w:type="dxa"/>
              <w:start w:w="120" w:type="dxa"/>
              <w:bottom w:w="120" w:type="dxa"/>
              <w:end w:w="120" w:type="dxa"/>
            </w:tcMar>
            <w:shd w:fill="F2F6F6"/>
          </w:tcPr>
          <w:p>
            <w:r>
              <w:rPr>
                <w:sz w:val="18"/>
              </w:rPr>
              <w:t>Belge ve doğrulama kanıtı</w:t>
            </w:r>
          </w:p>
        </w:tc>
        <w:tc>
          <w:tcPr>
            <w:tcW w:type="dxa" w:w="2835"/>
            <w:vAlign w:val="top"/>
            <w:tcMar>
              <w:top w:w="120" w:type="dxa"/>
              <w:start w:w="120" w:type="dxa"/>
              <w:bottom w:w="120" w:type="dxa"/>
              <w:end w:w="120" w:type="dxa"/>
            </w:tcMar>
            <w:shd w:fill="F2F6F6"/>
          </w:tcPr>
          <w:p>
            <w:r>
              <w:rPr>
                <w:sz w:val="18"/>
              </w:rPr>
              <w:t>Document Domain</w:t>
            </w:r>
          </w:p>
        </w:tc>
        <w:tc>
          <w:tcPr>
            <w:tcW w:type="dxa" w:w="3969"/>
            <w:vAlign w:val="top"/>
            <w:tcMar>
              <w:top w:w="120" w:type="dxa"/>
              <w:start w:w="120" w:type="dxa"/>
              <w:bottom w:w="120" w:type="dxa"/>
              <w:end w:w="120" w:type="dxa"/>
            </w:tcMar>
            <w:shd w:fill="F2F6F6"/>
          </w:tcPr>
          <w:p>
            <w:r>
              <w:rPr>
                <w:sz w:val="18"/>
              </w:rPr>
              <w:t>OCR çıktısının doğrulanmadan canonical kayıt olması</w:t>
            </w:r>
          </w:p>
        </w:tc>
      </w:tr>
      <w:tr>
        <w:tc>
          <w:tcPr>
            <w:tcW w:type="dxa" w:w="2324"/>
            <w:vAlign w:val="top"/>
            <w:tcMar>
              <w:top w:w="120" w:type="dxa"/>
              <w:start w:w="120" w:type="dxa"/>
              <w:bottom w:w="120" w:type="dxa"/>
              <w:end w:w="120" w:type="dxa"/>
            </w:tcMar>
          </w:tcPr>
          <w:p>
            <w:r>
              <w:rPr>
                <w:sz w:val="18"/>
              </w:rPr>
              <w:t>Görev, takvim ve takip</w:t>
            </w:r>
          </w:p>
        </w:tc>
        <w:tc>
          <w:tcPr>
            <w:tcW w:type="dxa" w:w="2835"/>
            <w:vAlign w:val="top"/>
            <w:tcMar>
              <w:top w:w="120" w:type="dxa"/>
              <w:start w:w="120" w:type="dxa"/>
              <w:bottom w:w="120" w:type="dxa"/>
              <w:end w:w="120" w:type="dxa"/>
            </w:tcMar>
          </w:tcPr>
          <w:p>
            <w:r>
              <w:rPr>
                <w:sz w:val="18"/>
              </w:rPr>
              <w:t>Work Management Domain</w:t>
            </w:r>
          </w:p>
        </w:tc>
        <w:tc>
          <w:tcPr>
            <w:tcW w:type="dxa" w:w="3969"/>
            <w:vAlign w:val="top"/>
            <w:tcMar>
              <w:top w:w="120" w:type="dxa"/>
              <w:start w:w="120" w:type="dxa"/>
              <w:bottom w:w="120" w:type="dxa"/>
              <w:end w:w="120" w:type="dxa"/>
            </w:tcMar>
          </w:tcPr>
          <w:p>
            <w:r>
              <w:rPr>
                <w:sz w:val="18"/>
              </w:rPr>
              <w:t>Bildirim sisteminin görev state’ini sahiplenmesi</w:t>
            </w:r>
          </w:p>
        </w:tc>
      </w:tr>
      <w:tr>
        <w:tc>
          <w:tcPr>
            <w:tcW w:type="dxa" w:w="2324"/>
            <w:vAlign w:val="top"/>
            <w:tcMar>
              <w:top w:w="120" w:type="dxa"/>
              <w:start w:w="120" w:type="dxa"/>
              <w:bottom w:w="120" w:type="dxa"/>
              <w:end w:w="120" w:type="dxa"/>
            </w:tcMar>
            <w:shd w:fill="F2F6F6"/>
          </w:tcPr>
          <w:p>
            <w:r>
              <w:rPr>
                <w:sz w:val="18"/>
              </w:rPr>
              <w:t>Yönetim değerlendirmesi</w:t>
            </w:r>
          </w:p>
        </w:tc>
        <w:tc>
          <w:tcPr>
            <w:tcW w:type="dxa" w:w="2835"/>
            <w:vAlign w:val="top"/>
            <w:tcMar>
              <w:top w:w="120" w:type="dxa"/>
              <w:start w:w="120" w:type="dxa"/>
              <w:bottom w:w="120" w:type="dxa"/>
              <w:end w:w="120" w:type="dxa"/>
            </w:tcMar>
            <w:shd w:fill="F2F6F6"/>
          </w:tcPr>
          <w:p>
            <w:r>
              <w:rPr>
                <w:sz w:val="18"/>
              </w:rPr>
              <w:t>Executive Brain</w:t>
            </w:r>
          </w:p>
        </w:tc>
        <w:tc>
          <w:tcPr>
            <w:tcW w:type="dxa" w:w="3969"/>
            <w:vAlign w:val="top"/>
            <w:tcMar>
              <w:top w:w="120" w:type="dxa"/>
              <w:start w:w="120" w:type="dxa"/>
              <w:bottom w:w="120" w:type="dxa"/>
              <w:end w:w="120" w:type="dxa"/>
            </w:tcMar>
            <w:shd w:fill="F2F6F6"/>
          </w:tcPr>
          <w:p>
            <w:r>
              <w:rPr>
                <w:sz w:val="18"/>
              </w:rPr>
              <w:t>Domain servislerinin kanaat üretmesi</w:t>
            </w:r>
          </w:p>
        </w:tc>
      </w:tr>
    </w:tbl>
    <w:p>
      <w:pPr>
        <w:spacing w:after="40"/>
      </w:pPr>
    </w:p>
    <w:p>
      <w:pPr>
        <w:pStyle w:val="Heading2"/>
      </w:pPr>
      <w:r>
        <w:t>3.6 Entegrasyon Bağımsızlığı</w:t>
      </w:r>
    </w:p>
    <w:p>
      <w:pPr>
        <w:spacing w:after="100"/>
      </w:pPr>
      <w:r>
        <w:t>METRIX, entegre olduğu sistemlerin alanlarını okuyabilir ve saklayabilir; fakat kendi ortak veri modelini hiçbir ERP, CRM, muhasebe, takvim veya mesajlaşma ürününe göre değiştirmez.</w:t>
      </w:r>
    </w:p>
    <w:p>
      <w:pPr>
        <w:pStyle w:val="Heading2"/>
      </w:pPr>
      <w:r>
        <w:t>3.7 Kanıt ve Provenance</w:t>
      </w:r>
    </w:p>
    <w:p>
      <w:pPr>
        <w:spacing w:after="100"/>
      </w:pPr>
      <w:r>
        <w:t>Yönetim değerlendirmesine giren her kritik kayıt kaynağını, organizasyonunu, zamanını, doğrulama durumunu ve mümkün olduğunda kayıt kimliğini taşır. AI tarafından üretilmiş metin kanıt değildir.</w:t>
      </w:r>
    </w:p>
    <w:p>
      <w:pPr>
        <w:pStyle w:val="Heading1"/>
      </w:pPr>
      <w:r>
        <w:t>4. Birleşik İşletme Mimarisi</w:t>
      </w:r>
    </w:p>
    <w:p>
      <w:pPr>
        <w:spacing w:after="100"/>
      </w:pPr>
      <w:r>
        <w:t>METRIX Business OS aşağıdaki kurucu düzlemlerden oluşur:</w:t>
      </w:r>
    </w:p>
    <w:p>
      <w:pPr>
        <w:pStyle w:val="ListNumber"/>
        <w:spacing w:after="40"/>
      </w:pPr>
      <w:r>
        <w:t>Experience Plane — kullanıcı arayüzü, voice, text, mobile ve Executive Dock.</w:t>
      </w:r>
    </w:p>
    <w:p>
      <w:pPr>
        <w:pStyle w:val="ListNumber"/>
        <w:spacing w:after="40"/>
      </w:pPr>
      <w:r>
        <w:t>Executive Plane — mevcut Executive Brain, Orchestrator, Behavior OS ve Conversation zinciri.</w:t>
      </w:r>
    </w:p>
    <w:p>
      <w:pPr>
        <w:pStyle w:val="ListNumber"/>
        <w:spacing w:after="40"/>
      </w:pPr>
      <w:r>
        <w:t>Business Reality Plane — canonical şirket verileri ve ilişkileri.</w:t>
      </w:r>
    </w:p>
    <w:p>
      <w:pPr>
        <w:pStyle w:val="ListNumber"/>
        <w:spacing w:after="40"/>
      </w:pPr>
      <w:r>
        <w:t>Action Plane — domain servisleri, yetki kontrolleri ve deterministic işlemler.</w:t>
      </w:r>
    </w:p>
    <w:p>
      <w:pPr>
        <w:pStyle w:val="ListNumber"/>
        <w:spacing w:after="40"/>
      </w:pPr>
      <w:r>
        <w:t>Evidence Plane — belge, provenance, doğrulama ve audit kayıtları.</w:t>
      </w:r>
    </w:p>
    <w:p>
      <w:pPr>
        <w:pStyle w:val="ListNumber"/>
        <w:spacing w:after="40"/>
      </w:pPr>
      <w:r>
        <w:t>Event Plane — domain olayları, takip tetikleri ve yaşam döngüsü sinyalleri.</w:t>
      </w:r>
    </w:p>
    <w:p>
      <w:pPr>
        <w:pStyle w:val="ListNumber"/>
        <w:spacing w:after="40"/>
      </w:pPr>
      <w:r>
        <w:t>Integration Plane — dış sistem adaptörleri ve senkronizasyon sınırları.</w:t>
      </w:r>
    </w:p>
    <w:p>
      <w:pPr>
        <w:pStyle w:val="Heading2"/>
      </w:pPr>
      <w:r>
        <w:t>4.1 Kurucu Akış</w:t>
      </w:r>
    </w:p>
    <w:tbl>
      <w:tblPr>
        <w:tblW w:type="auto" w:w="0"/>
        <w:tblLook w:firstColumn="1" w:firstRow="1" w:lastColumn="0" w:lastRow="0" w:noHBand="0" w:noVBand="1" w:val="04A0"/>
      </w:tblPr>
      <w:tblGrid>
        <w:gridCol w:w="9746"/>
      </w:tblGrid>
      <w:tr>
        <w:tc>
          <w:tcPr>
            <w:tcW w:type="dxa" w:w="9746"/>
            <w:shd w:fill="F2F6F6"/>
            <w:tcMar>
              <w:top w:w="260" w:type="dxa"/>
              <w:start w:w="280" w:type="dxa"/>
              <w:bottom w:w="260" w:type="dxa"/>
              <w:end w:w="280" w:type="dxa"/>
            </w:tcMar>
          </w:tcPr>
          <w:p>
            <w:pPr>
              <w:jc w:val="center"/>
            </w:pPr>
            <w:r>
              <w:rPr>
                <w:rFonts w:ascii="Aptos Mono" w:hAnsi="Aptos Mono"/>
                <w:b/>
                <w:color w:val="153E42"/>
                <w:sz w:val="20"/>
              </w:rPr>
              <w:t>KULLANICI / SİSTEM OLAYI</w:t>
              <w:br/>
              <w:t>↓</w:t>
              <w:br/>
              <w:t>EXECUTIVE CONTEXT</w:t>
              <w:br/>
              <w:t>↓</w:t>
              <w:br/>
              <w:t>EXECUTIVE BRAIN VE ORCHESTRATION</w:t>
              <w:br/>
              <w:t>↓</w:t>
              <w:br/>
              <w:t>ACTION DIRECTIVE</w:t>
              <w:br/>
              <w:t>↓</w:t>
              <w:br/>
              <w:t>DOMAIN SERVICE EXECUTION</w:t>
              <w:br/>
              <w:t>↓</w:t>
              <w:br/>
              <w:t>CANONICAL BUSINESS REALITY UPDATE</w:t>
              <w:br/>
              <w:t>↓</w:t>
              <w:br/>
              <w:t>DOMAIN EVENT</w:t>
              <w:br/>
              <w:t>↓</w:t>
              <w:br/>
              <w:t>TAKİP / BİLDİRİM / RAPOR / YENİ YÖNETİM DEĞERLENDİRMESİ</w:t>
            </w:r>
          </w:p>
        </w:tc>
      </w:tr>
    </w:tbl>
    <w:p>
      <w:pPr>
        <w:pStyle w:val="Heading2"/>
      </w:pPr>
      <w:r>
        <w:t>4.2 Modül Değil Domain</w:t>
      </w:r>
    </w:p>
    <w:p>
      <w:pPr>
        <w:spacing w:after="100"/>
      </w:pPr>
      <w:r>
        <w:t>Kullanıcı arayüzünde “Müşteriler” bir modül gibi görünür. Mimari olarak ise Customer Domain’dir. Domain; veri modelini, lifecycle kurallarını, yetkileri, komutları, olayları ve diğer domainlerle ilişkileri tek sınır içinde taşır.</w:t>
      </w:r>
    </w:p>
    <w:p>
      <w:pPr>
        <w:spacing w:after="100"/>
      </w:pPr>
      <w:r>
        <w:t>Bu ayrım kritiktir: sayfa yalnızca görünüm, domain ise kurumsal gerçekliğin sahibidir.</w:t>
      </w:r>
    </w:p>
    <w:p>
      <w:pPr>
        <w:pStyle w:val="Heading1"/>
      </w:pPr>
      <w:r>
        <w:t>5. Kurucu Domain Haritası</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fill="153E42"/>
            <w:vAlign w:val="center"/>
            <w:tcMar>
              <w:top w:w="120" w:type="dxa"/>
              <w:start w:w="120" w:type="dxa"/>
              <w:bottom w:w="120" w:type="dxa"/>
              <w:end w:w="120" w:type="dxa"/>
            </w:tcMar>
          </w:tcPr>
          <w:p>
            <w:pPr>
              <w:jc w:val="center"/>
            </w:pPr>
            <w:r>
              <w:rPr>
                <w:b/>
                <w:color w:val="FFFFFF"/>
                <w:sz w:val="18"/>
              </w:rPr>
              <w:t>Domain</w:t>
            </w:r>
          </w:p>
        </w:tc>
        <w:tc>
          <w:tcPr>
            <w:tcW w:type="dxa" w:w="3402"/>
            <w:shd w:fill="153E42"/>
            <w:vAlign w:val="center"/>
            <w:tcMar>
              <w:top w:w="120" w:type="dxa"/>
              <w:start w:w="120" w:type="dxa"/>
              <w:bottom w:w="120" w:type="dxa"/>
              <w:end w:w="120" w:type="dxa"/>
            </w:tcMar>
          </w:tcPr>
          <w:p>
            <w:pPr>
              <w:jc w:val="center"/>
            </w:pPr>
            <w:r>
              <w:rPr>
                <w:b/>
                <w:color w:val="FFFFFF"/>
                <w:sz w:val="18"/>
              </w:rPr>
              <w:t>Ana Sorumluluk</w:t>
            </w:r>
          </w:p>
        </w:tc>
        <w:tc>
          <w:tcPr>
            <w:tcW w:type="dxa" w:w="3685"/>
            <w:shd w:fill="153E42"/>
            <w:vAlign w:val="center"/>
            <w:tcMar>
              <w:top w:w="120" w:type="dxa"/>
              <w:start w:w="120" w:type="dxa"/>
              <w:bottom w:w="120" w:type="dxa"/>
              <w:end w:w="120" w:type="dxa"/>
            </w:tcMar>
          </w:tcPr>
          <w:p>
            <w:pPr>
              <w:jc w:val="center"/>
            </w:pPr>
            <w:r>
              <w:rPr>
                <w:b/>
                <w:color w:val="FFFFFF"/>
                <w:sz w:val="18"/>
              </w:rPr>
              <w:t>Temel İlişkiler</w:t>
            </w:r>
          </w:p>
        </w:tc>
      </w:tr>
      <w:tr>
        <w:tc>
          <w:tcPr>
            <w:tcW w:type="dxa" w:w="1814"/>
            <w:vAlign w:val="top"/>
            <w:tcMar>
              <w:top w:w="120" w:type="dxa"/>
              <w:start w:w="120" w:type="dxa"/>
              <w:bottom w:w="120" w:type="dxa"/>
              <w:end w:w="120" w:type="dxa"/>
            </w:tcMar>
          </w:tcPr>
          <w:p>
            <w:r>
              <w:rPr>
                <w:sz w:val="18"/>
              </w:rPr>
              <w:t>Company</w:t>
            </w:r>
          </w:p>
        </w:tc>
        <w:tc>
          <w:tcPr>
            <w:tcW w:type="dxa" w:w="3402"/>
            <w:vAlign w:val="top"/>
            <w:tcMar>
              <w:top w:w="120" w:type="dxa"/>
              <w:start w:w="120" w:type="dxa"/>
              <w:bottom w:w="120" w:type="dxa"/>
              <w:end w:w="120" w:type="dxa"/>
            </w:tcMar>
          </w:tcPr>
          <w:p>
            <w:r>
              <w:rPr>
                <w:sz w:val="18"/>
              </w:rPr>
              <w:t>Şirket kimliği, organizasyon, çalışma modeli, hedef çerçevesi ve kurumsal ayarlar</w:t>
            </w:r>
          </w:p>
        </w:tc>
        <w:tc>
          <w:tcPr>
            <w:tcW w:type="dxa" w:w="3685"/>
            <w:vAlign w:val="top"/>
            <w:tcMar>
              <w:top w:w="120" w:type="dxa"/>
              <w:start w:w="120" w:type="dxa"/>
              <w:bottom w:w="120" w:type="dxa"/>
              <w:end w:w="120" w:type="dxa"/>
            </w:tcMar>
          </w:tcPr>
          <w:p>
            <w:r>
              <w:rPr>
                <w:sz w:val="18"/>
              </w:rPr>
              <w:t>Tüm domainler için organization scope</w:t>
            </w:r>
          </w:p>
        </w:tc>
      </w:tr>
      <w:tr>
        <w:tc>
          <w:tcPr>
            <w:tcW w:type="dxa" w:w="1814"/>
            <w:vAlign w:val="top"/>
            <w:tcMar>
              <w:top w:w="120" w:type="dxa"/>
              <w:start w:w="120" w:type="dxa"/>
              <w:bottom w:w="120" w:type="dxa"/>
              <w:end w:w="120" w:type="dxa"/>
            </w:tcMar>
            <w:shd w:fill="F2F6F6"/>
          </w:tcPr>
          <w:p>
            <w:r>
              <w:rPr>
                <w:sz w:val="18"/>
              </w:rPr>
              <w:t>Customer</w:t>
            </w:r>
          </w:p>
        </w:tc>
        <w:tc>
          <w:tcPr>
            <w:tcW w:type="dxa" w:w="3402"/>
            <w:vAlign w:val="top"/>
            <w:tcMar>
              <w:top w:w="120" w:type="dxa"/>
              <w:start w:w="120" w:type="dxa"/>
              <w:bottom w:w="120" w:type="dxa"/>
              <w:end w:w="120" w:type="dxa"/>
            </w:tcMar>
            <w:shd w:fill="F2F6F6"/>
          </w:tcPr>
          <w:p>
            <w:r>
              <w:rPr>
                <w:sz w:val="18"/>
              </w:rPr>
              <w:t>Müşteri şirketleri, kişiler, roller, ilişkiler, durum ve risk sinyalleri</w:t>
            </w:r>
          </w:p>
        </w:tc>
        <w:tc>
          <w:tcPr>
            <w:tcW w:type="dxa" w:w="3685"/>
            <w:vAlign w:val="top"/>
            <w:tcMar>
              <w:top w:w="120" w:type="dxa"/>
              <w:start w:w="120" w:type="dxa"/>
              <w:bottom w:w="120" w:type="dxa"/>
              <w:end w:w="120" w:type="dxa"/>
            </w:tcMar>
            <w:shd w:fill="F2F6F6"/>
          </w:tcPr>
          <w:p>
            <w:r>
              <w:rPr>
                <w:sz w:val="18"/>
              </w:rPr>
              <w:t>Quote, Collection, Document, Task, Communication</w:t>
            </w:r>
          </w:p>
        </w:tc>
      </w:tr>
      <w:tr>
        <w:tc>
          <w:tcPr>
            <w:tcW w:type="dxa" w:w="1814"/>
            <w:vAlign w:val="top"/>
            <w:tcMar>
              <w:top w:w="120" w:type="dxa"/>
              <w:start w:w="120" w:type="dxa"/>
              <w:bottom w:w="120" w:type="dxa"/>
              <w:end w:w="120" w:type="dxa"/>
            </w:tcMar>
          </w:tcPr>
          <w:p>
            <w:r>
              <w:rPr>
                <w:sz w:val="18"/>
              </w:rPr>
              <w:t>Product</w:t>
            </w:r>
          </w:p>
        </w:tc>
        <w:tc>
          <w:tcPr>
            <w:tcW w:type="dxa" w:w="3402"/>
            <w:vAlign w:val="top"/>
            <w:tcMar>
              <w:top w:w="120" w:type="dxa"/>
              <w:start w:w="120" w:type="dxa"/>
              <w:bottom w:w="120" w:type="dxa"/>
              <w:end w:w="120" w:type="dxa"/>
            </w:tcMar>
          </w:tcPr>
          <w:p>
            <w:r>
              <w:rPr>
                <w:sz w:val="18"/>
              </w:rPr>
              <w:t>Ürün/hizmet tanımları, fiyatlama temelleri, kategoriler ve ticari özellikler</w:t>
            </w:r>
          </w:p>
        </w:tc>
        <w:tc>
          <w:tcPr>
            <w:tcW w:type="dxa" w:w="3685"/>
            <w:vAlign w:val="top"/>
            <w:tcMar>
              <w:top w:w="120" w:type="dxa"/>
              <w:start w:w="120" w:type="dxa"/>
              <w:bottom w:w="120" w:type="dxa"/>
              <w:end w:w="120" w:type="dxa"/>
            </w:tcMar>
          </w:tcPr>
          <w:p>
            <w:r>
              <w:rPr>
                <w:sz w:val="18"/>
              </w:rPr>
              <w:t>Quote, Supplier, Document</w:t>
            </w:r>
          </w:p>
        </w:tc>
      </w:tr>
      <w:tr>
        <w:tc>
          <w:tcPr>
            <w:tcW w:type="dxa" w:w="1814"/>
            <w:vAlign w:val="top"/>
            <w:tcMar>
              <w:top w:w="120" w:type="dxa"/>
              <w:start w:w="120" w:type="dxa"/>
              <w:bottom w:w="120" w:type="dxa"/>
              <w:end w:w="120" w:type="dxa"/>
            </w:tcMar>
            <w:shd w:fill="F2F6F6"/>
          </w:tcPr>
          <w:p>
            <w:r>
              <w:rPr>
                <w:sz w:val="18"/>
              </w:rPr>
              <w:t>Quote</w:t>
            </w:r>
          </w:p>
        </w:tc>
        <w:tc>
          <w:tcPr>
            <w:tcW w:type="dxa" w:w="3402"/>
            <w:vAlign w:val="top"/>
            <w:tcMar>
              <w:top w:w="120" w:type="dxa"/>
              <w:start w:w="120" w:type="dxa"/>
              <w:bottom w:w="120" w:type="dxa"/>
              <w:end w:w="120" w:type="dxa"/>
            </w:tcMar>
            <w:shd w:fill="F2F6F6"/>
          </w:tcPr>
          <w:p>
            <w:r>
              <w:rPr>
                <w:sz w:val="18"/>
              </w:rPr>
              <w:t>Teklif hazırlama, revizyon, onay, gönderim, kabul/red ve dönüşüm yaşam döngüsü</w:t>
            </w:r>
          </w:p>
        </w:tc>
        <w:tc>
          <w:tcPr>
            <w:tcW w:type="dxa" w:w="3685"/>
            <w:vAlign w:val="top"/>
            <w:tcMar>
              <w:top w:w="120" w:type="dxa"/>
              <w:start w:w="120" w:type="dxa"/>
              <w:bottom w:w="120" w:type="dxa"/>
              <w:end w:w="120" w:type="dxa"/>
            </w:tcMar>
            <w:shd w:fill="F2F6F6"/>
          </w:tcPr>
          <w:p>
            <w:r>
              <w:rPr>
                <w:sz w:val="18"/>
              </w:rPr>
              <w:t>Customer, Product, Document, Task</w:t>
            </w:r>
          </w:p>
        </w:tc>
      </w:tr>
      <w:tr>
        <w:tc>
          <w:tcPr>
            <w:tcW w:type="dxa" w:w="1814"/>
            <w:vAlign w:val="top"/>
            <w:tcMar>
              <w:top w:w="120" w:type="dxa"/>
              <w:start w:w="120" w:type="dxa"/>
              <w:bottom w:w="120" w:type="dxa"/>
              <w:end w:w="120" w:type="dxa"/>
            </w:tcMar>
          </w:tcPr>
          <w:p>
            <w:r>
              <w:rPr>
                <w:sz w:val="18"/>
              </w:rPr>
              <w:t>Collection &amp; Payment</w:t>
            </w:r>
          </w:p>
        </w:tc>
        <w:tc>
          <w:tcPr>
            <w:tcW w:type="dxa" w:w="3402"/>
            <w:vAlign w:val="top"/>
            <w:tcMar>
              <w:top w:w="120" w:type="dxa"/>
              <w:start w:w="120" w:type="dxa"/>
              <w:bottom w:w="120" w:type="dxa"/>
              <w:end w:w="120" w:type="dxa"/>
            </w:tcMar>
          </w:tcPr>
          <w:p>
            <w:r>
              <w:rPr>
                <w:sz w:val="18"/>
              </w:rPr>
              <w:t>Alacak, tahsilat planı, ödeme, gecikme ve nakit takip gerçekliği</w:t>
            </w:r>
          </w:p>
        </w:tc>
        <w:tc>
          <w:tcPr>
            <w:tcW w:type="dxa" w:w="3685"/>
            <w:vAlign w:val="top"/>
            <w:tcMar>
              <w:top w:w="120" w:type="dxa"/>
              <w:start w:w="120" w:type="dxa"/>
              <w:bottom w:w="120" w:type="dxa"/>
              <w:end w:w="120" w:type="dxa"/>
            </w:tcMar>
          </w:tcPr>
          <w:p>
            <w:r>
              <w:rPr>
                <w:sz w:val="18"/>
              </w:rPr>
              <w:t>Customer, Quote, Accounting, Task</w:t>
            </w:r>
          </w:p>
        </w:tc>
      </w:tr>
      <w:tr>
        <w:tc>
          <w:tcPr>
            <w:tcW w:type="dxa" w:w="1814"/>
            <w:vAlign w:val="top"/>
            <w:tcMar>
              <w:top w:w="120" w:type="dxa"/>
              <w:start w:w="120" w:type="dxa"/>
              <w:bottom w:w="120" w:type="dxa"/>
              <w:end w:w="120" w:type="dxa"/>
            </w:tcMar>
            <w:shd w:fill="F2F6F6"/>
          </w:tcPr>
          <w:p>
            <w:r>
              <w:rPr>
                <w:sz w:val="18"/>
              </w:rPr>
              <w:t>Supplier</w:t>
            </w:r>
          </w:p>
        </w:tc>
        <w:tc>
          <w:tcPr>
            <w:tcW w:type="dxa" w:w="3402"/>
            <w:vAlign w:val="top"/>
            <w:tcMar>
              <w:top w:w="120" w:type="dxa"/>
              <w:start w:w="120" w:type="dxa"/>
              <w:bottom w:w="120" w:type="dxa"/>
              <w:end w:w="120" w:type="dxa"/>
            </w:tcMar>
            <w:shd w:fill="F2F6F6"/>
          </w:tcPr>
          <w:p>
            <w:r>
              <w:rPr>
                <w:sz w:val="18"/>
              </w:rPr>
              <w:t>Tedarikçi şirketler, kişiler, şartlar, riskler ve satın alma ilişkileri</w:t>
            </w:r>
          </w:p>
        </w:tc>
        <w:tc>
          <w:tcPr>
            <w:tcW w:type="dxa" w:w="3685"/>
            <w:vAlign w:val="top"/>
            <w:tcMar>
              <w:top w:w="120" w:type="dxa"/>
              <w:start w:w="120" w:type="dxa"/>
              <w:bottom w:w="120" w:type="dxa"/>
              <w:end w:w="120" w:type="dxa"/>
            </w:tcMar>
            <w:shd w:fill="F2F6F6"/>
          </w:tcPr>
          <w:p>
            <w:r>
              <w:rPr>
                <w:sz w:val="18"/>
              </w:rPr>
              <w:t>Product, Document, Payment</w:t>
            </w:r>
          </w:p>
        </w:tc>
      </w:tr>
      <w:tr>
        <w:tc>
          <w:tcPr>
            <w:tcW w:type="dxa" w:w="1814"/>
            <w:vAlign w:val="top"/>
            <w:tcMar>
              <w:top w:w="120" w:type="dxa"/>
              <w:start w:w="120" w:type="dxa"/>
              <w:bottom w:w="120" w:type="dxa"/>
              <w:end w:w="120" w:type="dxa"/>
            </w:tcMar>
          </w:tcPr>
          <w:p>
            <w:r>
              <w:rPr>
                <w:sz w:val="18"/>
              </w:rPr>
              <w:t>Document</w:t>
            </w:r>
          </w:p>
        </w:tc>
        <w:tc>
          <w:tcPr>
            <w:tcW w:type="dxa" w:w="3402"/>
            <w:vAlign w:val="top"/>
            <w:tcMar>
              <w:top w:w="120" w:type="dxa"/>
              <w:start w:w="120" w:type="dxa"/>
              <w:bottom w:w="120" w:type="dxa"/>
              <w:end w:w="120" w:type="dxa"/>
            </w:tcMar>
          </w:tcPr>
          <w:p>
            <w:r>
              <w:rPr>
                <w:sz w:val="18"/>
              </w:rPr>
              <w:t>Yükleme, kamera, OCR, extraction, doğrulama, arşiv ve belge üretimi</w:t>
            </w:r>
          </w:p>
        </w:tc>
        <w:tc>
          <w:tcPr>
            <w:tcW w:type="dxa" w:w="3685"/>
            <w:vAlign w:val="top"/>
            <w:tcMar>
              <w:top w:w="120" w:type="dxa"/>
              <w:start w:w="120" w:type="dxa"/>
              <w:bottom w:w="120" w:type="dxa"/>
              <w:end w:w="120" w:type="dxa"/>
            </w:tcMar>
          </w:tcPr>
          <w:p>
            <w:r>
              <w:rPr>
                <w:sz w:val="18"/>
              </w:rPr>
              <w:t>Bütün business domainleri</w:t>
            </w:r>
          </w:p>
        </w:tc>
      </w:tr>
      <w:tr>
        <w:tc>
          <w:tcPr>
            <w:tcW w:type="dxa" w:w="1814"/>
            <w:vAlign w:val="top"/>
            <w:tcMar>
              <w:top w:w="120" w:type="dxa"/>
              <w:start w:w="120" w:type="dxa"/>
              <w:bottom w:w="120" w:type="dxa"/>
              <w:end w:w="120" w:type="dxa"/>
            </w:tcMar>
            <w:shd w:fill="F2F6F6"/>
          </w:tcPr>
          <w:p>
            <w:r>
              <w:rPr>
                <w:sz w:val="18"/>
              </w:rPr>
              <w:t>Work Management</w:t>
            </w:r>
          </w:p>
        </w:tc>
        <w:tc>
          <w:tcPr>
            <w:tcW w:type="dxa" w:w="3402"/>
            <w:vAlign w:val="top"/>
            <w:tcMar>
              <w:top w:w="120" w:type="dxa"/>
              <w:start w:w="120" w:type="dxa"/>
              <w:bottom w:w="120" w:type="dxa"/>
              <w:end w:w="120" w:type="dxa"/>
            </w:tcMar>
            <w:shd w:fill="F2F6F6"/>
          </w:tcPr>
          <w:p>
            <w:r>
              <w:rPr>
                <w:sz w:val="18"/>
              </w:rPr>
              <w:t>Görev, takip, toplantı, takvim, hatırlatma ve günlük çalışma ritmi</w:t>
            </w:r>
          </w:p>
        </w:tc>
        <w:tc>
          <w:tcPr>
            <w:tcW w:type="dxa" w:w="3685"/>
            <w:vAlign w:val="top"/>
            <w:tcMar>
              <w:top w:w="120" w:type="dxa"/>
              <w:start w:w="120" w:type="dxa"/>
              <w:bottom w:w="120" w:type="dxa"/>
              <w:end w:w="120" w:type="dxa"/>
            </w:tcMar>
            <w:shd w:fill="F2F6F6"/>
          </w:tcPr>
          <w:p>
            <w:r>
              <w:rPr>
                <w:sz w:val="18"/>
              </w:rPr>
              <w:t>Bütün business domainleri</w:t>
            </w:r>
          </w:p>
        </w:tc>
      </w:tr>
      <w:tr>
        <w:tc>
          <w:tcPr>
            <w:tcW w:type="dxa" w:w="1814"/>
            <w:vAlign w:val="top"/>
            <w:tcMar>
              <w:top w:w="120" w:type="dxa"/>
              <w:start w:w="120" w:type="dxa"/>
              <w:bottom w:w="120" w:type="dxa"/>
              <w:end w:w="120" w:type="dxa"/>
            </w:tcMar>
          </w:tcPr>
          <w:p>
            <w:r>
              <w:rPr>
                <w:sz w:val="18"/>
              </w:rPr>
              <w:t>Communication</w:t>
            </w:r>
          </w:p>
        </w:tc>
        <w:tc>
          <w:tcPr>
            <w:tcW w:type="dxa" w:w="3402"/>
            <w:vAlign w:val="top"/>
            <w:tcMar>
              <w:top w:w="120" w:type="dxa"/>
              <w:start w:w="120" w:type="dxa"/>
              <w:bottom w:w="120" w:type="dxa"/>
              <w:end w:w="120" w:type="dxa"/>
            </w:tcMar>
          </w:tcPr>
          <w:p>
            <w:r>
              <w:rPr>
                <w:sz w:val="18"/>
              </w:rPr>
              <w:t>WhatsApp, e-posta ve diğer kanal kayıtları; gönderim ve ilişkilendirme</w:t>
            </w:r>
          </w:p>
        </w:tc>
        <w:tc>
          <w:tcPr>
            <w:tcW w:type="dxa" w:w="3685"/>
            <w:vAlign w:val="top"/>
            <w:tcMar>
              <w:top w:w="120" w:type="dxa"/>
              <w:start w:w="120" w:type="dxa"/>
              <w:bottom w:w="120" w:type="dxa"/>
              <w:end w:w="120" w:type="dxa"/>
            </w:tcMar>
          </w:tcPr>
          <w:p>
            <w:r>
              <w:rPr>
                <w:sz w:val="18"/>
              </w:rPr>
              <w:t>Customer, Supplier, Quote, Collection</w:t>
            </w:r>
          </w:p>
        </w:tc>
      </w:tr>
      <w:tr>
        <w:tc>
          <w:tcPr>
            <w:tcW w:type="dxa" w:w="1814"/>
            <w:vAlign w:val="top"/>
            <w:tcMar>
              <w:top w:w="120" w:type="dxa"/>
              <w:start w:w="120" w:type="dxa"/>
              <w:bottom w:w="120" w:type="dxa"/>
              <w:end w:w="120" w:type="dxa"/>
            </w:tcMar>
            <w:shd w:fill="F2F6F6"/>
          </w:tcPr>
          <w:p>
            <w:r>
              <w:rPr>
                <w:sz w:val="18"/>
              </w:rPr>
              <w:t>Reporting</w:t>
            </w:r>
          </w:p>
        </w:tc>
        <w:tc>
          <w:tcPr>
            <w:tcW w:type="dxa" w:w="3402"/>
            <w:vAlign w:val="top"/>
            <w:tcMar>
              <w:top w:w="120" w:type="dxa"/>
              <w:start w:w="120" w:type="dxa"/>
              <w:bottom w:w="120" w:type="dxa"/>
              <w:end w:w="120" w:type="dxa"/>
            </w:tcMar>
            <w:shd w:fill="F2F6F6"/>
          </w:tcPr>
          <w:p>
            <w:r>
              <w:rPr>
                <w:sz w:val="18"/>
              </w:rPr>
              <w:t>Canonical veriden türetilmiş yönetim görünümü ve dönemsel raporlar</w:t>
            </w:r>
          </w:p>
        </w:tc>
        <w:tc>
          <w:tcPr>
            <w:tcW w:type="dxa" w:w="3685"/>
            <w:vAlign w:val="top"/>
            <w:tcMar>
              <w:top w:w="120" w:type="dxa"/>
              <w:start w:w="120" w:type="dxa"/>
              <w:bottom w:w="120" w:type="dxa"/>
              <w:end w:w="120" w:type="dxa"/>
            </w:tcMar>
            <w:shd w:fill="F2F6F6"/>
          </w:tcPr>
          <w:p>
            <w:r>
              <w:rPr>
                <w:sz w:val="18"/>
              </w:rPr>
              <w:t>Bütün domainler; hiçbir zaman gerçekliğin sahibi değil</w:t>
            </w:r>
          </w:p>
        </w:tc>
      </w:tr>
    </w:tbl>
    <w:p>
      <w:pPr>
        <w:spacing w:after="40"/>
      </w:pPr>
    </w:p>
    <w:p>
      <w:pPr>
        <w:pStyle w:val="Heading1"/>
      </w:pPr>
      <w:r>
        <w:t>6. Şirketim Domain’i: İlk Kurucu Modül</w:t>
      </w:r>
    </w:p>
    <w:p>
      <w:pPr>
        <w:spacing w:after="100"/>
      </w:pPr>
      <w:r>
        <w:t>İlk geliştirme alanı Şirketim olmalıdır. Ancak bu yalnızca şirket adı, adres ve vergi bilgileri sayfası değildir. Şirketim, METRIX’in yöneteceği organizasyonun canonical başlangıç noktasıdır.</w:t>
      </w:r>
    </w:p>
    <w:p>
      <w:pPr>
        <w:pStyle w:val="Heading2"/>
      </w:pPr>
      <w:r>
        <w:t>6.1 Şirketim Domain’inin Kapsamı</w:t>
      </w:r>
    </w:p>
    <w:p>
      <w:pPr>
        <w:pStyle w:val="ListBullet"/>
        <w:spacing w:after="40"/>
      </w:pPr>
      <w:r>
        <w:t>Şirket kimliği ve resmi bilgiler</w:t>
      </w:r>
    </w:p>
    <w:p>
      <w:pPr>
        <w:pStyle w:val="ListBullet"/>
        <w:spacing w:after="40"/>
      </w:pPr>
      <w:r>
        <w:t>Faaliyet alanları ve iş modeli</w:t>
      </w:r>
    </w:p>
    <w:p>
      <w:pPr>
        <w:pStyle w:val="ListBullet"/>
        <w:spacing w:after="40"/>
      </w:pPr>
      <w:r>
        <w:t>Organizasyon yapısı ve yetkiler</w:t>
      </w:r>
    </w:p>
    <w:p>
      <w:pPr>
        <w:pStyle w:val="ListBullet"/>
        <w:spacing w:after="40"/>
      </w:pPr>
      <w:r>
        <w:t>Stratejik yön, hedefler ve öncelikler</w:t>
      </w:r>
    </w:p>
    <w:p>
      <w:pPr>
        <w:pStyle w:val="ListBullet"/>
        <w:spacing w:after="40"/>
      </w:pPr>
      <w:r>
        <w:t>Çalışma günleri, saatleri ve yönetim ritmi</w:t>
      </w:r>
    </w:p>
    <w:p>
      <w:pPr>
        <w:pStyle w:val="ListBullet"/>
        <w:spacing w:after="40"/>
      </w:pPr>
      <w:r>
        <w:t>Finansal temel ayarlar ve para birimleri</w:t>
      </w:r>
    </w:p>
    <w:p>
      <w:pPr>
        <w:pStyle w:val="ListBullet"/>
        <w:spacing w:after="40"/>
      </w:pPr>
      <w:r>
        <w:t>Satış modeli, müşteri segmentleri ve ticari kurallar</w:t>
      </w:r>
    </w:p>
    <w:p>
      <w:pPr>
        <w:pStyle w:val="ListBullet"/>
        <w:spacing w:after="40"/>
      </w:pPr>
      <w:r>
        <w:t>Belge kimliği, marka öğeleri ve kurumsal iletişim bilgileri</w:t>
      </w:r>
    </w:p>
    <w:p>
      <w:pPr>
        <w:pStyle w:val="ListBullet"/>
        <w:spacing w:after="40"/>
      </w:pPr>
      <w:r>
        <w:t>Entegrasyon bağlantıları ve veri erişim kapsamları</w:t>
      </w:r>
    </w:p>
    <w:p>
      <w:pPr>
        <w:pStyle w:val="ListBullet"/>
        <w:spacing w:after="40"/>
      </w:pPr>
      <w:r>
        <w:t>Doğrulanmış Company Memory</w:t>
      </w:r>
    </w:p>
    <w:p>
      <w:pPr>
        <w:pStyle w:val="Heading2"/>
      </w:pPr>
      <w:r>
        <w:t>6.2 Neden İlk Modül?</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268"/>
            <w:shd w:fill="153E42"/>
            <w:vAlign w:val="center"/>
            <w:tcMar>
              <w:top w:w="120" w:type="dxa"/>
              <w:start w:w="120" w:type="dxa"/>
              <w:bottom w:w="120" w:type="dxa"/>
              <w:end w:w="120" w:type="dxa"/>
            </w:tcMar>
          </w:tcPr>
          <w:p>
            <w:pPr>
              <w:jc w:val="center"/>
            </w:pPr>
            <w:r>
              <w:rPr>
                <w:b/>
                <w:color w:val="FFFFFF"/>
                <w:sz w:val="18"/>
              </w:rPr>
              <w:t>Değerlendirme Alanı</w:t>
            </w:r>
          </w:p>
        </w:tc>
        <w:tc>
          <w:tcPr>
            <w:tcW w:type="dxa" w:w="6520"/>
            <w:shd w:fill="153E42"/>
            <w:vAlign w:val="center"/>
            <w:tcMar>
              <w:top w:w="120" w:type="dxa"/>
              <w:start w:w="120" w:type="dxa"/>
              <w:bottom w:w="120" w:type="dxa"/>
              <w:end w:w="120" w:type="dxa"/>
            </w:tcMar>
          </w:tcPr>
          <w:p>
            <w:pPr>
              <w:jc w:val="center"/>
            </w:pPr>
            <w:r>
              <w:rPr>
                <w:b/>
                <w:color w:val="FFFFFF"/>
                <w:sz w:val="18"/>
              </w:rPr>
              <w:t>Gerekçe</w:t>
            </w:r>
          </w:p>
        </w:tc>
      </w:tr>
      <w:tr>
        <w:tc>
          <w:tcPr>
            <w:tcW w:type="dxa" w:w="2268"/>
            <w:vAlign w:val="top"/>
            <w:tcMar>
              <w:top w:w="120" w:type="dxa"/>
              <w:start w:w="120" w:type="dxa"/>
              <w:bottom w:w="120" w:type="dxa"/>
              <w:end w:w="120" w:type="dxa"/>
            </w:tcMar>
          </w:tcPr>
          <w:p>
            <w:r>
              <w:rPr>
                <w:sz w:val="18"/>
              </w:rPr>
              <w:t>Mimari</w:t>
            </w:r>
          </w:p>
        </w:tc>
        <w:tc>
          <w:tcPr>
            <w:tcW w:type="dxa" w:w="6520"/>
            <w:vAlign w:val="top"/>
            <w:tcMar>
              <w:top w:w="120" w:type="dxa"/>
              <w:start w:w="120" w:type="dxa"/>
              <w:bottom w:w="120" w:type="dxa"/>
              <w:end w:w="120" w:type="dxa"/>
            </w:tcMar>
          </w:tcPr>
          <w:p>
            <w:r>
              <w:rPr>
                <w:sz w:val="18"/>
              </w:rPr>
              <w:t>Organization scope, yetki, para birimi, çalışma ritmi ve veri sahipliği bütün domainlerin ön koşuludur.</w:t>
            </w:r>
          </w:p>
        </w:tc>
      </w:tr>
      <w:tr>
        <w:tc>
          <w:tcPr>
            <w:tcW w:type="dxa" w:w="2268"/>
            <w:vAlign w:val="top"/>
            <w:tcMar>
              <w:top w:w="120" w:type="dxa"/>
              <w:start w:w="120" w:type="dxa"/>
              <w:bottom w:w="120" w:type="dxa"/>
              <w:end w:w="120" w:type="dxa"/>
            </w:tcMar>
            <w:shd w:fill="F2F6F6"/>
          </w:tcPr>
          <w:p>
            <w:r>
              <w:rPr>
                <w:sz w:val="18"/>
              </w:rPr>
              <w:t>Kullanıcı değeri</w:t>
            </w:r>
          </w:p>
        </w:tc>
        <w:tc>
          <w:tcPr>
            <w:tcW w:type="dxa" w:w="6520"/>
            <w:vAlign w:val="top"/>
            <w:tcMar>
              <w:top w:w="120" w:type="dxa"/>
              <w:start w:w="120" w:type="dxa"/>
              <w:bottom w:w="120" w:type="dxa"/>
              <w:end w:w="120" w:type="dxa"/>
            </w:tcMar>
            <w:shd w:fill="F2F6F6"/>
          </w:tcPr>
          <w:p>
            <w:r>
              <w:rPr>
                <w:sz w:val="18"/>
              </w:rPr>
              <w:t>METRIX ilk kez kullanıcıya “şirketini gerçekten tanıyan Genel Müdür” hissini verir.</w:t>
            </w:r>
          </w:p>
        </w:tc>
      </w:tr>
      <w:tr>
        <w:tc>
          <w:tcPr>
            <w:tcW w:type="dxa" w:w="2268"/>
            <w:vAlign w:val="top"/>
            <w:tcMar>
              <w:top w:w="120" w:type="dxa"/>
              <w:start w:w="120" w:type="dxa"/>
              <w:bottom w:w="120" w:type="dxa"/>
              <w:end w:w="120" w:type="dxa"/>
            </w:tcMar>
          </w:tcPr>
          <w:p>
            <w:r>
              <w:rPr>
                <w:sz w:val="18"/>
              </w:rPr>
              <w:t>Bağımlılıklar</w:t>
            </w:r>
          </w:p>
        </w:tc>
        <w:tc>
          <w:tcPr>
            <w:tcW w:type="dxa" w:w="6520"/>
            <w:vAlign w:val="top"/>
            <w:tcMar>
              <w:top w:w="120" w:type="dxa"/>
              <w:start w:w="120" w:type="dxa"/>
              <w:bottom w:w="120" w:type="dxa"/>
              <w:end w:w="120" w:type="dxa"/>
            </w:tcMar>
          </w:tcPr>
          <w:p>
            <w:r>
              <w:rPr>
                <w:sz w:val="18"/>
              </w:rPr>
              <w:t>Müşteri, teklif, belge, görev, bildirim ve raporların tamamı şirket bağlamına ihtiyaç duyar.</w:t>
            </w:r>
          </w:p>
        </w:tc>
      </w:tr>
      <w:tr>
        <w:tc>
          <w:tcPr>
            <w:tcW w:type="dxa" w:w="2268"/>
            <w:vAlign w:val="top"/>
            <w:tcMar>
              <w:top w:w="120" w:type="dxa"/>
              <w:start w:w="120" w:type="dxa"/>
              <w:bottom w:w="120" w:type="dxa"/>
              <w:end w:w="120" w:type="dxa"/>
            </w:tcMar>
            <w:shd w:fill="F2F6F6"/>
          </w:tcPr>
          <w:p>
            <w:r>
              <w:rPr>
                <w:sz w:val="18"/>
              </w:rPr>
              <w:t>Business Reality</w:t>
            </w:r>
          </w:p>
        </w:tc>
        <w:tc>
          <w:tcPr>
            <w:tcW w:type="dxa" w:w="6520"/>
            <w:vAlign w:val="top"/>
            <w:tcMar>
              <w:top w:w="120" w:type="dxa"/>
              <w:start w:w="120" w:type="dxa"/>
              <w:bottom w:w="120" w:type="dxa"/>
              <w:end w:w="120" w:type="dxa"/>
            </w:tcMar>
            <w:shd w:fill="F2F6F6"/>
          </w:tcPr>
          <w:p>
            <w:r>
              <w:rPr>
                <w:sz w:val="18"/>
              </w:rPr>
              <w:t>Executive Management Picture’ın en temel canonical şirket gerçekleri burada oluşur.</w:t>
            </w:r>
          </w:p>
        </w:tc>
      </w:tr>
      <w:tr>
        <w:tc>
          <w:tcPr>
            <w:tcW w:type="dxa" w:w="2268"/>
            <w:vAlign w:val="top"/>
            <w:tcMar>
              <w:top w:w="120" w:type="dxa"/>
              <w:start w:w="120" w:type="dxa"/>
              <w:bottom w:w="120" w:type="dxa"/>
              <w:end w:w="120" w:type="dxa"/>
            </w:tcMar>
          </w:tcPr>
          <w:p>
            <w:r>
              <w:rPr>
                <w:sz w:val="18"/>
              </w:rPr>
              <w:t>Geleceğe dayanıklılık</w:t>
            </w:r>
          </w:p>
        </w:tc>
        <w:tc>
          <w:tcPr>
            <w:tcW w:type="dxa" w:w="6520"/>
            <w:vAlign w:val="top"/>
            <w:tcMar>
              <w:top w:w="120" w:type="dxa"/>
              <w:start w:w="120" w:type="dxa"/>
              <w:bottom w:w="120" w:type="dxa"/>
              <w:end w:w="120" w:type="dxa"/>
            </w:tcMar>
          </w:tcPr>
          <w:p>
            <w:r>
              <w:rPr>
                <w:sz w:val="18"/>
              </w:rPr>
              <w:t>Yeni entegrasyon ve modüller ortak organization contract üzerinden bağlanır.</w:t>
            </w:r>
          </w:p>
        </w:tc>
      </w:tr>
    </w:tbl>
    <w:p>
      <w:pPr>
        <w:spacing w:after="40"/>
      </w:pPr>
    </w:p>
    <w:p>
      <w:pPr>
        <w:pStyle w:val="Heading2"/>
      </w:pPr>
      <w:r>
        <w:t>6.3 İlk Sürümün Çıktısı</w:t>
      </w:r>
    </w:p>
    <w:p>
      <w:pPr>
        <w:spacing w:after="100"/>
      </w:pPr>
      <w:r>
        <w:t>Şirketim domain’i tamamlandığında yalnızca bir sayfa açılmış olmayacaktır. Aşağıdaki platform sözleşmeleri production’da kurulmuş olacaktır:</w:t>
      </w:r>
    </w:p>
    <w:p>
      <w:pPr>
        <w:pStyle w:val="ListBullet"/>
        <w:spacing w:after="40"/>
      </w:pPr>
      <w:r>
        <w:t>Organization Context Contract</w:t>
      </w:r>
    </w:p>
    <w:p>
      <w:pPr>
        <w:pStyle w:val="ListBullet"/>
        <w:spacing w:after="40"/>
      </w:pPr>
      <w:r>
        <w:t>Company Profile Canonical Model</w:t>
      </w:r>
    </w:p>
    <w:p>
      <w:pPr>
        <w:pStyle w:val="ListBullet"/>
        <w:spacing w:after="40"/>
      </w:pPr>
      <w:r>
        <w:t>Role and Authority Baseline</w:t>
      </w:r>
    </w:p>
    <w:p>
      <w:pPr>
        <w:pStyle w:val="ListBullet"/>
        <w:spacing w:after="40"/>
      </w:pPr>
      <w:r>
        <w:t>Business Calendar and Working Rhythm Baseline</w:t>
      </w:r>
    </w:p>
    <w:p>
      <w:pPr>
        <w:pStyle w:val="ListBullet"/>
        <w:spacing w:after="40"/>
      </w:pPr>
      <w:r>
        <w:t>Currency and Commercial Settings Baseline</w:t>
      </w:r>
    </w:p>
    <w:p>
      <w:pPr>
        <w:pStyle w:val="ListBullet"/>
        <w:spacing w:after="40"/>
      </w:pPr>
      <w:r>
        <w:t>Company Evidence and Verification Contract</w:t>
      </w:r>
    </w:p>
    <w:p>
      <w:pPr>
        <w:pStyle w:val="ListBullet"/>
        <w:spacing w:after="40"/>
      </w:pPr>
      <w:r>
        <w:t>Company Domain Events</w:t>
      </w:r>
    </w:p>
    <w:p>
      <w:pPr>
        <w:pStyle w:val="ListBullet"/>
        <w:spacing w:after="40"/>
      </w:pPr>
      <w:r>
        <w:t>Executive Brain için güvenilir Company Reality okuma yüzeyi</w:t>
      </w:r>
    </w:p>
    <w:p>
      <w:pPr>
        <w:pStyle w:val="Heading1"/>
      </w:pPr>
      <w:r>
        <w:t>7. Business Candidate ve Doğrulama Protokolü</w:t>
      </w:r>
    </w:p>
    <w:p>
      <w:pPr>
        <w:spacing w:after="100"/>
      </w:pPr>
      <w:r>
        <w:t>Yeni ürün geliştirmelerinin tamamı Conversation Reality ile Business Reality arasındaki sınırı korumalıdır.</w:t>
      </w:r>
    </w:p>
    <w:p>
      <w:pPr>
        <w:pStyle w:val="Heading2"/>
      </w:pPr>
      <w:r>
        <w:t>7.1 Candidate Lifecycle</w:t>
      </w:r>
    </w:p>
    <w:p>
      <w:pPr>
        <w:pStyle w:val="ListNumber"/>
        <w:spacing w:after="40"/>
      </w:pPr>
      <w:r>
        <w:t>Bilgi sohbet, ses, form, belge, entegrasyon veya sistem olayı üzerinden gelir.</w:t>
      </w:r>
    </w:p>
    <w:p>
      <w:pPr>
        <w:pStyle w:val="ListNumber"/>
        <w:spacing w:after="40"/>
      </w:pPr>
      <w:r>
        <w:t>Kaynak normalize edilir ve entity/domain eşleştirmesi yapılır.</w:t>
      </w:r>
    </w:p>
    <w:p>
      <w:pPr>
        <w:pStyle w:val="ListNumber"/>
        <w:spacing w:after="40"/>
      </w:pPr>
      <w:r>
        <w:t>Doğrudan canonical kayıt oluşturmak yerine Business Candidate üretilir.</w:t>
      </w:r>
    </w:p>
    <w:p>
      <w:pPr>
        <w:pStyle w:val="ListNumber"/>
        <w:spacing w:after="40"/>
      </w:pPr>
      <w:r>
        <w:t>Güven seviyesi, provenance ve çelişki kontrolü uygulanır.</w:t>
      </w:r>
    </w:p>
    <w:p>
      <w:pPr>
        <w:pStyle w:val="ListNumber"/>
        <w:spacing w:after="40"/>
      </w:pPr>
      <w:r>
        <w:t>Risk ve veri türüne göre kullanıcı onayı veya otomatik doğrulama politikası işletilir.</w:t>
      </w:r>
    </w:p>
    <w:p>
      <w:pPr>
        <w:pStyle w:val="ListNumber"/>
        <w:spacing w:after="40"/>
      </w:pPr>
      <w:r>
        <w:t>Domain service canonical kaydı oluşturur veya günceller.</w:t>
      </w:r>
    </w:p>
    <w:p>
      <w:pPr>
        <w:pStyle w:val="ListNumber"/>
        <w:spacing w:after="40"/>
      </w:pPr>
      <w:r>
        <w:t>Domain event yayımlanır.</w:t>
      </w:r>
    </w:p>
    <w:p>
      <w:pPr>
        <w:pStyle w:val="ListNumber"/>
        <w:spacing w:after="40"/>
      </w:pPr>
      <w:r>
        <w:t>Executive Brain yeni gerçekliği sonraki değerlendirmelerde kullanabilir.</w:t>
      </w:r>
    </w:p>
    <w:p>
      <w:pPr>
        <w:pStyle w:val="Heading2"/>
      </w:pPr>
      <w:r>
        <w:t>7.2 Otomatik Kayda İzin Verilebilecek Durumlar</w:t>
      </w:r>
    </w:p>
    <w:p>
      <w:pPr>
        <w:spacing w:after="100"/>
      </w:pPr>
      <w:r>
        <w:t>Otomatik kayıt yalnızca veri kaynağı güvenilir, eşleştirme kesin, işlem geri alınabilir ve yetki politikası açık olduğunda mümkündür. Riskli, mali, hukuki veya kimlik etkisi taşıyan değişiklikler açık kullanıcı onayı gerektirir.</w:t>
      </w:r>
    </w:p>
    <w:p>
      <w:pPr>
        <w:pStyle w:val="Heading1"/>
      </w:pPr>
      <w:r>
        <w:t>8. Belge, OCR ve Kamera Mimarisi</w:t>
      </w:r>
    </w:p>
    <w:p>
      <w:pPr>
        <w:spacing w:after="100"/>
      </w:pPr>
      <w:r>
        <w:t>OCR ayrı bir iş sistemi değildir. Document Domain’in ingestion yeteneğidir. Kamera, dosya yükleme, PDF, e-posta eki ve WhatsApp görseli aynı belge giriş sözleşmesine bağlanır.</w:t>
      </w:r>
    </w:p>
    <w:p>
      <w:pPr>
        <w:pStyle w:val="Heading2"/>
      </w:pPr>
      <w:r>
        <w:t>8.1 Belge İşleme Zinciri</w:t>
      </w:r>
    </w:p>
    <w:tbl>
      <w:tblPr>
        <w:tblW w:type="auto" w:w="0"/>
        <w:tblLook w:firstColumn="1" w:firstRow="1" w:lastColumn="0" w:lastRow="0" w:noHBand="0" w:noVBand="1" w:val="04A0"/>
      </w:tblPr>
      <w:tblGrid>
        <w:gridCol w:w="9746"/>
      </w:tblGrid>
      <w:tr>
        <w:tc>
          <w:tcPr>
            <w:tcW w:type="dxa" w:w="9746"/>
            <w:shd w:fill="F2F6F6"/>
            <w:tcMar>
              <w:top w:w="220" w:type="dxa"/>
              <w:start w:w="260" w:type="dxa"/>
              <w:bottom w:w="220" w:type="dxa"/>
              <w:end w:w="260" w:type="dxa"/>
            </w:tcMar>
          </w:tcPr>
          <w:p>
            <w:pPr>
              <w:jc w:val="center"/>
            </w:pPr>
            <w:r>
              <w:rPr>
                <w:b/>
              </w:rPr>
              <w:t>INGESTION → FILE IDENTITY → CLASSIFICATION → EXTRACTION → CANDIDATE MAPPING → VALIDATION → DOMAIN COMMIT → ARCHIVE &amp; PROVENANCE</w:t>
            </w:r>
          </w:p>
        </w:tc>
      </w:tr>
    </w:tbl>
    <w:p>
      <w:pPr>
        <w:pStyle w:val="Heading2"/>
      </w:pPr>
      <w:r>
        <w:t>8.2 Zorunlu Kurallar</w:t>
      </w:r>
    </w:p>
    <w:p>
      <w:pPr>
        <w:pStyle w:val="ListBullet"/>
        <w:spacing w:after="40"/>
      </w:pPr>
      <w:r>
        <w:t>OCR çıktısı Business Reality değildir.</w:t>
      </w:r>
    </w:p>
    <w:p>
      <w:pPr>
        <w:pStyle w:val="ListBullet"/>
        <w:spacing w:after="40"/>
      </w:pPr>
      <w:r>
        <w:t>Belge dosyası, extraction sonucu ve domain kaydı ayrı state türleridir.</w:t>
      </w:r>
    </w:p>
    <w:p>
      <w:pPr>
        <w:pStyle w:val="ListBullet"/>
        <w:spacing w:after="40"/>
      </w:pPr>
      <w:r>
        <w:t>Her extracted field kaynak sayfa/bölge ve güven skoru taşıyabilmelidir.</w:t>
      </w:r>
    </w:p>
    <w:p>
      <w:pPr>
        <w:pStyle w:val="ListBullet"/>
        <w:spacing w:after="40"/>
      </w:pPr>
      <w:r>
        <w:t>Duplicate detection belge kimliği ve business entity seviyesinde yapılmalıdır.</w:t>
      </w:r>
    </w:p>
    <w:p>
      <w:pPr>
        <w:pStyle w:val="ListBullet"/>
        <w:spacing w:after="40"/>
      </w:pPr>
      <w:r>
        <w:t>Belgeden oluşturulan kayıt kullanıcı tarafından izlenebilir ve geri alınabilir olmalıdır.</w:t>
      </w:r>
    </w:p>
    <w:p>
      <w:pPr>
        <w:pStyle w:val="ListBullet"/>
        <w:spacing w:after="40"/>
      </w:pPr>
      <w:r>
        <w:t>Corporate Document Generation Engine aynı Document Domain içinde, fakat extraction’dan ayrı sorumluluk olarak çalışmalıdır.</w:t>
      </w:r>
    </w:p>
    <w:p>
      <w:pPr>
        <w:pStyle w:val="Heading1"/>
      </w:pPr>
      <w:r>
        <w:t>9. İş Yönetimi ve Günlük Ritim</w:t>
      </w:r>
    </w:p>
    <w:p>
      <w:pPr>
        <w:spacing w:after="100"/>
      </w:pPr>
      <w:r>
        <w:t>Görev, takvim, hatırlatma ve bildirim aynı şey değildir. Hepsi Work Management Domain içindeki farklı sorumluluklardır.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701"/>
            <w:shd w:fill="153E42"/>
            <w:vAlign w:val="center"/>
            <w:tcMar>
              <w:top w:w="120" w:type="dxa"/>
              <w:start w:w="120" w:type="dxa"/>
              <w:bottom w:w="120" w:type="dxa"/>
              <w:end w:w="120" w:type="dxa"/>
            </w:tcMar>
          </w:tcPr>
          <w:p>
            <w:pPr>
              <w:jc w:val="center"/>
            </w:pPr>
            <w:r>
              <w:rPr>
                <w:b/>
                <w:color w:val="FFFFFF"/>
                <w:sz w:val="18"/>
              </w:rPr>
              <w:t>Kavram</w:t>
            </w:r>
          </w:p>
        </w:tc>
        <w:tc>
          <w:tcPr>
            <w:tcW w:type="dxa" w:w="4535"/>
            <w:shd w:fill="153E42"/>
            <w:vAlign w:val="center"/>
            <w:tcMar>
              <w:top w:w="120" w:type="dxa"/>
              <w:start w:w="120" w:type="dxa"/>
              <w:bottom w:w="120" w:type="dxa"/>
              <w:end w:w="120" w:type="dxa"/>
            </w:tcMar>
          </w:tcPr>
          <w:p>
            <w:pPr>
              <w:jc w:val="center"/>
            </w:pPr>
            <w:r>
              <w:rPr>
                <w:b/>
                <w:color w:val="FFFFFF"/>
                <w:sz w:val="18"/>
              </w:rPr>
              <w:t>Canonical Anlam</w:t>
            </w:r>
          </w:p>
        </w:tc>
        <w:tc>
          <w:tcPr>
            <w:tcW w:type="dxa" w:w="2551"/>
            <w:shd w:fill="153E42"/>
            <w:vAlign w:val="center"/>
            <w:tcMar>
              <w:top w:w="120" w:type="dxa"/>
              <w:start w:w="120" w:type="dxa"/>
              <w:bottom w:w="120" w:type="dxa"/>
              <w:end w:w="120" w:type="dxa"/>
            </w:tcMar>
          </w:tcPr>
          <w:p>
            <w:pPr>
              <w:jc w:val="center"/>
            </w:pPr>
            <w:r>
              <w:rPr>
                <w:b/>
                <w:color w:val="FFFFFF"/>
                <w:sz w:val="18"/>
              </w:rPr>
              <w:t>Sahip</w:t>
            </w:r>
          </w:p>
        </w:tc>
      </w:tr>
      <w:tr>
        <w:tc>
          <w:tcPr>
            <w:tcW w:type="dxa" w:w="1701"/>
            <w:vAlign w:val="top"/>
            <w:tcMar>
              <w:top w:w="120" w:type="dxa"/>
              <w:start w:w="120" w:type="dxa"/>
              <w:bottom w:w="120" w:type="dxa"/>
              <w:end w:w="120" w:type="dxa"/>
            </w:tcMar>
          </w:tcPr>
          <w:p>
            <w:r>
              <w:rPr>
                <w:sz w:val="18"/>
              </w:rPr>
              <w:t>Task</w:t>
            </w:r>
          </w:p>
        </w:tc>
        <w:tc>
          <w:tcPr>
            <w:tcW w:type="dxa" w:w="4535"/>
            <w:vAlign w:val="top"/>
            <w:tcMar>
              <w:top w:w="120" w:type="dxa"/>
              <w:start w:w="120" w:type="dxa"/>
              <w:bottom w:w="120" w:type="dxa"/>
              <w:end w:w="120" w:type="dxa"/>
            </w:tcMar>
          </w:tcPr>
          <w:p>
            <w:r>
              <w:rPr>
                <w:sz w:val="18"/>
              </w:rPr>
              <w:t>Yapılması gereken iş, owner, tarih, durum ve sonuç</w:t>
            </w:r>
          </w:p>
        </w:tc>
        <w:tc>
          <w:tcPr>
            <w:tcW w:type="dxa" w:w="2551"/>
            <w:vAlign w:val="top"/>
            <w:tcMar>
              <w:top w:w="120" w:type="dxa"/>
              <w:start w:w="120" w:type="dxa"/>
              <w:bottom w:w="120" w:type="dxa"/>
              <w:end w:w="120" w:type="dxa"/>
            </w:tcMar>
          </w:tcPr>
          <w:p>
            <w:r>
              <w:rPr>
                <w:sz w:val="18"/>
              </w:rPr>
              <w:t>Task Service</w:t>
            </w:r>
          </w:p>
        </w:tc>
      </w:tr>
      <w:tr>
        <w:tc>
          <w:tcPr>
            <w:tcW w:type="dxa" w:w="1701"/>
            <w:vAlign w:val="top"/>
            <w:tcMar>
              <w:top w:w="120" w:type="dxa"/>
              <w:start w:w="120" w:type="dxa"/>
              <w:bottom w:w="120" w:type="dxa"/>
              <w:end w:w="120" w:type="dxa"/>
            </w:tcMar>
            <w:shd w:fill="F2F6F6"/>
          </w:tcPr>
          <w:p>
            <w:r>
              <w:rPr>
                <w:sz w:val="18"/>
              </w:rPr>
              <w:t>Calendar Event</w:t>
            </w:r>
          </w:p>
        </w:tc>
        <w:tc>
          <w:tcPr>
            <w:tcW w:type="dxa" w:w="4535"/>
            <w:vAlign w:val="top"/>
            <w:tcMar>
              <w:top w:w="120" w:type="dxa"/>
              <w:start w:w="120" w:type="dxa"/>
              <w:bottom w:w="120" w:type="dxa"/>
              <w:end w:w="120" w:type="dxa"/>
            </w:tcMar>
            <w:shd w:fill="F2F6F6"/>
          </w:tcPr>
          <w:p>
            <w:r>
              <w:rPr>
                <w:sz w:val="18"/>
              </w:rPr>
              <w:t>Belirli zaman aralığında gerçekleşecek olay</w:t>
            </w:r>
          </w:p>
        </w:tc>
        <w:tc>
          <w:tcPr>
            <w:tcW w:type="dxa" w:w="2551"/>
            <w:vAlign w:val="top"/>
            <w:tcMar>
              <w:top w:w="120" w:type="dxa"/>
              <w:start w:w="120" w:type="dxa"/>
              <w:bottom w:w="120" w:type="dxa"/>
              <w:end w:w="120" w:type="dxa"/>
            </w:tcMar>
            <w:shd w:fill="F2F6F6"/>
          </w:tcPr>
          <w:p>
            <w:r>
              <w:rPr>
                <w:sz w:val="18"/>
              </w:rPr>
              <w:t>Calendar Service</w:t>
            </w:r>
          </w:p>
        </w:tc>
      </w:tr>
      <w:tr>
        <w:tc>
          <w:tcPr>
            <w:tcW w:type="dxa" w:w="1701"/>
            <w:vAlign w:val="top"/>
            <w:tcMar>
              <w:top w:w="120" w:type="dxa"/>
              <w:start w:w="120" w:type="dxa"/>
              <w:bottom w:w="120" w:type="dxa"/>
              <w:end w:w="120" w:type="dxa"/>
            </w:tcMar>
          </w:tcPr>
          <w:p>
            <w:r>
              <w:rPr>
                <w:sz w:val="18"/>
              </w:rPr>
              <w:t>Reminder</w:t>
            </w:r>
          </w:p>
        </w:tc>
        <w:tc>
          <w:tcPr>
            <w:tcW w:type="dxa" w:w="4535"/>
            <w:vAlign w:val="top"/>
            <w:tcMar>
              <w:top w:w="120" w:type="dxa"/>
              <w:start w:w="120" w:type="dxa"/>
              <w:bottom w:w="120" w:type="dxa"/>
              <w:end w:w="120" w:type="dxa"/>
            </w:tcMar>
          </w:tcPr>
          <w:p>
            <w:r>
              <w:rPr>
                <w:sz w:val="18"/>
              </w:rPr>
              <w:t>Bir task veya event için kullanıcıya zamanlı uyarı</w:t>
            </w:r>
          </w:p>
        </w:tc>
        <w:tc>
          <w:tcPr>
            <w:tcW w:type="dxa" w:w="2551"/>
            <w:vAlign w:val="top"/>
            <w:tcMar>
              <w:top w:w="120" w:type="dxa"/>
              <w:start w:w="120" w:type="dxa"/>
              <w:bottom w:w="120" w:type="dxa"/>
              <w:end w:w="120" w:type="dxa"/>
            </w:tcMar>
          </w:tcPr>
          <w:p>
            <w:r>
              <w:rPr>
                <w:sz w:val="18"/>
              </w:rPr>
              <w:t>Reminder Service</w:t>
            </w:r>
          </w:p>
        </w:tc>
      </w:tr>
      <w:tr>
        <w:tc>
          <w:tcPr>
            <w:tcW w:type="dxa" w:w="1701"/>
            <w:vAlign w:val="top"/>
            <w:tcMar>
              <w:top w:w="120" w:type="dxa"/>
              <w:start w:w="120" w:type="dxa"/>
              <w:bottom w:w="120" w:type="dxa"/>
              <w:end w:w="120" w:type="dxa"/>
            </w:tcMar>
            <w:shd w:fill="F2F6F6"/>
          </w:tcPr>
          <w:p>
            <w:r>
              <w:rPr>
                <w:sz w:val="18"/>
              </w:rPr>
              <w:t>Notification</w:t>
            </w:r>
          </w:p>
        </w:tc>
        <w:tc>
          <w:tcPr>
            <w:tcW w:type="dxa" w:w="4535"/>
            <w:vAlign w:val="top"/>
            <w:tcMar>
              <w:top w:w="120" w:type="dxa"/>
              <w:start w:w="120" w:type="dxa"/>
              <w:bottom w:w="120" w:type="dxa"/>
              <w:end w:w="120" w:type="dxa"/>
            </w:tcMar>
            <w:shd w:fill="F2F6F6"/>
          </w:tcPr>
          <w:p>
            <w:r>
              <w:rPr>
                <w:sz w:val="18"/>
              </w:rPr>
              <w:t>Bir domain olayı veya yönetim önceliğinin kullanıcıya sunumu</w:t>
            </w:r>
          </w:p>
        </w:tc>
        <w:tc>
          <w:tcPr>
            <w:tcW w:type="dxa" w:w="2551"/>
            <w:vAlign w:val="top"/>
            <w:tcMar>
              <w:top w:w="120" w:type="dxa"/>
              <w:start w:w="120" w:type="dxa"/>
              <w:bottom w:w="120" w:type="dxa"/>
              <w:end w:w="120" w:type="dxa"/>
            </w:tcMar>
            <w:shd w:fill="F2F6F6"/>
          </w:tcPr>
          <w:p>
            <w:r>
              <w:rPr>
                <w:sz w:val="18"/>
              </w:rPr>
              <w:t>Notification Delivery</w:t>
            </w:r>
          </w:p>
        </w:tc>
      </w:tr>
      <w:tr>
        <w:tc>
          <w:tcPr>
            <w:tcW w:type="dxa" w:w="1701"/>
            <w:vAlign w:val="top"/>
            <w:tcMar>
              <w:top w:w="120" w:type="dxa"/>
              <w:start w:w="120" w:type="dxa"/>
              <w:bottom w:w="120" w:type="dxa"/>
              <w:end w:w="120" w:type="dxa"/>
            </w:tcMar>
          </w:tcPr>
          <w:p>
            <w:r>
              <w:rPr>
                <w:sz w:val="18"/>
              </w:rPr>
              <w:t>Daily Rhythm</w:t>
            </w:r>
          </w:p>
        </w:tc>
        <w:tc>
          <w:tcPr>
            <w:tcW w:type="dxa" w:w="4535"/>
            <w:vAlign w:val="top"/>
            <w:tcMar>
              <w:top w:w="120" w:type="dxa"/>
              <w:start w:w="120" w:type="dxa"/>
              <w:bottom w:w="120" w:type="dxa"/>
              <w:end w:w="120" w:type="dxa"/>
            </w:tcMar>
          </w:tcPr>
          <w:p>
            <w:r>
              <w:rPr>
                <w:sz w:val="18"/>
              </w:rPr>
              <w:t>Günün yönetim bağlamı ve öncelik düzeni</w:t>
            </w:r>
          </w:p>
        </w:tc>
        <w:tc>
          <w:tcPr>
            <w:tcW w:type="dxa" w:w="2551"/>
            <w:vAlign w:val="top"/>
            <w:tcMar>
              <w:top w:w="120" w:type="dxa"/>
              <w:start w:w="120" w:type="dxa"/>
              <w:bottom w:w="120" w:type="dxa"/>
              <w:end w:w="120" w:type="dxa"/>
            </w:tcMar>
          </w:tcPr>
          <w:p>
            <w:r>
              <w:rPr>
                <w:sz w:val="18"/>
              </w:rPr>
              <w:t>Executive Workspace + Work Management verileri</w:t>
            </w:r>
          </w:p>
        </w:tc>
      </w:tr>
    </w:tbl>
    <w:p>
      <w:pPr>
        <w:spacing w:after="40"/>
      </w:pPr>
    </w:p>
    <w:p>
      <w:pPr>
        <w:pStyle w:val="Heading2"/>
      </w:pPr>
      <w:r>
        <w:t>9.1 Apple Calendar ve Apple Reminders</w:t>
      </w:r>
    </w:p>
    <w:p>
      <w:pPr>
        <w:spacing w:after="100"/>
      </w:pPr>
      <w:r>
        <w:t>Apple entegrasyonları canonical owner değildir. METRIX içindeki görev ve takvim gerçekliğinin dış sistem adaptörleridir. Senkronizasyon çift yönlü olabilir; ancak çakışma politikası, external id, sync status ve source-of-truth alanları açık tanımlanmalıdır.</w:t>
      </w:r>
    </w:p>
    <w:p>
      <w:pPr>
        <w:pStyle w:val="Heading1"/>
      </w:pPr>
      <w:r>
        <w:t>10. Executive Workspace</w:t>
      </w:r>
    </w:p>
    <w:p>
      <w:pPr>
        <w:spacing w:after="100"/>
      </w:pPr>
      <w:r>
        <w:t>METRIX’in ana çalışma alanı klasik dashboard olmayacaktır. Executive Workspace, şirketin o anda yönetilmesi gereken gerçeklerini önceliklendiren yaşayan çalışma masasıdır.</w:t>
      </w:r>
    </w:p>
    <w:p>
      <w:pPr>
        <w:pStyle w:val="Heading2"/>
      </w:pPr>
      <w:r>
        <w:t>10.1 Workspace’in Görevi</w:t>
      </w:r>
    </w:p>
    <w:p>
      <w:pPr>
        <w:pStyle w:val="ListBullet"/>
        <w:spacing w:after="40"/>
      </w:pPr>
      <w:r>
        <w:t>En önemli risk, fırsat ve karar ihtiyaçlarını göstermek</w:t>
      </w:r>
    </w:p>
    <w:p>
      <w:pPr>
        <w:pStyle w:val="ListBullet"/>
        <w:spacing w:after="40"/>
      </w:pPr>
      <w:r>
        <w:t>Bugünün işlerini ve yönetim ritmini oluşturmak</w:t>
      </w:r>
    </w:p>
    <w:p>
      <w:pPr>
        <w:pStyle w:val="ListBullet"/>
        <w:spacing w:after="40"/>
      </w:pPr>
      <w:r>
        <w:t>Bekleyen onayları ve Business Candidate’ları görünür kılmak</w:t>
      </w:r>
    </w:p>
    <w:p>
      <w:pPr>
        <w:pStyle w:val="ListBullet"/>
        <w:spacing w:after="40"/>
      </w:pPr>
      <w:r>
        <w:t>Müşteri, teklif, tahsilat, belge ve görev akışlarını tek yönetim bağlamında birleştirmek</w:t>
      </w:r>
    </w:p>
    <w:p>
      <w:pPr>
        <w:pStyle w:val="ListBullet"/>
        <w:spacing w:after="40"/>
      </w:pPr>
      <w:r>
        <w:t>Executive Brain değerlendirmesini veriyle kanıtlanmış, aksiyona dönük biçimde sunmak</w:t>
      </w:r>
    </w:p>
    <w:p>
      <w:pPr>
        <w:pStyle w:val="ListBullet"/>
        <w:spacing w:after="40"/>
      </w:pPr>
      <w:r>
        <w:t>Kullanıcıyı ekranlar arasında dolaştırmak yerine doğru işi doğru anda başlatmak</w:t>
      </w:r>
    </w:p>
    <w:p>
      <w:pPr>
        <w:pStyle w:val="Heading2"/>
      </w:pPr>
      <w:r>
        <w:t>10.2 Dashboard’dan Farkı</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4252"/>
            <w:shd w:fill="153E42"/>
            <w:vAlign w:val="center"/>
            <w:tcMar>
              <w:top w:w="120" w:type="dxa"/>
              <w:start w:w="120" w:type="dxa"/>
              <w:bottom w:w="120" w:type="dxa"/>
              <w:end w:w="120" w:type="dxa"/>
            </w:tcMar>
          </w:tcPr>
          <w:p>
            <w:pPr>
              <w:jc w:val="center"/>
            </w:pPr>
            <w:r>
              <w:rPr>
                <w:b/>
                <w:color w:val="FFFFFF"/>
                <w:sz w:val="18"/>
              </w:rPr>
              <w:t>Dashboard</w:t>
            </w:r>
          </w:p>
        </w:tc>
        <w:tc>
          <w:tcPr>
            <w:tcW w:type="dxa" w:w="4252"/>
            <w:shd w:fill="153E42"/>
            <w:vAlign w:val="center"/>
            <w:tcMar>
              <w:top w:w="120" w:type="dxa"/>
              <w:start w:w="120" w:type="dxa"/>
              <w:bottom w:w="120" w:type="dxa"/>
              <w:end w:w="120" w:type="dxa"/>
            </w:tcMar>
          </w:tcPr>
          <w:p>
            <w:pPr>
              <w:jc w:val="center"/>
            </w:pPr>
            <w:r>
              <w:rPr>
                <w:b/>
                <w:color w:val="FFFFFF"/>
                <w:sz w:val="18"/>
              </w:rPr>
              <w:t>Executive Workspace</w:t>
            </w:r>
          </w:p>
        </w:tc>
      </w:tr>
      <w:tr>
        <w:tc>
          <w:tcPr>
            <w:tcW w:type="dxa" w:w="4252"/>
            <w:vAlign w:val="top"/>
            <w:tcMar>
              <w:top w:w="120" w:type="dxa"/>
              <w:start w:w="120" w:type="dxa"/>
              <w:bottom w:w="120" w:type="dxa"/>
              <w:end w:w="120" w:type="dxa"/>
            </w:tcMar>
          </w:tcPr>
          <w:p>
            <w:r>
              <w:rPr>
                <w:sz w:val="18"/>
              </w:rPr>
              <w:t>Geçmiş veriyi gösterir</w:t>
            </w:r>
          </w:p>
        </w:tc>
        <w:tc>
          <w:tcPr>
            <w:tcW w:type="dxa" w:w="4252"/>
            <w:vAlign w:val="top"/>
            <w:tcMar>
              <w:top w:w="120" w:type="dxa"/>
              <w:start w:w="120" w:type="dxa"/>
              <w:bottom w:w="120" w:type="dxa"/>
              <w:end w:w="120" w:type="dxa"/>
            </w:tcMar>
          </w:tcPr>
          <w:p>
            <w:r>
              <w:rPr>
                <w:sz w:val="18"/>
              </w:rPr>
              <w:t>Mevcut yönetim ihtiyacını önceliklendirir</w:t>
            </w:r>
          </w:p>
        </w:tc>
      </w:tr>
      <w:tr>
        <w:tc>
          <w:tcPr>
            <w:tcW w:type="dxa" w:w="4252"/>
            <w:vAlign w:val="top"/>
            <w:tcMar>
              <w:top w:w="120" w:type="dxa"/>
              <w:start w:w="120" w:type="dxa"/>
              <w:bottom w:w="120" w:type="dxa"/>
              <w:end w:w="120" w:type="dxa"/>
            </w:tcMar>
            <w:shd w:fill="F2F6F6"/>
          </w:tcPr>
          <w:p>
            <w:r>
              <w:rPr>
                <w:sz w:val="18"/>
              </w:rPr>
              <w:t>Grafik merkezlidir</w:t>
            </w:r>
          </w:p>
        </w:tc>
        <w:tc>
          <w:tcPr>
            <w:tcW w:type="dxa" w:w="4252"/>
            <w:vAlign w:val="top"/>
            <w:tcMar>
              <w:top w:w="120" w:type="dxa"/>
              <w:start w:w="120" w:type="dxa"/>
              <w:bottom w:w="120" w:type="dxa"/>
              <w:end w:w="120" w:type="dxa"/>
            </w:tcMar>
            <w:shd w:fill="F2F6F6"/>
          </w:tcPr>
          <w:p>
            <w:r>
              <w:rPr>
                <w:sz w:val="18"/>
              </w:rPr>
              <w:t>Karar ve aksiyon merkezlidir</w:t>
            </w:r>
          </w:p>
        </w:tc>
      </w:tr>
      <w:tr>
        <w:tc>
          <w:tcPr>
            <w:tcW w:type="dxa" w:w="4252"/>
            <w:vAlign w:val="top"/>
            <w:tcMar>
              <w:top w:w="120" w:type="dxa"/>
              <w:start w:w="120" w:type="dxa"/>
              <w:bottom w:w="120" w:type="dxa"/>
              <w:end w:w="120" w:type="dxa"/>
            </w:tcMar>
          </w:tcPr>
          <w:p>
            <w:r>
              <w:rPr>
                <w:sz w:val="18"/>
              </w:rPr>
              <w:t>Kullanıcı yorumlar</w:t>
            </w:r>
          </w:p>
        </w:tc>
        <w:tc>
          <w:tcPr>
            <w:tcW w:type="dxa" w:w="4252"/>
            <w:vAlign w:val="top"/>
            <w:tcMar>
              <w:top w:w="120" w:type="dxa"/>
              <w:start w:w="120" w:type="dxa"/>
              <w:bottom w:w="120" w:type="dxa"/>
              <w:end w:w="120" w:type="dxa"/>
            </w:tcMar>
          </w:tcPr>
          <w:p>
            <w:r>
              <w:rPr>
                <w:sz w:val="18"/>
              </w:rPr>
              <w:t>METRIX kanıtla anlamlandırır</w:t>
            </w:r>
          </w:p>
        </w:tc>
      </w:tr>
      <w:tr>
        <w:tc>
          <w:tcPr>
            <w:tcW w:type="dxa" w:w="4252"/>
            <w:vAlign w:val="top"/>
            <w:tcMar>
              <w:top w:w="120" w:type="dxa"/>
              <w:start w:w="120" w:type="dxa"/>
              <w:bottom w:w="120" w:type="dxa"/>
              <w:end w:w="120" w:type="dxa"/>
            </w:tcMar>
            <w:shd w:fill="F2F6F6"/>
          </w:tcPr>
          <w:p>
            <w:r>
              <w:rPr>
                <w:sz w:val="18"/>
              </w:rPr>
              <w:t>Modül bazlıdır</w:t>
            </w:r>
          </w:p>
        </w:tc>
        <w:tc>
          <w:tcPr>
            <w:tcW w:type="dxa" w:w="4252"/>
            <w:vAlign w:val="top"/>
            <w:tcMar>
              <w:top w:w="120" w:type="dxa"/>
              <w:start w:w="120" w:type="dxa"/>
              <w:bottom w:w="120" w:type="dxa"/>
              <w:end w:w="120" w:type="dxa"/>
            </w:tcMar>
            <w:shd w:fill="F2F6F6"/>
          </w:tcPr>
          <w:p>
            <w:r>
              <w:rPr>
                <w:sz w:val="18"/>
              </w:rPr>
              <w:t>Şirketin bütününü birleştirir</w:t>
            </w:r>
          </w:p>
        </w:tc>
      </w:tr>
      <w:tr>
        <w:tc>
          <w:tcPr>
            <w:tcW w:type="dxa" w:w="4252"/>
            <w:vAlign w:val="top"/>
            <w:tcMar>
              <w:top w:w="120" w:type="dxa"/>
              <w:start w:w="120" w:type="dxa"/>
              <w:bottom w:w="120" w:type="dxa"/>
              <w:end w:w="120" w:type="dxa"/>
            </w:tcMar>
          </w:tcPr>
          <w:p>
            <w:r>
              <w:rPr>
                <w:sz w:val="18"/>
              </w:rPr>
              <w:t>Pasif izleme yüzeyidir</w:t>
            </w:r>
          </w:p>
        </w:tc>
        <w:tc>
          <w:tcPr>
            <w:tcW w:type="dxa" w:w="4252"/>
            <w:vAlign w:val="top"/>
            <w:tcMar>
              <w:top w:w="120" w:type="dxa"/>
              <w:start w:w="120" w:type="dxa"/>
              <w:bottom w:w="120" w:type="dxa"/>
              <w:end w:w="120" w:type="dxa"/>
            </w:tcMar>
          </w:tcPr>
          <w:p>
            <w:r>
              <w:rPr>
                <w:sz w:val="18"/>
              </w:rPr>
              <w:t>Aktif çalışma ve takip yüzeyidir</w:t>
            </w:r>
          </w:p>
        </w:tc>
      </w:tr>
    </w:tbl>
    <w:p>
      <w:pPr>
        <w:spacing w:after="40"/>
      </w:pPr>
    </w:p>
    <w:p>
      <w:pPr>
        <w:pStyle w:val="Heading1"/>
      </w:pPr>
      <w:r>
        <w:t>11. Event-Driven Yönetim Döngüsü</w:t>
      </w:r>
    </w:p>
    <w:p>
      <w:pPr>
        <w:spacing w:after="100"/>
      </w:pPr>
      <w:r>
        <w:t>Modüller birbirini doğrudan ve kontrolsüz çağırmamalıdır. Domain state değişiklikleri anlamlı domain event’leri üretir. Bu olaylar takip, bildirim, rapor ve yeni yönetim değerlendirmelerini tetikleyebilir.</w:t>
      </w:r>
    </w:p>
    <w:p>
      <w:pPr>
        <w:pStyle w:val="Heading2"/>
      </w:pPr>
      <w:r>
        <w:t>11.1 Örnek Domain Event’leri</w:t>
      </w:r>
    </w:p>
    <w:p>
      <w:pPr>
        <w:pStyle w:val="ListBullet"/>
        <w:spacing w:after="40"/>
      </w:pPr>
      <w:r>
        <w:t>CustomerCreated</w:t>
      </w:r>
    </w:p>
    <w:p>
      <w:pPr>
        <w:pStyle w:val="ListBullet"/>
        <w:spacing w:after="40"/>
      </w:pPr>
      <w:r>
        <w:t>CustomerRiskChanged</w:t>
      </w:r>
    </w:p>
    <w:p>
      <w:pPr>
        <w:pStyle w:val="ListBullet"/>
        <w:spacing w:after="40"/>
      </w:pPr>
      <w:r>
        <w:t>QuoteSent</w:t>
      </w:r>
    </w:p>
    <w:p>
      <w:pPr>
        <w:pStyle w:val="ListBullet"/>
        <w:spacing w:after="40"/>
      </w:pPr>
      <w:r>
        <w:t>QuoteAccepted</w:t>
      </w:r>
    </w:p>
    <w:p>
      <w:pPr>
        <w:pStyle w:val="ListBullet"/>
        <w:spacing w:after="40"/>
      </w:pPr>
      <w:r>
        <w:t>PaymentOverdue</w:t>
      </w:r>
    </w:p>
    <w:p>
      <w:pPr>
        <w:pStyle w:val="ListBullet"/>
        <w:spacing w:after="40"/>
      </w:pPr>
      <w:r>
        <w:t>DocumentVerified</w:t>
      </w:r>
    </w:p>
    <w:p>
      <w:pPr>
        <w:pStyle w:val="ListBullet"/>
        <w:spacing w:after="40"/>
      </w:pPr>
      <w:r>
        <w:t>TaskCompleted</w:t>
      </w:r>
    </w:p>
    <w:p>
      <w:pPr>
        <w:pStyle w:val="ListBullet"/>
        <w:spacing w:after="40"/>
      </w:pPr>
      <w:r>
        <w:t>CalendarConflictDetected</w:t>
      </w:r>
    </w:p>
    <w:p>
      <w:pPr>
        <w:pStyle w:val="ListBullet"/>
        <w:spacing w:after="40"/>
      </w:pPr>
      <w:r>
        <w:t>BusinessCandidateAwaitingApproval</w:t>
      </w:r>
    </w:p>
    <w:p>
      <w:pPr>
        <w:pStyle w:val="Heading2"/>
      </w:pPr>
      <w:r>
        <w:t>11.2 Event Kuralları</w:t>
      </w:r>
    </w:p>
    <w:p>
      <w:pPr>
        <w:pStyle w:val="ListBullet"/>
        <w:spacing w:after="40"/>
      </w:pPr>
      <w:r>
        <w:t>Event kanaat değil, gerçekleşmiş state değişikliğidir.</w:t>
      </w:r>
    </w:p>
    <w:p>
      <w:pPr>
        <w:pStyle w:val="ListBullet"/>
        <w:spacing w:after="40"/>
      </w:pPr>
      <w:r>
        <w:t>Event immutable olmalı ve source record taşımalıdır.</w:t>
      </w:r>
    </w:p>
    <w:p>
      <w:pPr>
        <w:pStyle w:val="ListBullet"/>
        <w:spacing w:after="40"/>
      </w:pPr>
      <w:r>
        <w:t>Aynı event birden fazla consumer tarafından kullanılabilir; fakat canonical state’i yeniden sahiplenemez.</w:t>
      </w:r>
    </w:p>
    <w:p>
      <w:pPr>
        <w:pStyle w:val="ListBullet"/>
        <w:spacing w:after="40"/>
      </w:pPr>
      <w:r>
        <w:t>Telemetry yönetim kanıtı değildir.</w:t>
      </w:r>
    </w:p>
    <w:p>
      <w:pPr>
        <w:pStyle w:val="ListBullet"/>
        <w:spacing w:after="40"/>
      </w:pPr>
      <w:r>
        <w:t>AI response event olarak Business Reality’ye geri beslenemez.</w:t>
      </w:r>
    </w:p>
    <w:p>
      <w:pPr>
        <w:pStyle w:val="Heading1"/>
      </w:pPr>
      <w:r>
        <w:t>12. Yetki ve Onay Modeli</w:t>
      </w:r>
    </w:p>
    <w:p>
      <w:pPr>
        <w:spacing w:after="100"/>
      </w:pPr>
      <w:r>
        <w:t>METRIX geniş operasyonel yetkiye sahip olabilir; ancak yetki her domain için açık policy ile uygulanır.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fill="153E42"/>
            <w:vAlign w:val="center"/>
            <w:tcMar>
              <w:top w:w="120" w:type="dxa"/>
              <w:start w:w="120" w:type="dxa"/>
              <w:bottom w:w="120" w:type="dxa"/>
              <w:end w:w="120" w:type="dxa"/>
            </w:tcMar>
          </w:tcPr>
          <w:p>
            <w:pPr>
              <w:jc w:val="center"/>
            </w:pPr>
            <w:r>
              <w:rPr>
                <w:b/>
                <w:color w:val="FFFFFF"/>
                <w:sz w:val="18"/>
              </w:rPr>
              <w:t>İşlem Sınıfı</w:t>
            </w:r>
          </w:p>
        </w:tc>
        <w:tc>
          <w:tcPr>
            <w:tcW w:type="dxa" w:w="3685"/>
            <w:shd w:fill="153E42"/>
            <w:vAlign w:val="center"/>
            <w:tcMar>
              <w:top w:w="120" w:type="dxa"/>
              <w:start w:w="120" w:type="dxa"/>
              <w:bottom w:w="120" w:type="dxa"/>
              <w:end w:w="120" w:type="dxa"/>
            </w:tcMar>
          </w:tcPr>
          <w:p>
            <w:pPr>
              <w:jc w:val="center"/>
            </w:pPr>
            <w:r>
              <w:rPr>
                <w:b/>
                <w:color w:val="FFFFFF"/>
                <w:sz w:val="18"/>
              </w:rPr>
              <w:t>Örnek</w:t>
            </w:r>
          </w:p>
        </w:tc>
        <w:tc>
          <w:tcPr>
            <w:tcW w:type="dxa" w:w="2835"/>
            <w:shd w:fill="153E42"/>
            <w:vAlign w:val="center"/>
            <w:tcMar>
              <w:top w:w="120" w:type="dxa"/>
              <w:start w:w="120" w:type="dxa"/>
              <w:bottom w:w="120" w:type="dxa"/>
              <w:end w:w="120" w:type="dxa"/>
            </w:tcMar>
          </w:tcPr>
          <w:p>
            <w:pPr>
              <w:jc w:val="center"/>
            </w:pPr>
            <w:r>
              <w:rPr>
                <w:b/>
                <w:color w:val="FFFFFF"/>
                <w:sz w:val="18"/>
              </w:rPr>
              <w:t>Onay Politikası</w:t>
            </w:r>
          </w:p>
        </w:tc>
      </w:tr>
      <w:tr>
        <w:tc>
          <w:tcPr>
            <w:tcW w:type="dxa" w:w="2268"/>
            <w:vAlign w:val="top"/>
            <w:tcMar>
              <w:top w:w="120" w:type="dxa"/>
              <w:start w:w="120" w:type="dxa"/>
              <w:bottom w:w="120" w:type="dxa"/>
              <w:end w:w="120" w:type="dxa"/>
            </w:tcMar>
          </w:tcPr>
          <w:p>
            <w:r>
              <w:rPr>
                <w:sz w:val="18"/>
              </w:rPr>
              <w:t>Düşük risk / geri alınabilir</w:t>
            </w:r>
          </w:p>
        </w:tc>
        <w:tc>
          <w:tcPr>
            <w:tcW w:type="dxa" w:w="3685"/>
            <w:vAlign w:val="top"/>
            <w:tcMar>
              <w:top w:w="120" w:type="dxa"/>
              <w:start w:w="120" w:type="dxa"/>
              <w:bottom w:w="120" w:type="dxa"/>
              <w:end w:w="120" w:type="dxa"/>
            </w:tcMar>
          </w:tcPr>
          <w:p>
            <w:r>
              <w:rPr>
                <w:sz w:val="18"/>
              </w:rPr>
              <w:t>Taslak görev oluşturma, filtre uygulama</w:t>
            </w:r>
          </w:p>
        </w:tc>
        <w:tc>
          <w:tcPr>
            <w:tcW w:type="dxa" w:w="2835"/>
            <w:vAlign w:val="top"/>
            <w:tcMar>
              <w:top w:w="120" w:type="dxa"/>
              <w:start w:w="120" w:type="dxa"/>
              <w:bottom w:w="120" w:type="dxa"/>
              <w:end w:w="120" w:type="dxa"/>
            </w:tcMar>
          </w:tcPr>
          <w:p>
            <w:r>
              <w:rPr>
                <w:sz w:val="18"/>
              </w:rPr>
              <w:t>Açık onay gerekmeyebilir</w:t>
            </w:r>
          </w:p>
        </w:tc>
      </w:tr>
      <w:tr>
        <w:tc>
          <w:tcPr>
            <w:tcW w:type="dxa" w:w="2268"/>
            <w:vAlign w:val="top"/>
            <w:tcMar>
              <w:top w:w="120" w:type="dxa"/>
              <w:start w:w="120" w:type="dxa"/>
              <w:bottom w:w="120" w:type="dxa"/>
              <w:end w:w="120" w:type="dxa"/>
            </w:tcMar>
            <w:shd w:fill="F2F6F6"/>
          </w:tcPr>
          <w:p>
            <w:r>
              <w:rPr>
                <w:sz w:val="18"/>
              </w:rPr>
              <w:t>Orta risk / business state değişikliği</w:t>
            </w:r>
          </w:p>
        </w:tc>
        <w:tc>
          <w:tcPr>
            <w:tcW w:type="dxa" w:w="3685"/>
            <w:vAlign w:val="top"/>
            <w:tcMar>
              <w:top w:w="120" w:type="dxa"/>
              <w:start w:w="120" w:type="dxa"/>
              <w:bottom w:w="120" w:type="dxa"/>
              <w:end w:w="120" w:type="dxa"/>
            </w:tcMar>
            <w:shd w:fill="F2F6F6"/>
          </w:tcPr>
          <w:p>
            <w:r>
              <w:rPr>
                <w:sz w:val="18"/>
              </w:rPr>
              <w:t>Müşteri bilgisini güncelleme, teklif taslağını kaydetme</w:t>
            </w:r>
          </w:p>
        </w:tc>
        <w:tc>
          <w:tcPr>
            <w:tcW w:type="dxa" w:w="2835"/>
            <w:vAlign w:val="top"/>
            <w:tcMar>
              <w:top w:w="120" w:type="dxa"/>
              <w:start w:w="120" w:type="dxa"/>
              <w:bottom w:w="120" w:type="dxa"/>
              <w:end w:w="120" w:type="dxa"/>
            </w:tcMar>
            <w:shd w:fill="F2F6F6"/>
          </w:tcPr>
          <w:p>
            <w:r>
              <w:rPr>
                <w:sz w:val="18"/>
              </w:rPr>
              <w:t>Bağlama ve güven seviyesine göre kısa onay</w:t>
            </w:r>
          </w:p>
        </w:tc>
      </w:tr>
      <w:tr>
        <w:tc>
          <w:tcPr>
            <w:tcW w:type="dxa" w:w="2268"/>
            <w:vAlign w:val="top"/>
            <w:tcMar>
              <w:top w:w="120" w:type="dxa"/>
              <w:start w:w="120" w:type="dxa"/>
              <w:bottom w:w="120" w:type="dxa"/>
              <w:end w:w="120" w:type="dxa"/>
            </w:tcMar>
          </w:tcPr>
          <w:p>
            <w:r>
              <w:rPr>
                <w:sz w:val="18"/>
              </w:rPr>
              <w:t>Yüksek risk / mali-hukuki etki</w:t>
            </w:r>
          </w:p>
        </w:tc>
        <w:tc>
          <w:tcPr>
            <w:tcW w:type="dxa" w:w="3685"/>
            <w:vAlign w:val="top"/>
            <w:tcMar>
              <w:top w:w="120" w:type="dxa"/>
              <w:start w:w="120" w:type="dxa"/>
              <w:bottom w:w="120" w:type="dxa"/>
              <w:end w:w="120" w:type="dxa"/>
            </w:tcMar>
          </w:tcPr>
          <w:p>
            <w:r>
              <w:rPr>
                <w:sz w:val="18"/>
              </w:rPr>
              <w:t>Teklif gönderme, ödeme kaydı, kayıt silme</w:t>
            </w:r>
          </w:p>
        </w:tc>
        <w:tc>
          <w:tcPr>
            <w:tcW w:type="dxa" w:w="2835"/>
            <w:vAlign w:val="top"/>
            <w:tcMar>
              <w:top w:w="120" w:type="dxa"/>
              <w:start w:w="120" w:type="dxa"/>
              <w:bottom w:w="120" w:type="dxa"/>
              <w:end w:w="120" w:type="dxa"/>
            </w:tcMar>
          </w:tcPr>
          <w:p>
            <w:r>
              <w:rPr>
                <w:sz w:val="18"/>
              </w:rPr>
              <w:t>Açık kullanıcı onayı zorunlu</w:t>
            </w:r>
          </w:p>
        </w:tc>
      </w:tr>
      <w:tr>
        <w:tc>
          <w:tcPr>
            <w:tcW w:type="dxa" w:w="2268"/>
            <w:vAlign w:val="top"/>
            <w:tcMar>
              <w:top w:w="120" w:type="dxa"/>
              <w:start w:w="120" w:type="dxa"/>
              <w:bottom w:w="120" w:type="dxa"/>
              <w:end w:w="120" w:type="dxa"/>
            </w:tcMar>
            <w:shd w:fill="F2F6F6"/>
          </w:tcPr>
          <w:p>
            <w:r>
              <w:rPr>
                <w:sz w:val="18"/>
              </w:rPr>
              <w:t>Harici iletişim</w:t>
            </w:r>
          </w:p>
        </w:tc>
        <w:tc>
          <w:tcPr>
            <w:tcW w:type="dxa" w:w="3685"/>
            <w:vAlign w:val="top"/>
            <w:tcMar>
              <w:top w:w="120" w:type="dxa"/>
              <w:start w:w="120" w:type="dxa"/>
              <w:bottom w:w="120" w:type="dxa"/>
              <w:end w:w="120" w:type="dxa"/>
            </w:tcMar>
            <w:shd w:fill="F2F6F6"/>
          </w:tcPr>
          <w:p>
            <w:r>
              <w:rPr>
                <w:sz w:val="18"/>
              </w:rPr>
              <w:t>WhatsApp/e-posta gönderme</w:t>
            </w:r>
          </w:p>
        </w:tc>
        <w:tc>
          <w:tcPr>
            <w:tcW w:type="dxa" w:w="2835"/>
            <w:vAlign w:val="top"/>
            <w:tcMar>
              <w:top w:w="120" w:type="dxa"/>
              <w:start w:w="120" w:type="dxa"/>
              <w:bottom w:w="120" w:type="dxa"/>
              <w:end w:w="120" w:type="dxa"/>
            </w:tcMar>
            <w:shd w:fill="F2F6F6"/>
          </w:tcPr>
          <w:p>
            <w:r>
              <w:rPr>
                <w:sz w:val="18"/>
              </w:rPr>
              <w:t>İçerik ve alıcı görünür onay veya önceden tanımlı policy</w:t>
            </w:r>
          </w:p>
        </w:tc>
      </w:tr>
      <w:tr>
        <w:tc>
          <w:tcPr>
            <w:tcW w:type="dxa" w:w="2268"/>
            <w:vAlign w:val="top"/>
            <w:tcMar>
              <w:top w:w="120" w:type="dxa"/>
              <w:start w:w="120" w:type="dxa"/>
              <w:bottom w:w="120" w:type="dxa"/>
              <w:end w:w="120" w:type="dxa"/>
            </w:tcMar>
          </w:tcPr>
          <w:p>
            <w:r>
              <w:rPr>
                <w:sz w:val="18"/>
              </w:rPr>
              <w:t>Geri döndürülemez işlem</w:t>
            </w:r>
          </w:p>
        </w:tc>
        <w:tc>
          <w:tcPr>
            <w:tcW w:type="dxa" w:w="3685"/>
            <w:vAlign w:val="top"/>
            <w:tcMar>
              <w:top w:w="120" w:type="dxa"/>
              <w:start w:w="120" w:type="dxa"/>
              <w:bottom w:w="120" w:type="dxa"/>
              <w:end w:w="120" w:type="dxa"/>
            </w:tcMar>
          </w:tcPr>
          <w:p>
            <w:r>
              <w:rPr>
                <w:sz w:val="18"/>
              </w:rPr>
              <w:t>Kalıcı silme, finansal kesinleştirme</w:t>
            </w:r>
          </w:p>
        </w:tc>
        <w:tc>
          <w:tcPr>
            <w:tcW w:type="dxa" w:w="2835"/>
            <w:vAlign w:val="top"/>
            <w:tcMar>
              <w:top w:w="120" w:type="dxa"/>
              <w:start w:w="120" w:type="dxa"/>
              <w:bottom w:w="120" w:type="dxa"/>
              <w:end w:w="120" w:type="dxa"/>
            </w:tcMar>
          </w:tcPr>
          <w:p>
            <w:r>
              <w:rPr>
                <w:sz w:val="18"/>
              </w:rPr>
              <w:t>Güçlendirilmiş onay ve audit</w:t>
            </w:r>
          </w:p>
        </w:tc>
      </w:tr>
    </w:tbl>
    <w:p>
      <w:pPr>
        <w:spacing w:after="40"/>
      </w:pPr>
    </w:p>
    <w:p>
      <w:pPr>
        <w:pStyle w:val="Heading1"/>
      </w:pPr>
      <w:r>
        <w:t>13. Ürün Geliştirme Sırası</w:t>
      </w:r>
    </w:p>
    <w:p>
      <w:pPr>
        <w:spacing w:after="100"/>
      </w:pPr>
      <w:r>
        <w:t>Geliştirme sırası ekran listesinden değil, dependency graph ve yönetim değeri üzerinden belirlenir.</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680"/>
            <w:shd w:fill="153E42"/>
            <w:vAlign w:val="center"/>
            <w:tcMar>
              <w:top w:w="120" w:type="dxa"/>
              <w:start w:w="120" w:type="dxa"/>
              <w:bottom w:w="120" w:type="dxa"/>
              <w:end w:w="120" w:type="dxa"/>
            </w:tcMar>
          </w:tcPr>
          <w:p>
            <w:pPr>
              <w:jc w:val="center"/>
            </w:pPr>
            <w:r>
              <w:rPr>
                <w:b/>
                <w:color w:val="FFFFFF"/>
                <w:sz w:val="18"/>
              </w:rPr>
              <w:t>Sıra</w:t>
            </w:r>
          </w:p>
        </w:tc>
        <w:tc>
          <w:tcPr>
            <w:tcW w:type="dxa" w:w="3402"/>
            <w:shd w:fill="153E42"/>
            <w:vAlign w:val="center"/>
            <w:tcMar>
              <w:top w:w="120" w:type="dxa"/>
              <w:start w:w="120" w:type="dxa"/>
              <w:bottom w:w="120" w:type="dxa"/>
              <w:end w:w="120" w:type="dxa"/>
            </w:tcMar>
          </w:tcPr>
          <w:p>
            <w:pPr>
              <w:jc w:val="center"/>
            </w:pPr>
            <w:r>
              <w:rPr>
                <w:b/>
                <w:color w:val="FFFFFF"/>
                <w:sz w:val="18"/>
              </w:rPr>
              <w:t>Geliştirme Alanı</w:t>
            </w:r>
          </w:p>
        </w:tc>
        <w:tc>
          <w:tcPr>
            <w:tcW w:type="dxa" w:w="4706"/>
            <w:shd w:fill="153E42"/>
            <w:vAlign w:val="center"/>
            <w:tcMar>
              <w:top w:w="120" w:type="dxa"/>
              <w:start w:w="120" w:type="dxa"/>
              <w:bottom w:w="120" w:type="dxa"/>
              <w:end w:w="120" w:type="dxa"/>
            </w:tcMar>
          </w:tcPr>
          <w:p>
            <w:pPr>
              <w:jc w:val="center"/>
            </w:pPr>
            <w:r>
              <w:rPr>
                <w:b/>
                <w:color w:val="FFFFFF"/>
                <w:sz w:val="18"/>
              </w:rPr>
              <w:t>Kurucu Çıktı</w:t>
            </w:r>
          </w:p>
        </w:tc>
      </w:tr>
      <w:tr>
        <w:tc>
          <w:tcPr>
            <w:tcW w:type="dxa" w:w="680"/>
            <w:vAlign w:val="top"/>
            <w:tcMar>
              <w:top w:w="120" w:type="dxa"/>
              <w:start w:w="120" w:type="dxa"/>
              <w:bottom w:w="120" w:type="dxa"/>
              <w:end w:w="120" w:type="dxa"/>
            </w:tcMar>
          </w:tcPr>
          <w:p>
            <w:r>
              <w:rPr>
                <w:sz w:val="18"/>
              </w:rPr>
              <w:t>1</w:t>
            </w:r>
          </w:p>
        </w:tc>
        <w:tc>
          <w:tcPr>
            <w:tcW w:type="dxa" w:w="3402"/>
            <w:vAlign w:val="top"/>
            <w:tcMar>
              <w:top w:w="120" w:type="dxa"/>
              <w:start w:w="120" w:type="dxa"/>
              <w:bottom w:w="120" w:type="dxa"/>
              <w:end w:w="120" w:type="dxa"/>
            </w:tcMar>
          </w:tcPr>
          <w:p>
            <w:r>
              <w:rPr>
                <w:sz w:val="18"/>
              </w:rPr>
              <w:t>Şirketim</w:t>
            </w:r>
          </w:p>
        </w:tc>
        <w:tc>
          <w:tcPr>
            <w:tcW w:type="dxa" w:w="4706"/>
            <w:vAlign w:val="top"/>
            <w:tcMar>
              <w:top w:w="120" w:type="dxa"/>
              <w:start w:w="120" w:type="dxa"/>
              <w:bottom w:w="120" w:type="dxa"/>
              <w:end w:w="120" w:type="dxa"/>
            </w:tcMar>
          </w:tcPr>
          <w:p>
            <w:r>
              <w:rPr>
                <w:sz w:val="18"/>
              </w:rPr>
              <w:t>Organization context, company reality, authority ve çalışma ritmi temeli</w:t>
            </w:r>
          </w:p>
        </w:tc>
      </w:tr>
      <w:tr>
        <w:tc>
          <w:tcPr>
            <w:tcW w:type="dxa" w:w="680"/>
            <w:vAlign w:val="top"/>
            <w:tcMar>
              <w:top w:w="120" w:type="dxa"/>
              <w:start w:w="120" w:type="dxa"/>
              <w:bottom w:w="120" w:type="dxa"/>
              <w:end w:w="120" w:type="dxa"/>
            </w:tcMar>
            <w:shd w:fill="F2F6F6"/>
          </w:tcPr>
          <w:p>
            <w:r>
              <w:rPr>
                <w:sz w:val="18"/>
              </w:rPr>
              <w:t>2</w:t>
            </w:r>
          </w:p>
        </w:tc>
        <w:tc>
          <w:tcPr>
            <w:tcW w:type="dxa" w:w="3402"/>
            <w:vAlign w:val="top"/>
            <w:tcMar>
              <w:top w:w="120" w:type="dxa"/>
              <w:start w:w="120" w:type="dxa"/>
              <w:bottom w:w="120" w:type="dxa"/>
              <w:end w:w="120" w:type="dxa"/>
            </w:tcMar>
            <w:shd w:fill="F2F6F6"/>
          </w:tcPr>
          <w:p>
            <w:r>
              <w:rPr>
                <w:sz w:val="18"/>
              </w:rPr>
              <w:t>Müşteriler</w:t>
            </w:r>
          </w:p>
        </w:tc>
        <w:tc>
          <w:tcPr>
            <w:tcW w:type="dxa" w:w="4706"/>
            <w:vAlign w:val="top"/>
            <w:tcMar>
              <w:top w:w="120" w:type="dxa"/>
              <w:start w:w="120" w:type="dxa"/>
              <w:bottom w:w="120" w:type="dxa"/>
              <w:end w:w="120" w:type="dxa"/>
            </w:tcMar>
            <w:shd w:fill="F2F6F6"/>
          </w:tcPr>
          <w:p>
            <w:r>
              <w:rPr>
                <w:sz w:val="18"/>
              </w:rPr>
              <w:t>İlişki ve ticari dış dünya gerçekliği</w:t>
            </w:r>
          </w:p>
        </w:tc>
      </w:tr>
      <w:tr>
        <w:tc>
          <w:tcPr>
            <w:tcW w:type="dxa" w:w="680"/>
            <w:vAlign w:val="top"/>
            <w:tcMar>
              <w:top w:w="120" w:type="dxa"/>
              <w:start w:w="120" w:type="dxa"/>
              <w:bottom w:w="120" w:type="dxa"/>
              <w:end w:w="120" w:type="dxa"/>
            </w:tcMar>
          </w:tcPr>
          <w:p>
            <w:r>
              <w:rPr>
                <w:sz w:val="18"/>
              </w:rPr>
              <w:t>3</w:t>
            </w:r>
          </w:p>
        </w:tc>
        <w:tc>
          <w:tcPr>
            <w:tcW w:type="dxa" w:w="3402"/>
            <w:vAlign w:val="top"/>
            <w:tcMar>
              <w:top w:w="120" w:type="dxa"/>
              <w:start w:w="120" w:type="dxa"/>
              <w:bottom w:w="120" w:type="dxa"/>
              <w:end w:w="120" w:type="dxa"/>
            </w:tcMar>
          </w:tcPr>
          <w:p>
            <w:r>
              <w:rPr>
                <w:sz w:val="18"/>
              </w:rPr>
              <w:t>Ürünler</w:t>
            </w:r>
          </w:p>
        </w:tc>
        <w:tc>
          <w:tcPr>
            <w:tcW w:type="dxa" w:w="4706"/>
            <w:vAlign w:val="top"/>
            <w:tcMar>
              <w:top w:w="120" w:type="dxa"/>
              <w:start w:w="120" w:type="dxa"/>
              <w:bottom w:w="120" w:type="dxa"/>
              <w:end w:w="120" w:type="dxa"/>
            </w:tcMar>
          </w:tcPr>
          <w:p>
            <w:r>
              <w:rPr>
                <w:sz w:val="18"/>
              </w:rPr>
              <w:t>Teklif, fiyatlama ve tedarik ilişkilerinin ticari temeli</w:t>
            </w:r>
          </w:p>
        </w:tc>
      </w:tr>
      <w:tr>
        <w:tc>
          <w:tcPr>
            <w:tcW w:type="dxa" w:w="680"/>
            <w:vAlign w:val="top"/>
            <w:tcMar>
              <w:top w:w="120" w:type="dxa"/>
              <w:start w:w="120" w:type="dxa"/>
              <w:bottom w:w="120" w:type="dxa"/>
              <w:end w:w="120" w:type="dxa"/>
            </w:tcMar>
            <w:shd w:fill="F2F6F6"/>
          </w:tcPr>
          <w:p>
            <w:r>
              <w:rPr>
                <w:sz w:val="18"/>
              </w:rPr>
              <w:t>4</w:t>
            </w:r>
          </w:p>
        </w:tc>
        <w:tc>
          <w:tcPr>
            <w:tcW w:type="dxa" w:w="3402"/>
            <w:vAlign w:val="top"/>
            <w:tcMar>
              <w:top w:w="120" w:type="dxa"/>
              <w:start w:w="120" w:type="dxa"/>
              <w:bottom w:w="120" w:type="dxa"/>
              <w:end w:w="120" w:type="dxa"/>
            </w:tcMar>
            <w:shd w:fill="F2F6F6"/>
          </w:tcPr>
          <w:p>
            <w:r>
              <w:rPr>
                <w:sz w:val="18"/>
              </w:rPr>
              <w:t>Belgeler + OCR/Kamera temel pipeline</w:t>
            </w:r>
          </w:p>
        </w:tc>
        <w:tc>
          <w:tcPr>
            <w:tcW w:type="dxa" w:w="4706"/>
            <w:vAlign w:val="top"/>
            <w:tcMar>
              <w:top w:w="120" w:type="dxa"/>
              <w:start w:w="120" w:type="dxa"/>
              <w:bottom w:w="120" w:type="dxa"/>
              <w:end w:w="120" w:type="dxa"/>
            </w:tcMar>
            <w:shd w:fill="F2F6F6"/>
          </w:tcPr>
          <w:p>
            <w:r>
              <w:rPr>
                <w:sz w:val="18"/>
              </w:rPr>
              <w:t>Kanıtlı veri giriş sistemi ve provenance</w:t>
            </w:r>
          </w:p>
        </w:tc>
      </w:tr>
      <w:tr>
        <w:tc>
          <w:tcPr>
            <w:tcW w:type="dxa" w:w="680"/>
            <w:vAlign w:val="top"/>
            <w:tcMar>
              <w:top w:w="120" w:type="dxa"/>
              <w:start w:w="120" w:type="dxa"/>
              <w:bottom w:w="120" w:type="dxa"/>
              <w:end w:w="120" w:type="dxa"/>
            </w:tcMar>
          </w:tcPr>
          <w:p>
            <w:r>
              <w:rPr>
                <w:sz w:val="18"/>
              </w:rPr>
              <w:t>5</w:t>
            </w:r>
          </w:p>
        </w:tc>
        <w:tc>
          <w:tcPr>
            <w:tcW w:type="dxa" w:w="3402"/>
            <w:vAlign w:val="top"/>
            <w:tcMar>
              <w:top w:w="120" w:type="dxa"/>
              <w:start w:w="120" w:type="dxa"/>
              <w:bottom w:w="120" w:type="dxa"/>
              <w:end w:w="120" w:type="dxa"/>
            </w:tcMar>
          </w:tcPr>
          <w:p>
            <w:r>
              <w:rPr>
                <w:sz w:val="18"/>
              </w:rPr>
              <w:t>Teklifler</w:t>
            </w:r>
          </w:p>
        </w:tc>
        <w:tc>
          <w:tcPr>
            <w:tcW w:type="dxa" w:w="4706"/>
            <w:vAlign w:val="top"/>
            <w:tcMar>
              <w:top w:w="120" w:type="dxa"/>
              <w:start w:w="120" w:type="dxa"/>
              <w:bottom w:w="120" w:type="dxa"/>
              <w:end w:w="120" w:type="dxa"/>
            </w:tcMar>
          </w:tcPr>
          <w:p>
            <w:r>
              <w:rPr>
                <w:sz w:val="18"/>
              </w:rPr>
              <w:t>İlk uçtan uca gelir üretme yönetim döngüsü</w:t>
            </w:r>
          </w:p>
        </w:tc>
      </w:tr>
      <w:tr>
        <w:tc>
          <w:tcPr>
            <w:tcW w:type="dxa" w:w="680"/>
            <w:vAlign w:val="top"/>
            <w:tcMar>
              <w:top w:w="120" w:type="dxa"/>
              <w:start w:w="120" w:type="dxa"/>
              <w:bottom w:w="120" w:type="dxa"/>
              <w:end w:w="120" w:type="dxa"/>
            </w:tcMar>
            <w:shd w:fill="F2F6F6"/>
          </w:tcPr>
          <w:p>
            <w:r>
              <w:rPr>
                <w:sz w:val="18"/>
              </w:rPr>
              <w:t>6</w:t>
            </w:r>
          </w:p>
        </w:tc>
        <w:tc>
          <w:tcPr>
            <w:tcW w:type="dxa" w:w="3402"/>
            <w:vAlign w:val="top"/>
            <w:tcMar>
              <w:top w:w="120" w:type="dxa"/>
              <w:start w:w="120" w:type="dxa"/>
              <w:bottom w:w="120" w:type="dxa"/>
              <w:end w:w="120" w:type="dxa"/>
            </w:tcMar>
            <w:shd w:fill="F2F6F6"/>
          </w:tcPr>
          <w:p>
            <w:r>
              <w:rPr>
                <w:sz w:val="18"/>
              </w:rPr>
              <w:t>Tahsilatlar</w:t>
            </w:r>
          </w:p>
        </w:tc>
        <w:tc>
          <w:tcPr>
            <w:tcW w:type="dxa" w:w="4706"/>
            <w:vAlign w:val="top"/>
            <w:tcMar>
              <w:top w:w="120" w:type="dxa"/>
              <w:start w:w="120" w:type="dxa"/>
              <w:bottom w:w="120" w:type="dxa"/>
              <w:end w:w="120" w:type="dxa"/>
            </w:tcMar>
            <w:shd w:fill="F2F6F6"/>
          </w:tcPr>
          <w:p>
            <w:r>
              <w:rPr>
                <w:sz w:val="18"/>
              </w:rPr>
              <w:t>Nakit, gecikme ve takip yönetimi</w:t>
            </w:r>
          </w:p>
        </w:tc>
      </w:tr>
      <w:tr>
        <w:tc>
          <w:tcPr>
            <w:tcW w:type="dxa" w:w="680"/>
            <w:vAlign w:val="top"/>
            <w:tcMar>
              <w:top w:w="120" w:type="dxa"/>
              <w:start w:w="120" w:type="dxa"/>
              <w:bottom w:w="120" w:type="dxa"/>
              <w:end w:w="120" w:type="dxa"/>
            </w:tcMar>
          </w:tcPr>
          <w:p>
            <w:r>
              <w:rPr>
                <w:sz w:val="18"/>
              </w:rPr>
              <w:t>7</w:t>
            </w:r>
          </w:p>
        </w:tc>
        <w:tc>
          <w:tcPr>
            <w:tcW w:type="dxa" w:w="3402"/>
            <w:vAlign w:val="top"/>
            <w:tcMar>
              <w:top w:w="120" w:type="dxa"/>
              <w:start w:w="120" w:type="dxa"/>
              <w:bottom w:w="120" w:type="dxa"/>
              <w:end w:w="120" w:type="dxa"/>
            </w:tcMar>
          </w:tcPr>
          <w:p>
            <w:r>
              <w:rPr>
                <w:sz w:val="18"/>
              </w:rPr>
              <w:t>Görev + Takvim + Günlük Ritim</w:t>
            </w:r>
          </w:p>
        </w:tc>
        <w:tc>
          <w:tcPr>
            <w:tcW w:type="dxa" w:w="4706"/>
            <w:vAlign w:val="top"/>
            <w:tcMar>
              <w:top w:w="120" w:type="dxa"/>
              <w:start w:w="120" w:type="dxa"/>
              <w:bottom w:w="120" w:type="dxa"/>
              <w:end w:w="120" w:type="dxa"/>
            </w:tcMar>
          </w:tcPr>
          <w:p>
            <w:r>
              <w:rPr>
                <w:sz w:val="18"/>
              </w:rPr>
              <w:t>Operasyonel süreklilik ve takip</w:t>
            </w:r>
          </w:p>
        </w:tc>
      </w:tr>
      <w:tr>
        <w:tc>
          <w:tcPr>
            <w:tcW w:type="dxa" w:w="680"/>
            <w:vAlign w:val="top"/>
            <w:tcMar>
              <w:top w:w="120" w:type="dxa"/>
              <w:start w:w="120" w:type="dxa"/>
              <w:bottom w:w="120" w:type="dxa"/>
              <w:end w:w="120" w:type="dxa"/>
            </w:tcMar>
            <w:shd w:fill="F2F6F6"/>
          </w:tcPr>
          <w:p>
            <w:r>
              <w:rPr>
                <w:sz w:val="18"/>
              </w:rPr>
              <w:t>8</w:t>
            </w:r>
          </w:p>
        </w:tc>
        <w:tc>
          <w:tcPr>
            <w:tcW w:type="dxa" w:w="3402"/>
            <w:vAlign w:val="top"/>
            <w:tcMar>
              <w:top w:w="120" w:type="dxa"/>
              <w:start w:w="120" w:type="dxa"/>
              <w:bottom w:w="120" w:type="dxa"/>
              <w:end w:w="120" w:type="dxa"/>
            </w:tcMar>
            <w:shd w:fill="F2F6F6"/>
          </w:tcPr>
          <w:p>
            <w:r>
              <w:rPr>
                <w:sz w:val="18"/>
              </w:rPr>
              <w:t>Tedarikçiler</w:t>
            </w:r>
          </w:p>
        </w:tc>
        <w:tc>
          <w:tcPr>
            <w:tcW w:type="dxa" w:w="4706"/>
            <w:vAlign w:val="top"/>
            <w:tcMar>
              <w:top w:w="120" w:type="dxa"/>
              <w:start w:w="120" w:type="dxa"/>
              <w:bottom w:w="120" w:type="dxa"/>
              <w:end w:w="120" w:type="dxa"/>
            </w:tcMar>
            <w:shd w:fill="F2F6F6"/>
          </w:tcPr>
          <w:p>
            <w:r>
              <w:rPr>
                <w:sz w:val="18"/>
              </w:rPr>
              <w:t>Satın alma ve tedarik riski</w:t>
            </w:r>
          </w:p>
        </w:tc>
      </w:tr>
      <w:tr>
        <w:tc>
          <w:tcPr>
            <w:tcW w:type="dxa" w:w="680"/>
            <w:vAlign w:val="top"/>
            <w:tcMar>
              <w:top w:w="120" w:type="dxa"/>
              <w:start w:w="120" w:type="dxa"/>
              <w:bottom w:w="120" w:type="dxa"/>
              <w:end w:w="120" w:type="dxa"/>
            </w:tcMar>
          </w:tcPr>
          <w:p>
            <w:r>
              <w:rPr>
                <w:sz w:val="18"/>
              </w:rPr>
              <w:t>9</w:t>
            </w:r>
          </w:p>
        </w:tc>
        <w:tc>
          <w:tcPr>
            <w:tcW w:type="dxa" w:w="3402"/>
            <w:vAlign w:val="top"/>
            <w:tcMar>
              <w:top w:w="120" w:type="dxa"/>
              <w:start w:w="120" w:type="dxa"/>
              <w:bottom w:w="120" w:type="dxa"/>
              <w:end w:w="120" w:type="dxa"/>
            </w:tcMar>
          </w:tcPr>
          <w:p>
            <w:r>
              <w:rPr>
                <w:sz w:val="18"/>
              </w:rPr>
              <w:t>WhatsApp ve dış iletişim</w:t>
            </w:r>
          </w:p>
        </w:tc>
        <w:tc>
          <w:tcPr>
            <w:tcW w:type="dxa" w:w="4706"/>
            <w:vAlign w:val="top"/>
            <w:tcMar>
              <w:top w:w="120" w:type="dxa"/>
              <w:start w:w="120" w:type="dxa"/>
              <w:bottom w:w="120" w:type="dxa"/>
              <w:end w:w="120" w:type="dxa"/>
            </w:tcMar>
          </w:tcPr>
          <w:p>
            <w:r>
              <w:rPr>
                <w:sz w:val="18"/>
              </w:rPr>
              <w:t>Kurumsal kayıtla bağlantılı iletişim aksiyonları</w:t>
            </w:r>
          </w:p>
        </w:tc>
      </w:tr>
      <w:tr>
        <w:tc>
          <w:tcPr>
            <w:tcW w:type="dxa" w:w="680"/>
            <w:vAlign w:val="top"/>
            <w:tcMar>
              <w:top w:w="120" w:type="dxa"/>
              <w:start w:w="120" w:type="dxa"/>
              <w:bottom w:w="120" w:type="dxa"/>
              <w:end w:w="120" w:type="dxa"/>
            </w:tcMar>
            <w:shd w:fill="F2F6F6"/>
          </w:tcPr>
          <w:p>
            <w:r>
              <w:rPr>
                <w:sz w:val="18"/>
              </w:rPr>
              <w:t>10</w:t>
            </w:r>
          </w:p>
        </w:tc>
        <w:tc>
          <w:tcPr>
            <w:tcW w:type="dxa" w:w="3402"/>
            <w:vAlign w:val="top"/>
            <w:tcMar>
              <w:top w:w="120" w:type="dxa"/>
              <w:start w:w="120" w:type="dxa"/>
              <w:bottom w:w="120" w:type="dxa"/>
              <w:end w:w="120" w:type="dxa"/>
            </w:tcMar>
            <w:shd w:fill="F2F6F6"/>
          </w:tcPr>
          <w:p>
            <w:r>
              <w:rPr>
                <w:sz w:val="18"/>
              </w:rPr>
              <w:t>Executive Workspace</w:t>
            </w:r>
          </w:p>
        </w:tc>
        <w:tc>
          <w:tcPr>
            <w:tcW w:type="dxa" w:w="4706"/>
            <w:vAlign w:val="top"/>
            <w:tcMar>
              <w:top w:w="120" w:type="dxa"/>
              <w:start w:w="120" w:type="dxa"/>
              <w:bottom w:w="120" w:type="dxa"/>
              <w:end w:w="120" w:type="dxa"/>
            </w:tcMar>
            <w:shd w:fill="F2F6F6"/>
          </w:tcPr>
          <w:p>
            <w:r>
              <w:rPr>
                <w:sz w:val="18"/>
              </w:rPr>
              <w:t>Bütün domainlerin birleşik yönetim yüzeyi</w:t>
            </w:r>
          </w:p>
        </w:tc>
      </w:tr>
      <w:tr>
        <w:tc>
          <w:tcPr>
            <w:tcW w:type="dxa" w:w="680"/>
            <w:vAlign w:val="top"/>
            <w:tcMar>
              <w:top w:w="120" w:type="dxa"/>
              <w:start w:w="120" w:type="dxa"/>
              <w:bottom w:w="120" w:type="dxa"/>
              <w:end w:w="120" w:type="dxa"/>
            </w:tcMar>
          </w:tcPr>
          <w:p>
            <w:r>
              <w:rPr>
                <w:sz w:val="18"/>
              </w:rPr>
              <w:t>11</w:t>
            </w:r>
          </w:p>
        </w:tc>
        <w:tc>
          <w:tcPr>
            <w:tcW w:type="dxa" w:w="3402"/>
            <w:vAlign w:val="top"/>
            <w:tcMar>
              <w:top w:w="120" w:type="dxa"/>
              <w:start w:w="120" w:type="dxa"/>
              <w:bottom w:w="120" w:type="dxa"/>
              <w:end w:w="120" w:type="dxa"/>
            </w:tcMar>
          </w:tcPr>
          <w:p>
            <w:r>
              <w:rPr>
                <w:sz w:val="18"/>
              </w:rPr>
              <w:t>Haftalık satış ve yönetici raporları</w:t>
            </w:r>
          </w:p>
        </w:tc>
        <w:tc>
          <w:tcPr>
            <w:tcW w:type="dxa" w:w="4706"/>
            <w:vAlign w:val="top"/>
            <w:tcMar>
              <w:top w:w="120" w:type="dxa"/>
              <w:start w:w="120" w:type="dxa"/>
              <w:bottom w:w="120" w:type="dxa"/>
              <w:end w:w="120" w:type="dxa"/>
            </w:tcMar>
          </w:tcPr>
          <w:p>
            <w:r>
              <w:rPr>
                <w:sz w:val="18"/>
              </w:rPr>
              <w:t>Canonical veriden yönetim değerlendirmesi</w:t>
            </w:r>
          </w:p>
        </w:tc>
      </w:tr>
      <w:tr>
        <w:tc>
          <w:tcPr>
            <w:tcW w:type="dxa" w:w="680"/>
            <w:vAlign w:val="top"/>
            <w:tcMar>
              <w:top w:w="120" w:type="dxa"/>
              <w:start w:w="120" w:type="dxa"/>
              <w:bottom w:w="120" w:type="dxa"/>
              <w:end w:w="120" w:type="dxa"/>
            </w:tcMar>
            <w:shd w:fill="F2F6F6"/>
          </w:tcPr>
          <w:p>
            <w:r>
              <w:rPr>
                <w:sz w:val="18"/>
              </w:rPr>
              <w:t>12</w:t>
            </w:r>
          </w:p>
        </w:tc>
        <w:tc>
          <w:tcPr>
            <w:tcW w:type="dxa" w:w="3402"/>
            <w:vAlign w:val="top"/>
            <w:tcMar>
              <w:top w:w="120" w:type="dxa"/>
              <w:start w:w="120" w:type="dxa"/>
              <w:bottom w:w="120" w:type="dxa"/>
              <w:end w:w="120" w:type="dxa"/>
            </w:tcMar>
            <w:shd w:fill="F2F6F6"/>
          </w:tcPr>
          <w:p>
            <w:r>
              <w:rPr>
                <w:sz w:val="18"/>
              </w:rPr>
              <w:t>Apple Calendar/Reminders ve diğer entegrasyonlar</w:t>
            </w:r>
          </w:p>
        </w:tc>
        <w:tc>
          <w:tcPr>
            <w:tcW w:type="dxa" w:w="4706"/>
            <w:vAlign w:val="top"/>
            <w:tcMar>
              <w:top w:w="120" w:type="dxa"/>
              <w:start w:w="120" w:type="dxa"/>
              <w:bottom w:w="120" w:type="dxa"/>
              <w:end w:w="120" w:type="dxa"/>
            </w:tcMar>
            <w:shd w:fill="F2F6F6"/>
          </w:tcPr>
          <w:p>
            <w:r>
              <w:rPr>
                <w:sz w:val="18"/>
              </w:rPr>
              <w:t>Dış sistem adaptörleri ve senkronizasyon</w:t>
            </w:r>
          </w:p>
        </w:tc>
      </w:tr>
    </w:tbl>
    <w:p>
      <w:pPr>
        <w:spacing w:after="40"/>
      </w:pPr>
    </w:p>
    <w:p>
      <w:pPr>
        <w:pStyle w:val="Heading2"/>
      </w:pPr>
      <w:r>
        <w:t>13.1 Neden Belgeler Dördüncü Sıraya Alındı?</w:t>
      </w:r>
    </w:p>
    <w:p>
      <w:pPr>
        <w:spacing w:after="100"/>
      </w:pPr>
      <w:r>
        <w:t>Önceki kaba yol haritasındaki “Belgeler daha sonra” yaklaşımı düzeltilmiştir. Gerçek şirket kullanımında müşteri ve ürün kayıtlarının önemli bölümü vergi levhası, kartvizit, teklif, fatura ve diğer belgelerden gelecektir. Bu nedenle Document Domain’in temel ingestion ve evidence pipeline’ı, Teklifler’den önce kurulmalıdır. Corporate Document Generation Engine’in tam kapsamı ise Teklifler ve sonraki ticari belgelerle birlikte büyütülür.</w:t>
      </w:r>
    </w:p>
    <w:p>
      <w:pPr>
        <w:pStyle w:val="Heading1"/>
      </w:pPr>
      <w:r>
        <w:t>14. İlk Uygulama Programı: Şirketim</w:t>
      </w:r>
    </w:p>
    <w:p>
      <w:pPr>
        <w:spacing w:after="100"/>
      </w:pPr>
      <w:r>
        <w:t>Şirketim geliştirmesi tek seferlik bir sayfa teslimi olarak değil, Business OS’un ilk production domain’i olarak yürütülmelidir.</w:t>
      </w:r>
    </w:p>
    <w:p>
      <w:pPr>
        <w:pStyle w:val="Heading2"/>
      </w:pPr>
      <w:r>
        <w:t>14.1 Terminal / Claude Analiz Hedefleri</w:t>
      </w:r>
    </w:p>
    <w:p>
      <w:pPr>
        <w:pStyle w:val="ListBullet"/>
        <w:spacing w:after="40"/>
      </w:pPr>
      <w:r>
        <w:t>Mevcut organization, company, user, membership ve settings modellerinin canonical sahiplik analizi</w:t>
      </w:r>
    </w:p>
    <w:p>
      <w:pPr>
        <w:pStyle w:val="ListBullet"/>
        <w:spacing w:after="40"/>
      </w:pPr>
      <w:r>
        <w:t>Şirket bilgisi için duplicate tablo, JSON blob, memory veya prompt kaynaklarının tespiti</w:t>
      </w:r>
    </w:p>
    <w:p>
      <w:pPr>
        <w:pStyle w:val="ListBullet"/>
        <w:spacing w:after="40"/>
      </w:pPr>
      <w:r>
        <w:t>Mevcut sayfa ve API call chain’lerinin çıkarılması</w:t>
      </w:r>
    </w:p>
    <w:p>
      <w:pPr>
        <w:pStyle w:val="ListBullet"/>
        <w:spacing w:after="40"/>
      </w:pPr>
      <w:r>
        <w:t>Yetki ve organization isolation sınırlarının kanıtlanması</w:t>
      </w:r>
    </w:p>
    <w:p>
      <w:pPr>
        <w:pStyle w:val="ListBullet"/>
        <w:spacing w:after="40"/>
      </w:pPr>
      <w:r>
        <w:t>Executive Brain’in şirket verisini nereden okuduğunun doğrulanması</w:t>
      </w:r>
    </w:p>
    <w:p>
      <w:pPr>
        <w:pStyle w:val="ListBullet"/>
        <w:spacing w:after="40"/>
      </w:pPr>
      <w:r>
        <w:t>Mevcut event, audit ve provenance altyapısının uygunluk analizi</w:t>
      </w:r>
    </w:p>
    <w:p>
      <w:pPr>
        <w:pStyle w:val="ListBullet"/>
        <w:spacing w:after="40"/>
      </w:pPr>
      <w:r>
        <w:t>Yeni domain’in diğer modüllere sunacağı contract’ın belirlenmesi</w:t>
      </w:r>
    </w:p>
    <w:p>
      <w:pPr>
        <w:pStyle w:val="Heading2"/>
      </w:pPr>
      <w:r>
        <w:t>14.2 Codex Uygulama Kapsamı</w:t>
      </w:r>
    </w:p>
    <w:p>
      <w:pPr>
        <w:pStyle w:val="ListBullet"/>
        <w:spacing w:after="40"/>
      </w:pPr>
      <w:r>
        <w:t>Kesinleşmiş canonical Company Domain modelini uygulamak</w:t>
      </w:r>
    </w:p>
    <w:p>
      <w:pPr>
        <w:pStyle w:val="ListBullet"/>
        <w:spacing w:after="40"/>
      </w:pPr>
      <w:r>
        <w:t>Migration ve backward compatibility planını yürütmek</w:t>
      </w:r>
    </w:p>
    <w:p>
      <w:pPr>
        <w:pStyle w:val="ListBullet"/>
        <w:spacing w:after="40"/>
      </w:pPr>
      <w:r>
        <w:t>Company read/write service ve authorization sınırlarını kurmak</w:t>
      </w:r>
    </w:p>
    <w:p>
      <w:pPr>
        <w:pStyle w:val="ListBullet"/>
        <w:spacing w:after="40"/>
      </w:pPr>
      <w:r>
        <w:t>Şirketim kullanıcı yüzeyini premium mobil-first tasarım diliyle bağlamak</w:t>
      </w:r>
    </w:p>
    <w:p>
      <w:pPr>
        <w:pStyle w:val="ListBullet"/>
        <w:spacing w:after="40"/>
      </w:pPr>
      <w:r>
        <w:t>Voice/text action’larını mevcut tek Action Execution hattına entegre etmek</w:t>
      </w:r>
    </w:p>
    <w:p>
      <w:pPr>
        <w:pStyle w:val="ListBullet"/>
        <w:spacing w:after="40"/>
      </w:pPr>
      <w:r>
        <w:t>Candidate, confirmation ve audit akışını uygulamak</w:t>
      </w:r>
    </w:p>
    <w:p>
      <w:pPr>
        <w:pStyle w:val="ListBullet"/>
        <w:spacing w:after="40"/>
      </w:pPr>
      <w:r>
        <w:t>Test, commit, push ve yalnız production deployment yapmak</w:t>
      </w:r>
    </w:p>
    <w:p>
      <w:pPr>
        <w:pStyle w:val="Heading2"/>
      </w:pPr>
      <w:r>
        <w:t>14.3 Kabul Kriterleri</w:t>
      </w:r>
    </w:p>
    <w:p>
      <w:pPr>
        <w:pStyle w:val="ListNumber"/>
        <w:spacing w:after="40"/>
      </w:pPr>
      <w:r>
        <w:t>Şirketin canonical bilgileri tek source-of-truth üzerinden okunuyor ve yazılıyor.</w:t>
      </w:r>
    </w:p>
    <w:p>
      <w:pPr>
        <w:pStyle w:val="ListNumber"/>
        <w:spacing w:after="40"/>
      </w:pPr>
      <w:r>
        <w:t>Conversation veya AI response şirket gerçeğini doğrudan değiştiremiyor.</w:t>
      </w:r>
    </w:p>
    <w:p>
      <w:pPr>
        <w:pStyle w:val="ListNumber"/>
        <w:spacing w:after="40"/>
      </w:pPr>
      <w:r>
        <w:t>Executive Brain şirket değerlendirmesinde yalnız doğrulanmış Company Reality kullanıyor.</w:t>
      </w:r>
    </w:p>
    <w:p>
      <w:pPr>
        <w:pStyle w:val="ListNumber"/>
        <w:spacing w:after="40"/>
      </w:pPr>
      <w:r>
        <w:t>Text, voice ve sayfa aksiyonları aynı domain service ve authority hattına bağlanıyor.</w:t>
      </w:r>
    </w:p>
    <w:p>
      <w:pPr>
        <w:pStyle w:val="ListNumber"/>
        <w:spacing w:after="40"/>
      </w:pPr>
      <w:r>
        <w:t>Riskli değişikliklerde açık onay çalışıyor.</w:t>
      </w:r>
    </w:p>
    <w:p>
      <w:pPr>
        <w:pStyle w:val="ListNumber"/>
        <w:spacing w:after="40"/>
      </w:pPr>
      <w:r>
        <w:t>Her değişiklik audit/provenance taşıyor.</w:t>
      </w:r>
    </w:p>
    <w:p>
      <w:pPr>
        <w:pStyle w:val="ListNumber"/>
        <w:spacing w:after="40"/>
      </w:pPr>
      <w:r>
        <w:t>Organization isolation testlerle kanıtlanıyor.</w:t>
      </w:r>
    </w:p>
    <w:p>
      <w:pPr>
        <w:pStyle w:val="ListNumber"/>
        <w:spacing w:after="40"/>
      </w:pPr>
      <w:r>
        <w:t>Preview deployment yapılmadan production READY doğrulanıyor.</w:t>
      </w:r>
    </w:p>
    <w:p>
      <w:pPr>
        <w:pStyle w:val="ListNumber"/>
        <w:spacing w:after="40"/>
      </w:pPr>
      <w:r>
        <w:t>Kurucu Mimari Kontrolü’nün üç sorusuna da Evet cevabı veriliyor.</w:t>
      </w:r>
    </w:p>
    <w:p>
      <w:pPr>
        <w:pStyle w:val="Heading1"/>
      </w:pPr>
      <w:r>
        <w:t>15. Her Yeni Domain İçin Zorunlu Tasarım Şablonu</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551"/>
            <w:shd w:fill="153E42"/>
            <w:vAlign w:val="center"/>
            <w:tcMar>
              <w:top w:w="120" w:type="dxa"/>
              <w:start w:w="120" w:type="dxa"/>
              <w:bottom w:w="120" w:type="dxa"/>
              <w:end w:w="120" w:type="dxa"/>
            </w:tcMar>
          </w:tcPr>
          <w:p>
            <w:pPr>
              <w:jc w:val="center"/>
            </w:pPr>
            <w:r>
              <w:rPr>
                <w:b/>
                <w:color w:val="FFFFFF"/>
                <w:sz w:val="18"/>
              </w:rPr>
              <w:t>Başlık</w:t>
            </w:r>
          </w:p>
        </w:tc>
        <w:tc>
          <w:tcPr>
            <w:tcW w:type="dxa" w:w="6236"/>
            <w:shd w:fill="153E42"/>
            <w:vAlign w:val="center"/>
            <w:tcMar>
              <w:top w:w="120" w:type="dxa"/>
              <w:start w:w="120" w:type="dxa"/>
              <w:bottom w:w="120" w:type="dxa"/>
              <w:end w:w="120" w:type="dxa"/>
            </w:tcMar>
          </w:tcPr>
          <w:p>
            <w:pPr>
              <w:jc w:val="center"/>
            </w:pPr>
            <w:r>
              <w:rPr>
                <w:b/>
                <w:color w:val="FFFFFF"/>
                <w:sz w:val="18"/>
              </w:rPr>
              <w:t>Cevaplanması Gereken Soru</w:t>
            </w:r>
          </w:p>
        </w:tc>
      </w:tr>
      <w:tr>
        <w:tc>
          <w:tcPr>
            <w:tcW w:type="dxa" w:w="2551"/>
            <w:vAlign w:val="top"/>
            <w:tcMar>
              <w:top w:w="120" w:type="dxa"/>
              <w:start w:w="120" w:type="dxa"/>
              <w:bottom w:w="120" w:type="dxa"/>
              <w:end w:w="120" w:type="dxa"/>
            </w:tcMar>
          </w:tcPr>
          <w:p>
            <w:r>
              <w:rPr>
                <w:sz w:val="18"/>
              </w:rPr>
              <w:t>Domain amacı</w:t>
            </w:r>
          </w:p>
        </w:tc>
        <w:tc>
          <w:tcPr>
            <w:tcW w:type="dxa" w:w="6236"/>
            <w:vAlign w:val="top"/>
            <w:tcMar>
              <w:top w:w="120" w:type="dxa"/>
              <w:start w:w="120" w:type="dxa"/>
              <w:bottom w:w="120" w:type="dxa"/>
              <w:end w:w="120" w:type="dxa"/>
            </w:tcMar>
          </w:tcPr>
          <w:p>
            <w:r>
              <w:rPr>
                <w:sz w:val="18"/>
              </w:rPr>
              <w:t>Bu domain şirket yönetiminde hangi gerçeğin sahibidir?</w:t>
            </w:r>
          </w:p>
        </w:tc>
      </w:tr>
      <w:tr>
        <w:tc>
          <w:tcPr>
            <w:tcW w:type="dxa" w:w="2551"/>
            <w:vAlign w:val="top"/>
            <w:tcMar>
              <w:top w:w="120" w:type="dxa"/>
              <w:start w:w="120" w:type="dxa"/>
              <w:bottom w:w="120" w:type="dxa"/>
              <w:end w:w="120" w:type="dxa"/>
            </w:tcMar>
            <w:shd w:fill="F2F6F6"/>
          </w:tcPr>
          <w:p>
            <w:r>
              <w:rPr>
                <w:sz w:val="18"/>
              </w:rPr>
              <w:t>Canonical entities</w:t>
            </w:r>
          </w:p>
        </w:tc>
        <w:tc>
          <w:tcPr>
            <w:tcW w:type="dxa" w:w="6236"/>
            <w:vAlign w:val="top"/>
            <w:tcMar>
              <w:top w:w="120" w:type="dxa"/>
              <w:start w:w="120" w:type="dxa"/>
              <w:bottom w:w="120" w:type="dxa"/>
              <w:end w:w="120" w:type="dxa"/>
            </w:tcMar>
            <w:shd w:fill="F2F6F6"/>
          </w:tcPr>
          <w:p>
            <w:r>
              <w:rPr>
                <w:sz w:val="18"/>
              </w:rPr>
              <w:t>Hangi kayıtlar tek source-of-truth’tür?</w:t>
            </w:r>
          </w:p>
        </w:tc>
      </w:tr>
      <w:tr>
        <w:tc>
          <w:tcPr>
            <w:tcW w:type="dxa" w:w="2551"/>
            <w:vAlign w:val="top"/>
            <w:tcMar>
              <w:top w:w="120" w:type="dxa"/>
              <w:start w:w="120" w:type="dxa"/>
              <w:bottom w:w="120" w:type="dxa"/>
              <w:end w:w="120" w:type="dxa"/>
            </w:tcMar>
          </w:tcPr>
          <w:p>
            <w:r>
              <w:rPr>
                <w:sz w:val="18"/>
              </w:rPr>
              <w:t>Lifecycle</w:t>
            </w:r>
          </w:p>
        </w:tc>
        <w:tc>
          <w:tcPr>
            <w:tcW w:type="dxa" w:w="6236"/>
            <w:vAlign w:val="top"/>
            <w:tcMar>
              <w:top w:w="120" w:type="dxa"/>
              <w:start w:w="120" w:type="dxa"/>
              <w:bottom w:w="120" w:type="dxa"/>
              <w:end w:w="120" w:type="dxa"/>
            </w:tcMar>
          </w:tcPr>
          <w:p>
            <w:r>
              <w:rPr>
                <w:sz w:val="18"/>
              </w:rPr>
              <w:t>Kayıt hangi durumlar arasında nasıl ilerler?</w:t>
            </w:r>
          </w:p>
        </w:tc>
      </w:tr>
      <w:tr>
        <w:tc>
          <w:tcPr>
            <w:tcW w:type="dxa" w:w="2551"/>
            <w:vAlign w:val="top"/>
            <w:tcMar>
              <w:top w:w="120" w:type="dxa"/>
              <w:start w:w="120" w:type="dxa"/>
              <w:bottom w:w="120" w:type="dxa"/>
              <w:end w:w="120" w:type="dxa"/>
            </w:tcMar>
            <w:shd w:fill="F2F6F6"/>
          </w:tcPr>
          <w:p>
            <w:r>
              <w:rPr>
                <w:sz w:val="18"/>
              </w:rPr>
              <w:t>Commands</w:t>
            </w:r>
          </w:p>
        </w:tc>
        <w:tc>
          <w:tcPr>
            <w:tcW w:type="dxa" w:w="6236"/>
            <w:vAlign w:val="top"/>
            <w:tcMar>
              <w:top w:w="120" w:type="dxa"/>
              <w:start w:w="120" w:type="dxa"/>
              <w:bottom w:w="120" w:type="dxa"/>
              <w:end w:w="120" w:type="dxa"/>
            </w:tcMar>
            <w:shd w:fill="F2F6F6"/>
          </w:tcPr>
          <w:p>
            <w:r>
              <w:rPr>
                <w:sz w:val="18"/>
              </w:rPr>
              <w:t>Hangi değişiklikler yapılabilir?</w:t>
            </w:r>
          </w:p>
        </w:tc>
      </w:tr>
      <w:tr>
        <w:tc>
          <w:tcPr>
            <w:tcW w:type="dxa" w:w="2551"/>
            <w:vAlign w:val="top"/>
            <w:tcMar>
              <w:top w:w="120" w:type="dxa"/>
              <w:start w:w="120" w:type="dxa"/>
              <w:bottom w:w="120" w:type="dxa"/>
              <w:end w:w="120" w:type="dxa"/>
            </w:tcMar>
          </w:tcPr>
          <w:p>
            <w:r>
              <w:rPr>
                <w:sz w:val="18"/>
              </w:rPr>
              <w:t>Queries</w:t>
            </w:r>
          </w:p>
        </w:tc>
        <w:tc>
          <w:tcPr>
            <w:tcW w:type="dxa" w:w="6236"/>
            <w:vAlign w:val="top"/>
            <w:tcMar>
              <w:top w:w="120" w:type="dxa"/>
              <w:start w:w="120" w:type="dxa"/>
              <w:bottom w:w="120" w:type="dxa"/>
              <w:end w:w="120" w:type="dxa"/>
            </w:tcMar>
          </w:tcPr>
          <w:p>
            <w:r>
              <w:rPr>
                <w:sz w:val="18"/>
              </w:rPr>
              <w:t>Executive Brain ve UI hangi okumaları yapabilir?</w:t>
            </w:r>
          </w:p>
        </w:tc>
      </w:tr>
      <w:tr>
        <w:tc>
          <w:tcPr>
            <w:tcW w:type="dxa" w:w="2551"/>
            <w:vAlign w:val="top"/>
            <w:tcMar>
              <w:top w:w="120" w:type="dxa"/>
              <w:start w:w="120" w:type="dxa"/>
              <w:bottom w:w="120" w:type="dxa"/>
              <w:end w:w="120" w:type="dxa"/>
            </w:tcMar>
            <w:shd w:fill="F2F6F6"/>
          </w:tcPr>
          <w:p>
            <w:r>
              <w:rPr>
                <w:sz w:val="18"/>
              </w:rPr>
              <w:t>Events</w:t>
            </w:r>
          </w:p>
        </w:tc>
        <w:tc>
          <w:tcPr>
            <w:tcW w:type="dxa" w:w="6236"/>
            <w:vAlign w:val="top"/>
            <w:tcMar>
              <w:top w:w="120" w:type="dxa"/>
              <w:start w:w="120" w:type="dxa"/>
              <w:bottom w:w="120" w:type="dxa"/>
              <w:end w:w="120" w:type="dxa"/>
            </w:tcMar>
            <w:shd w:fill="F2F6F6"/>
          </w:tcPr>
          <w:p>
            <w:r>
              <w:rPr>
                <w:sz w:val="18"/>
              </w:rPr>
              <w:t>Hangi gerçekleşmiş değişiklikler yayınlanır?</w:t>
            </w:r>
          </w:p>
        </w:tc>
      </w:tr>
      <w:tr>
        <w:tc>
          <w:tcPr>
            <w:tcW w:type="dxa" w:w="2551"/>
            <w:vAlign w:val="top"/>
            <w:tcMar>
              <w:top w:w="120" w:type="dxa"/>
              <w:start w:w="120" w:type="dxa"/>
              <w:bottom w:w="120" w:type="dxa"/>
              <w:end w:w="120" w:type="dxa"/>
            </w:tcMar>
          </w:tcPr>
          <w:p>
            <w:r>
              <w:rPr>
                <w:sz w:val="18"/>
              </w:rPr>
              <w:t>Authority</w:t>
            </w:r>
          </w:p>
        </w:tc>
        <w:tc>
          <w:tcPr>
            <w:tcW w:type="dxa" w:w="6236"/>
            <w:vAlign w:val="top"/>
            <w:tcMar>
              <w:top w:w="120" w:type="dxa"/>
              <w:start w:w="120" w:type="dxa"/>
              <w:bottom w:w="120" w:type="dxa"/>
              <w:end w:w="120" w:type="dxa"/>
            </w:tcMar>
          </w:tcPr>
          <w:p>
            <w:r>
              <w:rPr>
                <w:sz w:val="18"/>
              </w:rPr>
              <w:t>Kim, hangi koşulda, neyi değiştirebilir?</w:t>
            </w:r>
          </w:p>
        </w:tc>
      </w:tr>
      <w:tr>
        <w:tc>
          <w:tcPr>
            <w:tcW w:type="dxa" w:w="2551"/>
            <w:vAlign w:val="top"/>
            <w:tcMar>
              <w:top w:w="120" w:type="dxa"/>
              <w:start w:w="120" w:type="dxa"/>
              <w:bottom w:w="120" w:type="dxa"/>
              <w:end w:w="120" w:type="dxa"/>
            </w:tcMar>
            <w:shd w:fill="F2F6F6"/>
          </w:tcPr>
          <w:p>
            <w:r>
              <w:rPr>
                <w:sz w:val="18"/>
              </w:rPr>
              <w:t>Candidate policy</w:t>
            </w:r>
          </w:p>
        </w:tc>
        <w:tc>
          <w:tcPr>
            <w:tcW w:type="dxa" w:w="6236"/>
            <w:vAlign w:val="top"/>
            <w:tcMar>
              <w:top w:w="120" w:type="dxa"/>
              <w:start w:w="120" w:type="dxa"/>
              <w:bottom w:w="120" w:type="dxa"/>
              <w:end w:w="120" w:type="dxa"/>
            </w:tcMar>
            <w:shd w:fill="F2F6F6"/>
          </w:tcPr>
          <w:p>
            <w:r>
              <w:rPr>
                <w:sz w:val="18"/>
              </w:rPr>
              <w:t>Konuşma, belge ve entegrasyon bilgisi nasıl doğrulanır?</w:t>
            </w:r>
          </w:p>
        </w:tc>
      </w:tr>
      <w:tr>
        <w:tc>
          <w:tcPr>
            <w:tcW w:type="dxa" w:w="2551"/>
            <w:vAlign w:val="top"/>
            <w:tcMar>
              <w:top w:w="120" w:type="dxa"/>
              <w:start w:w="120" w:type="dxa"/>
              <w:bottom w:w="120" w:type="dxa"/>
              <w:end w:w="120" w:type="dxa"/>
            </w:tcMar>
          </w:tcPr>
          <w:p>
            <w:r>
              <w:rPr>
                <w:sz w:val="18"/>
              </w:rPr>
              <w:t>Evidence</w:t>
            </w:r>
          </w:p>
        </w:tc>
        <w:tc>
          <w:tcPr>
            <w:tcW w:type="dxa" w:w="6236"/>
            <w:vAlign w:val="top"/>
            <w:tcMar>
              <w:top w:w="120" w:type="dxa"/>
              <w:start w:w="120" w:type="dxa"/>
              <w:bottom w:w="120" w:type="dxa"/>
              <w:end w:w="120" w:type="dxa"/>
            </w:tcMar>
          </w:tcPr>
          <w:p>
            <w:r>
              <w:rPr>
                <w:sz w:val="18"/>
              </w:rPr>
              <w:t>Hangi provenance ve doğrulama alanları zorunludur?</w:t>
            </w:r>
          </w:p>
        </w:tc>
      </w:tr>
      <w:tr>
        <w:tc>
          <w:tcPr>
            <w:tcW w:type="dxa" w:w="2551"/>
            <w:vAlign w:val="top"/>
            <w:tcMar>
              <w:top w:w="120" w:type="dxa"/>
              <w:start w:w="120" w:type="dxa"/>
              <w:bottom w:w="120" w:type="dxa"/>
              <w:end w:w="120" w:type="dxa"/>
            </w:tcMar>
            <w:shd w:fill="F2F6F6"/>
          </w:tcPr>
          <w:p>
            <w:r>
              <w:rPr>
                <w:sz w:val="18"/>
              </w:rPr>
              <w:t>Integrations</w:t>
            </w:r>
          </w:p>
        </w:tc>
        <w:tc>
          <w:tcPr>
            <w:tcW w:type="dxa" w:w="6236"/>
            <w:vAlign w:val="top"/>
            <w:tcMar>
              <w:top w:w="120" w:type="dxa"/>
              <w:start w:w="120" w:type="dxa"/>
              <w:bottom w:w="120" w:type="dxa"/>
              <w:end w:w="120" w:type="dxa"/>
            </w:tcMar>
            <w:shd w:fill="F2F6F6"/>
          </w:tcPr>
          <w:p>
            <w:r>
              <w:rPr>
                <w:sz w:val="18"/>
              </w:rPr>
              <w:t>Dış sistemler nasıl adapte edilir; source-of-truth nasıl korunur?</w:t>
            </w:r>
          </w:p>
        </w:tc>
      </w:tr>
      <w:tr>
        <w:tc>
          <w:tcPr>
            <w:tcW w:type="dxa" w:w="2551"/>
            <w:vAlign w:val="top"/>
            <w:tcMar>
              <w:top w:w="120" w:type="dxa"/>
              <w:start w:w="120" w:type="dxa"/>
              <w:bottom w:w="120" w:type="dxa"/>
              <w:end w:w="120" w:type="dxa"/>
            </w:tcMar>
          </w:tcPr>
          <w:p>
            <w:r>
              <w:rPr>
                <w:sz w:val="18"/>
              </w:rPr>
              <w:t>Executive use</w:t>
            </w:r>
          </w:p>
        </w:tc>
        <w:tc>
          <w:tcPr>
            <w:tcW w:type="dxa" w:w="6236"/>
            <w:vAlign w:val="top"/>
            <w:tcMar>
              <w:top w:w="120" w:type="dxa"/>
              <w:start w:w="120" w:type="dxa"/>
              <w:bottom w:w="120" w:type="dxa"/>
              <w:end w:w="120" w:type="dxa"/>
            </w:tcMar>
          </w:tcPr>
          <w:p>
            <w:r>
              <w:rPr>
                <w:sz w:val="18"/>
              </w:rPr>
              <w:t>METRIX bu domain’i hangi yönetim kararlarında kullanır?</w:t>
            </w:r>
          </w:p>
        </w:tc>
      </w:tr>
      <w:tr>
        <w:tc>
          <w:tcPr>
            <w:tcW w:type="dxa" w:w="2551"/>
            <w:vAlign w:val="top"/>
            <w:tcMar>
              <w:top w:w="120" w:type="dxa"/>
              <w:start w:w="120" w:type="dxa"/>
              <w:bottom w:w="120" w:type="dxa"/>
              <w:end w:w="120" w:type="dxa"/>
            </w:tcMar>
            <w:shd w:fill="F2F6F6"/>
          </w:tcPr>
          <w:p>
            <w:r>
              <w:rPr>
                <w:sz w:val="18"/>
              </w:rPr>
              <w:t>UX surface</w:t>
            </w:r>
          </w:p>
        </w:tc>
        <w:tc>
          <w:tcPr>
            <w:tcW w:type="dxa" w:w="6236"/>
            <w:vAlign w:val="top"/>
            <w:tcMar>
              <w:top w:w="120" w:type="dxa"/>
              <w:start w:w="120" w:type="dxa"/>
              <w:bottom w:w="120" w:type="dxa"/>
              <w:end w:w="120" w:type="dxa"/>
            </w:tcMar>
            <w:shd w:fill="F2F6F6"/>
          </w:tcPr>
          <w:p>
            <w:r>
              <w:rPr>
                <w:sz w:val="18"/>
              </w:rPr>
              <w:t>Kullanıcıya hangi anda hangi bilgi görünür?</w:t>
            </w:r>
          </w:p>
        </w:tc>
      </w:tr>
      <w:tr>
        <w:tc>
          <w:tcPr>
            <w:tcW w:type="dxa" w:w="2551"/>
            <w:vAlign w:val="top"/>
            <w:tcMar>
              <w:top w:w="120" w:type="dxa"/>
              <w:start w:w="120" w:type="dxa"/>
              <w:bottom w:w="120" w:type="dxa"/>
              <w:end w:w="120" w:type="dxa"/>
            </w:tcMar>
          </w:tcPr>
          <w:p>
            <w:r>
              <w:rPr>
                <w:sz w:val="18"/>
              </w:rPr>
              <w:t>Acceptance</w:t>
            </w:r>
          </w:p>
        </w:tc>
        <w:tc>
          <w:tcPr>
            <w:tcW w:type="dxa" w:w="6236"/>
            <w:vAlign w:val="top"/>
            <w:tcMar>
              <w:top w:w="120" w:type="dxa"/>
              <w:start w:w="120" w:type="dxa"/>
              <w:bottom w:w="120" w:type="dxa"/>
              <w:end w:w="120" w:type="dxa"/>
            </w:tcMar>
          </w:tcPr>
          <w:p>
            <w:r>
              <w:rPr>
                <w:sz w:val="18"/>
              </w:rPr>
              <w:t>Production kalitesi hangi kanıtlarla doğrulanır?</w:t>
            </w:r>
          </w:p>
        </w:tc>
      </w:tr>
    </w:tbl>
    <w:p>
      <w:pPr>
        <w:spacing w:after="40"/>
      </w:pPr>
    </w:p>
    <w:p>
      <w:pPr>
        <w:pStyle w:val="Heading1"/>
      </w:pPr>
      <w:r>
        <w:t>16. Yasaklanan Mimari Yaklaşımlar</w:t>
      </w:r>
    </w:p>
    <w:p>
      <w:pPr>
        <w:pStyle w:val="ListBullet"/>
        <w:spacing w:after="40"/>
      </w:pPr>
      <w:r>
        <w:t>Her modül için ayrı AI agent veya ayrı prompt otoritesi kurmak</w:t>
      </w:r>
    </w:p>
    <w:p>
      <w:pPr>
        <w:pStyle w:val="ListBullet"/>
        <w:spacing w:after="40"/>
      </w:pPr>
      <w:r>
        <w:t>Şirket verisini sohbet özetlerinden veya AI cevaplarından üretmek</w:t>
      </w:r>
    </w:p>
    <w:p>
      <w:pPr>
        <w:pStyle w:val="ListBullet"/>
        <w:spacing w:after="40"/>
      </w:pPr>
      <w:r>
        <w:t>Aynı entity için modül bazlı kopya tablolar oluşturmak</w:t>
      </w:r>
    </w:p>
    <w:p>
      <w:pPr>
        <w:pStyle w:val="ListBullet"/>
        <w:spacing w:after="40"/>
      </w:pPr>
      <w:r>
        <w:t>UI state’ini canonical business state kabul etmek</w:t>
      </w:r>
    </w:p>
    <w:p>
      <w:pPr>
        <w:pStyle w:val="ListBullet"/>
        <w:spacing w:after="40"/>
      </w:pPr>
      <w:r>
        <w:t>OCR sonucunu doğrulanmadan doğrudan kaydetmek</w:t>
      </w:r>
    </w:p>
    <w:p>
      <w:pPr>
        <w:pStyle w:val="ListBullet"/>
        <w:spacing w:after="40"/>
      </w:pPr>
      <w:r>
        <w:t>Rapor servisinin yeni business fact üretmesine izin vermek</w:t>
      </w:r>
    </w:p>
    <w:p>
      <w:pPr>
        <w:pStyle w:val="ListBullet"/>
        <w:spacing w:after="40"/>
      </w:pPr>
      <w:r>
        <w:t>Bildirim sisteminin görev veya olay state’ini sahiplenmesi</w:t>
      </w:r>
    </w:p>
    <w:p>
      <w:pPr>
        <w:pStyle w:val="ListBullet"/>
        <w:spacing w:after="40"/>
      </w:pPr>
      <w:r>
        <w:t>Entegrasyon veri modelini METRIX’in ortak veri modeline dönüştürmek</w:t>
      </w:r>
    </w:p>
    <w:p>
      <w:pPr>
        <w:pStyle w:val="ListBullet"/>
        <w:spacing w:after="40"/>
      </w:pPr>
      <w:r>
        <w:t>Hız gerekçesiyle onay, provenance veya authority sınırını atlamak</w:t>
      </w:r>
    </w:p>
    <w:p>
      <w:pPr>
        <w:pStyle w:val="ListBullet"/>
        <w:spacing w:after="40"/>
      </w:pPr>
      <w:r>
        <w:t>Geçici feature flag veya hack’i kurucu mimari yerine kalıcılaştırmak</w:t>
      </w:r>
    </w:p>
    <w:p>
      <w:pPr>
        <w:pStyle w:val="ListBullet"/>
        <w:spacing w:after="40"/>
      </w:pPr>
      <w:r>
        <w:t>Preview deployment üzerinden production kabulü yapmak</w:t>
      </w:r>
    </w:p>
    <w:p>
      <w:pPr>
        <w:pStyle w:val="ListBullet"/>
        <w:spacing w:after="40"/>
      </w:pPr>
      <w:r>
        <w:t>Executive Brain’i yeni modül gereksinimi için tekrar tasarlamak</w:t>
      </w:r>
    </w:p>
    <w:p>
      <w:pPr>
        <w:pStyle w:val="Heading1"/>
      </w:pPr>
      <w:r>
        <w:t>17. Kurucu Mimari Kontrolü</w:t>
      </w:r>
    </w:p>
    <w:p>
      <w:pPr>
        <w:spacing w:after="100"/>
      </w:pPr>
      <w:r>
        <w:t>Her geliştirme production’a alınmadan önce aşağıdaki kontrol bağlayıcıdır:</w:t>
      </w:r>
    </w:p>
    <w:p>
      <w:pPr>
        <w:pStyle w:val="ListNumber"/>
        <w:spacing w:after="40"/>
      </w:pPr>
      <w:r>
        <w:t>METRIX Anayasaları ve Executive Personality kurallarıyla tamamen uyumlu mu?</w:t>
      </w:r>
    </w:p>
    <w:p>
      <w:pPr>
        <w:pStyle w:val="ListNumber"/>
        <w:spacing w:after="40"/>
      </w:pPr>
      <w:r>
        <w:t>Tek Business Reality ve canonical state sahipliğini koruyor mu?</w:t>
      </w:r>
    </w:p>
    <w:p>
      <w:pPr>
        <w:pStyle w:val="ListNumber"/>
        <w:spacing w:after="40"/>
      </w:pPr>
      <w:r>
        <w:t>Executive Brain’i platform olarak kullanıyor, ikinci reasoning veya authority oluşturmuyor mu?</w:t>
      </w:r>
    </w:p>
    <w:p>
      <w:pPr>
        <w:pStyle w:val="ListNumber"/>
        <w:spacing w:after="40"/>
      </w:pPr>
      <w:r>
        <w:t>Gelecekte diğer domainlere yayılabilecek ortak sözleşmenin parçası mı?</w:t>
      </w:r>
    </w:p>
    <w:p>
      <w:pPr>
        <w:pStyle w:val="ListNumber"/>
        <w:spacing w:after="40"/>
      </w:pPr>
      <w:r>
        <w:t>Geçici yama değil, kurucu mimarinin kalıcı parçası mı?</w:t>
      </w:r>
    </w:p>
    <w:p>
      <w:pPr>
        <w:pStyle w:val="ListNumber"/>
        <w:spacing w:after="40"/>
      </w:pPr>
      <w:r>
        <w:t>Kullanıcıya ölçülebilir yönetim değeri sağlıyor mu?</w:t>
      </w:r>
    </w:p>
    <w:p>
      <w:pPr>
        <w:pStyle w:val="ListNumber"/>
        <w:spacing w:after="40"/>
      </w:pPr>
      <w:r>
        <w:t>Production etkisi, migration, rollback ve audit kanıtlandı mı?</w:t>
      </w:r>
    </w:p>
    <w:p>
      <w:pPr>
        <w:spacing w:after="100"/>
      </w:pPr>
      <w:r>
        <w:t>Bu sorulardan herhangi birine “Hayır” cevabı veriliyorsa geliştirme tamamlanmış sayılmaz ve production’a alınmaz.</w:t>
      </w:r>
    </w:p>
    <w:p>
      <w:pPr>
        <w:pStyle w:val="Heading1"/>
      </w:pPr>
      <w:r>
        <w:t>18. Nihai Karar</w:t>
      </w:r>
    </w:p>
    <w:tbl>
      <w:tblPr>
        <w:tblW w:type="auto" w:w="0"/>
        <w:tblLook w:firstColumn="1" w:firstRow="1" w:lastColumn="0" w:lastRow="0" w:noHBand="0" w:noVBand="1" w:val="04A0"/>
      </w:tblPr>
      <w:tblGrid>
        <w:gridCol w:w="9746"/>
      </w:tblGrid>
      <w:tr>
        <w:tc>
          <w:tcPr>
            <w:tcW w:type="dxa" w:w="9746"/>
            <w:shd w:fill="153E42"/>
            <w:tcMar>
              <w:top w:w="300" w:type="dxa"/>
              <w:start w:w="340" w:type="dxa"/>
              <w:bottom w:w="300" w:type="dxa"/>
              <w:end w:w="340" w:type="dxa"/>
            </w:tcMar>
          </w:tcPr>
          <w:p>
            <w:pPr>
              <w:jc w:val="center"/>
            </w:pPr>
            <w:r>
              <w:rPr>
                <w:b/>
                <w:color w:val="FFFFFF"/>
                <w:sz w:val="22"/>
              </w:rPr>
              <w:t>Executive Brain tamamlanmıştır ve bundan sonra METRIX Business OS’un yönetim platformudur.</w:t>
              <w:br/>
              <w:br/>
              <w:t>İlk ürün geliştirme domain’i Şirketim olacaktır.</w:t>
              <w:br/>
              <w:br/>
              <w:t>Şirketim, yalnızca bir sayfa değil; organization context, canonical Company Reality, yetki, çalışma ritmi, doğrulama ve audit sözleşmelerini kuran ilk Business OS domain’idir.</w:t>
            </w:r>
          </w:p>
        </w:tc>
      </w:tr>
    </w:tbl>
    <w:p>
      <w:pPr>
        <w:spacing w:after="100"/>
      </w:pPr>
      <w:r>
        <w:t>Bu belge Foundation klasöründe bağlayıcı kurucu mimari olarak saklanmalıdır. Sonraki tüm domain belgeleri bu dokümanı referans almalı ve burada tanımlanan ortak sözleşmelerle uyumlu olmalıdır.</w:t>
      </w:r>
    </w:p>
    <w:sectPr w:rsidR="00FC693F" w:rsidRPr="0006063C" w:rsidSect="00034616">
      <w:headerReference w:type="default" r:id="rId9"/>
      <w:footerReference w:type="default" r:id="rId10"/>
      <w:pgSz w:w="12240" w:h="15840"/>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D80"/>
        <w:sz w:val="16"/>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Bdr>
        <w:bottom w:val="single" w:sz="4" w:space="4" w:color="AFC4C6"/>
      </w:pBdr>
    </w:pPr>
    <w:r>
      <w:rPr>
        <w:color w:val="607D80"/>
        <w:sz w:val="16"/>
      </w:rPr>
      <w:t>METRIX FOUNDATION  |  İŞLETME SİSTEMİ KURUCU MİMARİSİ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02F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1F4F53"/>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2E6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02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b w:val="0"/>
      <w:i/>
      <w:iCs/>
      <w:color w:val="4F6B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undationPrinciple">
    <w:name w:val="Foundation Principle"/>
    <w:pPr>
      <w:spacing w:before="100" w:after="100"/>
    </w:pPr>
    <w:rPr>
      <w:rFonts w:ascii="Aptos" w:hAnsi="Aptos"/>
      <w:b/>
      <w:color w:val="FFFFF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METRIX İşletme Sistemi Kurucu Mimarisi 1.0</dc:title>
  <dc:subject>Executive Brain üzerine kurulacak ürün domainleri için bağlayıcı Foundation mimarisi</dc:subject>
  <dc:creator>METRIX</dc:creator>
  <cp:keywords>METRIX, Business OS, Foundation, Business Reality, Executive Brain, Product Architecture</cp:keywords>
  <dc:description>generated by python-docx</dc:description>
  <cp:lastModifiedBy/>
  <cp:revision>1</cp:revision>
  <dcterms:created xsi:type="dcterms:W3CDTF">2013-12-23T23:15:00Z</dcterms:created>
  <dcterms:modified xsi:type="dcterms:W3CDTF">2013-12-23T23:15:00Z</dcterms:modified>
  <cp:category/>
</cp:coreProperties>
</file>