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AI OS</w:t>
        <w:br/>
        <w:t>Müşteri Alanı Anayasası V2</w:t>
      </w:r>
    </w:p>
    <w:p>
      <w:r>
        <w:rPr>
          <w:b/>
        </w:rPr>
        <w:t>Amaç</w:t>
        <w:br/>
      </w:r>
      <w:r>
        <w:t>Bu belge METRIX AI OS içindeki Müşteriler alanının değişmez anayasal kurallarını tanımlar. Kod, veri modeli, servisler ve kullanıcı arayüzü bu ilkelere uymak zorundadır.</w:t>
      </w:r>
    </w:p>
    <w:p>
      <w:pPr>
        <w:pStyle w:val="Heading2"/>
      </w:pPr>
      <w:r>
        <w:t>1. Felsefe</w:t>
      </w:r>
    </w:p>
    <w:p>
      <w:r>
        <w:t>METRIX'te müşteri bir CRM satırı değil, yaşayan kurumsal bir varlıktır. Her müşteri, şirket hafızası ve yönetim zekâsının merkezidir.</w:t>
      </w:r>
    </w:p>
    <w:p>
      <w:pPr>
        <w:pStyle w:val="Heading2"/>
      </w:pPr>
      <w:r>
        <w:t>2. Kanonik Kimlik</w:t>
      </w:r>
    </w:p>
    <w:p>
      <w:r>
        <w:t>Customer şirketi temsil eder. Person gerçek insanı temsil eder. CustomerContact iki varlık arasındaki ilişki katmanıdır. Tek kanonik müşteri kimliği Customer'dır.</w:t>
      </w:r>
    </w:p>
    <w:p>
      <w:pPr>
        <w:pStyle w:val="Heading2"/>
      </w:pPr>
      <w:r>
        <w:t>3. Customer Yaşam Döngüsü</w:t>
      </w:r>
    </w:p>
    <w:p>
      <w:r>
        <w:t>Oluşturma, doğrulama, zenginleştirme, aktif kullanım, pasife alma ve arşivleme aşamalarından oluşur. Hard delete kullanılmaz.</w:t>
      </w:r>
    </w:p>
    <w:p>
      <w:pPr>
        <w:pStyle w:val="Heading2"/>
      </w:pPr>
      <w:r>
        <w:t>4. Contact Yaşam Döngüsü</w:t>
      </w:r>
    </w:p>
    <w:p>
      <w:r>
        <w:t>İlk kayıt için tek iletişim kişisi yeterlidir. Yeni kişiler iş akışları sırasında eklenir. Roller zamanla genişletilebilir; ilişki geçmişi korunur.</w:t>
      </w:r>
    </w:p>
    <w:p>
      <w:pPr>
        <w:pStyle w:val="Heading2"/>
      </w:pPr>
      <w:r>
        <w:t>5. Şirket Hafızası</w:t>
      </w:r>
    </w:p>
    <w:p>
      <w:r>
        <w:t>Müşteri hafızası; notlar, görüşmeler, kararlar, açık döngüler, riskler, fırsatlar, AI çıkarımları ve ilişki geçmişini içerir.</w:t>
      </w:r>
    </w:p>
    <w:p>
      <w:pPr>
        <w:pStyle w:val="Heading2"/>
      </w:pPr>
      <w:r>
        <w:t>6. Customer Intelligence</w:t>
      </w:r>
    </w:p>
    <w:p>
      <w:r>
        <w:t>İlişki skoru, güven, büyüme potansiyeli, tahsilat riski, fiyat hassasiyeti ve benzeri değerlendirmeler müşteri seviyesinde tutulur.</w:t>
      </w:r>
    </w:p>
    <w:p>
      <w:pPr>
        <w:pStyle w:val="Heading2"/>
      </w:pPr>
      <w:r>
        <w:t>7. World Model</w:t>
      </w:r>
    </w:p>
    <w:p>
      <w:r>
        <w:t>Teklifler, siparişler, tahsilatlar, belgeler, görevler, toplantılar, e-postalar, raporlar ve entegrasyon kayıtları aynı Customer kimliği etrafında birleşir.</w:t>
      </w:r>
    </w:p>
    <w:p>
      <w:pPr>
        <w:pStyle w:val="Heading2"/>
      </w:pPr>
      <w:r>
        <w:t>8. Veri Girişi</w:t>
      </w:r>
    </w:p>
    <w:p>
      <w:r>
        <w:t>Manuel, Excel, CSV, CRM, ERP, muhasebe yazılımları, API ve gelecekteki kaynaklar aynı kanonik modele yazar.</w:t>
      </w:r>
    </w:p>
    <w:p>
      <w:pPr>
        <w:pStyle w:val="Heading2"/>
      </w:pPr>
      <w:r>
        <w:t>9. Sabit ve Dinamik Alanlar</w:t>
      </w:r>
    </w:p>
    <w:p>
      <w:r>
        <w:t>Kurumsal çekirdek sabit alanlardan oluşur. Sektöre özgü ihtiyaçlar genişletilebilir dinamik alan sistemiyle yönetilir. Her yeni ihtiyaç için tabloya yeni kolon eklenmez.</w:t>
      </w:r>
    </w:p>
    <w:p>
      <w:pPr>
        <w:pStyle w:val="Heading2"/>
      </w:pPr>
      <w:r>
        <w:t>10. AI Öğrenmesi</w:t>
      </w:r>
    </w:p>
    <w:p>
      <w:r>
        <w:t>METRIX müşteri hakkında öğrenebilir ancak kullanıcı onayı olmadan resmi veri oluşturmaz. AI kaynaklı bilgiler kaynak etiketiyle saklanır.</w:t>
      </w:r>
    </w:p>
    <w:p>
      <w:pPr>
        <w:pStyle w:val="Heading2"/>
      </w:pPr>
      <w:r>
        <w:t>11. İletişim Motoru</w:t>
      </w:r>
    </w:p>
    <w:p>
      <w:r>
        <w:t>Teklif, cari ekstre, tahsilat ve teknik dokümanlar şirket adına gönderilir. Doğru CustomerContact seçilir; gerekirse kullanıcıdan yalnızca eksik bilgi istenir. Telefon rehberi seçimi desteklenir.</w:t>
      </w:r>
    </w:p>
    <w:p>
      <w:pPr>
        <w:pStyle w:val="Heading2"/>
      </w:pPr>
      <w:r>
        <w:t>12. Executive Presence</w:t>
      </w:r>
    </w:p>
    <w:p>
      <w:r>
        <w:t>METRIX tüm sayfalarda yaşayan bir varlıktır. Aktif modülü, seçili müşteriyi, sekmeyi ve bağlamı bilir. Sesli ve yazılı deneyim aynı bağlamı paylaşır.</w:t>
      </w:r>
    </w:p>
    <w:p>
      <w:pPr>
        <w:pStyle w:val="Heading2"/>
      </w:pPr>
      <w:r>
        <w:t>13. Yetkilendirme ve Güvenlik</w:t>
      </w:r>
    </w:p>
    <w:p>
      <w:r>
        <w:t>Yüksek etkili işlemler açık onay ister. En az yetki ilkesi uygulanır. Tüm işlemler denetlenebilir olmalıdır.</w:t>
      </w:r>
    </w:p>
    <w:p>
      <w:pPr>
        <w:pStyle w:val="Heading2"/>
      </w:pPr>
      <w:r>
        <w:t>14. Audit ve İzlenebilirlik</w:t>
      </w:r>
    </w:p>
    <w:p>
      <w:r>
        <w:t>Veri değişiklikleri, dış iletişimler ve AI destekli kararlar kaynak, zaman ve kullanıcı bilgisiyle kayıt altına alınır.</w:t>
      </w:r>
    </w:p>
    <w:p>
      <w:pPr>
        <w:pStyle w:val="Heading2"/>
      </w:pPr>
      <w:r>
        <w:t>15. Geliştirme İlkeleri</w:t>
      </w:r>
    </w:p>
    <w:p>
      <w:r>
        <w:t>Önce anayasa, sonra mimari, sonra veri modeli, ardından servisler ve en son kullanıcı arayüzü geliştirilir. Kısa vadeli kolaylık için mimari bütünlük bozulmaz.</w:t>
      </w:r>
    </w:p>
    <w:p>
      <w:pPr>
        <w:pStyle w:val="Heading2"/>
      </w:pPr>
      <w:r>
        <w:t>Bağlayıcı Sonuç</w:t>
      </w:r>
    </w:p>
    <w:p>
      <w:r>
        <w:t>METRIX Müşteriler Modülü klasik bir CRM değildir. Bu alan yaşayan AI Genel Müdürün kurumsal müşteri hafızasını, yönetim muhakemesini ve şirket ilişkilerini yöneten çekirdek domaindir. Bu belge gelecekte yapılacak tüm geliştirmeler için anayasal referans kabul edilir.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