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Course evaluation by course organiser</w:t>
      </w:r>
    </w:p>
    <w:p>
      <w:pPr>
        <w:pStyle w:val="Normal"/>
        <w:rPr/>
      </w:pPr>
      <w:r>
        <w:rPr>
          <w:sz w:val="24"/>
          <w:szCs w:val="24"/>
          <w:lang w:val="en-GB"/>
        </w:rPr>
        <w:t xml:space="preserve">To ensure that course evaluations have an effect on teaching quality and the development of the course and to make sure that DIKUs teaching committee has a good basis for processing the student course evaluations please fill out this form. This is the course organiser´s own evaluation of the course. Please involve other lecturers and teaching assistants when relevant. Please send the evaluation to </w:t>
      </w:r>
      <w:hyperlink r:id="rId2">
        <w:r>
          <w:rPr>
            <w:rStyle w:val="InternetLink"/>
            <w:sz w:val="24"/>
            <w:szCs w:val="24"/>
            <w:lang w:val="en-GB"/>
          </w:rPr>
          <w:t>vilu@di.ku.dk</w:t>
        </w:r>
      </w:hyperlink>
      <w:r>
        <w:rPr>
          <w:sz w:val="24"/>
          <w:szCs w:val="24"/>
          <w:lang w:val="en-GB"/>
        </w:rPr>
        <w:t xml:space="preserve">.  Deadline: one week after reporting the grades in your course.  </w:t>
      </w:r>
    </w:p>
    <w:p>
      <w:pPr>
        <w:pStyle w:val="Normal"/>
        <w:rPr/>
      </w:pPr>
      <w:r>
        <w:rPr>
          <w:sz w:val="24"/>
          <w:szCs w:val="24"/>
          <w:lang w:val="en-GB"/>
        </w:rPr>
        <w:t xml:space="preserve">Find more information about the evaluation procedures here: </w:t>
      </w:r>
      <w:hyperlink r:id="rId3">
        <w:r>
          <w:rPr>
            <w:rStyle w:val="InternetLink"/>
            <w:lang w:val="en-GB"/>
          </w:rPr>
          <w:t>https://intranet.ku.dk/diku/teaching/evaluation/Pages/default.aspx</w:t>
        </w:r>
      </w:hyperlink>
    </w:p>
    <w:tbl>
      <w:tblPr>
        <w:tblStyle w:val="Tabel-Gitter"/>
        <w:tblW w:w="97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054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Course block and year</w:t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blo</w:t>
            </w:r>
            <w:r>
              <w:rPr>
                <w:sz w:val="24"/>
                <w:szCs w:val="24"/>
                <w:lang w:val="en-GB"/>
              </w:rPr>
              <w:t>c</w:t>
            </w:r>
            <w:r>
              <w:rPr>
                <w:sz w:val="24"/>
                <w:szCs w:val="24"/>
                <w:lang w:val="en-GB"/>
              </w:rPr>
              <w:t>k 2, 2019/20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Course name and number</w:t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Vision and Image Processing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Your name</w:t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Søren I. Olsen</w:t>
            </w:r>
          </w:p>
        </w:tc>
      </w:tr>
      <w:tr>
        <w:trPr>
          <w:trHeight w:val="3182" w:hRule="atLeast"/>
        </w:trPr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Which are the most common student’s comments? What are your own reflections about the student’s comments?  (The student evaluations are at KUnet: SYSTEMADGANGE &gt; Kursusevaluering SCIENCE (eng. Course evaluation SCIENCE). </w:t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lang w:val="en-US"/>
              </w:rPr>
              <w:t>As for the previous years, the domination comments is about lack of pr</w:t>
            </w:r>
            <w:r>
              <w:rPr>
                <w:sz w:val="24"/>
                <w:szCs w:val="24"/>
                <w:lang w:val="en-US"/>
              </w:rPr>
              <w:t>ere</w:t>
            </w:r>
            <w:r>
              <w:rPr>
                <w:sz w:val="24"/>
                <w:szCs w:val="24"/>
                <w:lang w:val="en-US"/>
              </w:rPr>
              <w:t>quisites for some of the studen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s from IT and Cognition.  Although we have minimized the use of math and programming, they clearly have a hard time. We continue to ease the life for those student but see no way to teach the course without a little math and programming. Also, the students seem to learn what is needed.</w:t>
            </w:r>
          </w:p>
        </w:tc>
      </w:tr>
      <w:tr>
        <w:trPr>
          <w:trHeight w:val="2547" w:hRule="atLeast"/>
        </w:trPr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Did you go through the student evaluations in class? If yes, did that bring about further insights into the written student evaluations?</w:t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lang w:val="en-GB"/>
              </w:rPr>
              <w:t>Yes, 3 students showed up. One comment was that the course complemented other elements (neuro-) of the I</w:t>
            </w:r>
            <w:r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>&amp;Cog-curriculum well. Other comments were: To add expected results on assignments, to upload slides before lectures, to give more time for math</w:t>
            </w:r>
            <w:r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and using more repetitions. To improve the link between theory and program. To improve written and spoken language. To remind the students on using the discussion forum.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  <w:tr>
        <w:trPr>
          <w:trHeight w:val="2533" w:hRule="atLeast"/>
        </w:trPr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adjustments/changes/initiatives, if any, do you propose to address positive and negative student feedback?</w:t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lang w:val="en-GB"/>
              </w:rPr>
              <w:t>Next year we will write a small set of math</w:t>
            </w:r>
            <w:r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>- and programming exercises that will show the students what we expect them to be able to, e.g. adding and mult</w:t>
            </w:r>
            <w:r>
              <w:rPr>
                <w:sz w:val="24"/>
                <w:szCs w:val="24"/>
                <w:lang w:val="en-GB"/>
              </w:rPr>
              <w:t>i</w:t>
            </w:r>
            <w:r>
              <w:rPr>
                <w:sz w:val="24"/>
                <w:szCs w:val="24"/>
                <w:lang w:val="en-GB"/>
              </w:rPr>
              <w:t>plying vectors and matrices, rotating an image etc.  This also will streamline the first TA-sessions. We should create a small dummy-assignments to learn the student how to sign up for group assignments. We should make clear in good time in advance if we expected some assignments to take more time.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  <w:tr>
        <w:trPr>
          <w:trHeight w:val="2826" w:hRule="atLeast"/>
        </w:trPr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What worked well in your course? Did something make a noticeable difference? E.g. a new teaching strategy, format for feedback or type of assignments.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initiatives, if any, could be inspirational for other course organisers?</w:t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lang w:val="en-GB"/>
              </w:rPr>
              <w:t>This year we changed a few lectures to include more Photo</w:t>
            </w:r>
            <w:r>
              <w:rPr>
                <w:sz w:val="24"/>
                <w:szCs w:val="24"/>
                <w:lang w:val="en-GB"/>
              </w:rPr>
              <w:t>m</w:t>
            </w:r>
            <w:r>
              <w:rPr>
                <w:sz w:val="24"/>
                <w:szCs w:val="24"/>
                <w:lang w:val="en-GB"/>
              </w:rPr>
              <w:t xml:space="preserve">etric stereo, Segmentation and analysis of Range Data. Also, the matching and CBIR assignments </w:t>
            </w:r>
            <w:r>
              <w:rPr>
                <w:sz w:val="24"/>
                <w:szCs w:val="24"/>
                <w:lang w:val="en-GB"/>
              </w:rPr>
              <w:t>were</w:t>
            </w:r>
            <w:r>
              <w:rPr>
                <w:sz w:val="24"/>
                <w:szCs w:val="24"/>
                <w:lang w:val="en-GB"/>
              </w:rPr>
              <w:t xml:space="preserve"> replaced by a stitching and a segmentation assignments.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This to have a larger repertoire of future assignment types.</w:t>
            </w:r>
          </w:p>
        </w:tc>
      </w:tr>
      <w:tr>
        <w:trPr>
          <w:trHeight w:val="2826" w:hRule="atLeast"/>
        </w:trPr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adjustments, if any, to the course description, is urgent?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  <w:tc>
          <w:tcPr>
            <w:tcW w:w="6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None, so far but: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lang w:val="en-GB"/>
              </w:rPr>
              <w:t>One problem seems to be that the studen</w:t>
            </w:r>
            <w:r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 xml:space="preserve">s answer the quizzes in larger groups and not individually as intended. If this behaviour continues, a change in the </w:t>
            </w:r>
            <w:r>
              <w:rPr>
                <w:sz w:val="24"/>
                <w:szCs w:val="24"/>
                <w:lang w:val="en-GB"/>
              </w:rPr>
              <w:t>examination</w:t>
            </w:r>
            <w:r>
              <w:rPr>
                <w:sz w:val="24"/>
                <w:szCs w:val="24"/>
                <w:lang w:val="en-GB"/>
              </w:rPr>
              <w:t xml:space="preserve"> form might be relevant.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a-DK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51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61dd1"/>
    <w:rPr>
      <w:color w:val="0000FF" w:themeColor="hyperlink"/>
      <w:u w:val="single"/>
    </w:rPr>
  </w:style>
  <w:style w:type="character" w:styleId="FodnotetekstTegn" w:customStyle="1">
    <w:name w:val="Fodnotetekst Tegn"/>
    <w:basedOn w:val="DefaultParagraphFont"/>
    <w:link w:val="Fodnotetekst"/>
    <w:uiPriority w:val="99"/>
    <w:semiHidden/>
    <w:qFormat/>
    <w:rsid w:val="00561dd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1dd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c04b9"/>
    <w:rPr>
      <w:color w:val="800080" w:themeColor="followedHyperlink"/>
      <w:u w:val="single"/>
    </w:rPr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e159a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4"/>
      <w:szCs w:val="24"/>
      <w:lang w:val="en-GB"/>
    </w:rPr>
  </w:style>
  <w:style w:type="character" w:styleId="ListLabel2">
    <w:name w:val="ListLabel 2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5128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FodnotetekstTegn"/>
    <w:uiPriority w:val="99"/>
    <w:semiHidden/>
    <w:unhideWhenUsed/>
    <w:rsid w:val="00561dd1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e159a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2a2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lu@di.ku.dk" TargetMode="External"/><Relationship Id="rId3" Type="http://schemas.openxmlformats.org/officeDocument/2006/relationships/hyperlink" Target="https://intranet.ku.dk/diku/teaching/evaluation/Pages/default.asp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EDFB7A49A4E541A7A8525E3383C440" ma:contentTypeVersion="1" ma:contentTypeDescription="Opret et nyt dokument." ma:contentTypeScope="" ma:versionID="6682899b4a15d1f85d9833be452f9fe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9ab32b06ea92b131d4c19fd7ce45f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AAFAD-A52D-4643-AC51-16785E707267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39FDC6D-6410-43CC-94D4-2A4A87B6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58E2980-D9DF-4F6B-9464-C57CE534F9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E39D41-74FF-8249-BFA7-0E7C0B58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LibreOffice/6.0.7.3$Linux_X86_64 LibreOffice_project/00m0$Build-3</Application>
  <Pages>2</Pages>
  <Words>514</Words>
  <Characters>2761</Characters>
  <CharactersWithSpaces>3261</CharactersWithSpaces>
  <Paragraphs>22</Paragraphs>
  <Company>University of Copenhagen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2020-01-13T09:01:00Z</dcterms:created>
  <dc:creator>Kristine Schultz Olsen</dc:creator>
  <dc:description/>
  <dc:language>fr-FR</dc:language>
  <cp:lastModifiedBy/>
  <cp:lastPrinted>2019-02-11T12:46:00Z</cp:lastPrinted>
  <dcterms:modified xsi:type="dcterms:W3CDTF">2020-01-22T12:02:10Z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Copenhagen</vt:lpwstr>
  </property>
  <property fmtid="{D5CDD505-2E9C-101B-9397-08002B2CF9AE}" pid="4" name="ContentRemapped">
    <vt:lpwstr>true</vt:lpwstr>
  </property>
  <property fmtid="{D5CDD505-2E9C-101B-9397-08002B2CF9AE}" pid="5" name="ContentTypeId">
    <vt:lpwstr>0x01010002EDFB7A49A4E541A7A8525E3383C440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