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Informe de Implementación de Pruebas End-to-End con Playwright sobre la Aplicación Web Dizi</w:t>
      </w:r>
    </w:p>
    <w:p>
      <w:pPr>
        <w:spacing w:after="0" w:line="480"/>
      </w:pPr>
      <w:r>
        <w:t xml:space="preserve"/>
      </w:r>
    </w:p>
    <w:p>
      <w:pPr>
        <w:spacing w:after="0" w:line="480"/>
        <w:jc w:val="center"/>
      </w:pPr>
      <w:r>
        <w:rPr>
          <w:b w:val="false"/>
          <w:bCs w:val="false"/>
        </w:rPr>
        <w:t xml:space="preserve">Jack Franklin Quispe Luján</w:t>
      </w:r>
    </w:p>
    <w:p>
      <w:pPr>
        <w:spacing w:after="0" w:line="480"/>
        <w:jc w:val="center"/>
      </w:pPr>
      <w:r>
        <w:rPr>
          <w:b w:val="false"/>
          <w:bCs w:val="false"/>
        </w:rPr>
        <w:t xml:space="preserve">Escuela Profesional de Ingeniería de Sistemas, Universidad Nacional de San Cristóbal de Huamanga</w:t>
      </w:r>
    </w:p>
    <w:p>
      <w:pPr>
        <w:spacing w:after="0" w:line="480"/>
        <w:jc w:val="center"/>
      </w:pPr>
      <w:r>
        <w:rPr>
          <w:b w:val="false"/>
          <w:bCs w:val="false"/>
        </w:rPr>
        <w:t xml:space="preserve">IS-489: Pruebas y Aseguramiento de Calidad de Software</w:t>
      </w:r>
    </w:p>
    <w:p>
      <w:pPr>
        <w:spacing w:after="0" w:line="480"/>
        <w:jc w:val="center"/>
      </w:pPr>
      <w:r>
        <w:rPr>
          <w:b w:val="false"/>
          <w:bCs w:val="false"/>
        </w:rPr>
        <w:t xml:space="preserve">Mg. Richard Zapata Casaverde</w:t>
      </w:r>
    </w:p>
    <w:p>
      <w:pPr>
        <w:spacing w:after="0" w:line="480"/>
        <w:jc w:val="center"/>
      </w:pPr>
      <w:r>
        <w:rPr>
          <w:b w:val="false"/>
          <w:bCs w:val="false"/>
        </w:rPr>
        <w:t xml:space="preserve">18 de julio de 2026</w:t>
      </w:r>
    </w:p>
    <w:p>
      <w:r>
        <w:br w:type="page"/>
      </w:r>
    </w:p>
    <w:p>
      <w:pPr>
        <w:pStyle w:val="Heading1"/>
        <w:spacing w:after="0" w:line="480"/>
        <w:jc w:val="center"/>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0" w:line="480"/>
        <w:jc w:val="center"/>
      </w:pPr>
      <w:r>
        <w:t xml:space="preserve">Introducción</w:t>
      </w:r>
    </w:p>
    <w:p>
      <w:pPr>
        <w:spacing w:after="0" w:line="480"/>
        <w:ind w:firstLine="720"/>
        <w:jc w:val="left"/>
      </w:pPr>
      <w:r>
        <w:t xml:space="preserve">El presente informe documenta el proceso de implementación de pruebas end-to-end (E2E) sobre la aplicación web Dizi, un catálogo dinámico SaaS multi-tienda desplegado en producción sobre Vercel y Supabase, utilizando la herramienta de automatización Playwright. Las pruebas E2E validan el sistema desde la perspectiva del usuario final: un navegador real ejecuta los flujos completos de la aplicación en funcionamiento (navegación, formularios, carrito de compras y checkout), verificando la integración de todas las capas del sistema: interfaz de usuario, lógica de negocio, API y base de datos (Crispin &amp; Gregory, 2009).</w:t>
      </w:r>
    </w:p>
    <w:p>
      <w:pPr>
        <w:spacing w:after="0" w:line="480"/>
        <w:ind w:firstLine="720"/>
        <w:jc w:val="left"/>
      </w:pPr>
      <w:r>
        <w:t xml:space="preserve">Este trabajo comprende tres entregables: la suite de pruebas E2E implementada y versionada en el repositorio del proyecto, el presente informe del proceso de implementación con el análisis de los resultados, y el video de la ejecución de las pruebas, cuya evidencia base (grabaciones en formato .webm por cada prueba) es generada automáticamente por la propia herramienta.</w:t>
      </w:r>
    </w:p>
    <w:p>
      <w:pPr>
        <w:pStyle w:val="Heading2"/>
        <w:spacing w:after="0" w:line="480"/>
        <w:jc w:val="left"/>
      </w:pPr>
      <w:r>
        <w:t xml:space="preserve">Objetivos</w:t>
      </w:r>
    </w:p>
    <w:p>
      <w:pPr>
        <w:spacing w:after="0" w:line="480"/>
        <w:ind w:firstLine="720"/>
        <w:jc w:val="left"/>
      </w:pPr>
      <w:r>
        <w:t xml:space="preserve">El objetivo general es implementar pruebas E2E automatizadas sobre una aplicación web real, documentando el proceso conforme a las prácticas de la ingeniería de pruebas de software (International Organization for Standardization [ISO], 2022). Los objetivos específicos son: seleccionar y justificar la herramienta de automatización; diseñar escenarios de prueba trazables a los requisitos del sistema; ejecutar las pruebas en perfiles de escritorio y móvil generando evidencia audiovisual; y analizar los resultados obtenidos, identificando hallazgos y mejoras.</w:t>
      </w:r>
    </w:p>
    <w:p>
      <w:pPr>
        <w:pStyle w:val="Heading1"/>
        <w:spacing w:after="0" w:line="480"/>
        <w:jc w:val="center"/>
      </w:pPr>
      <w:r>
        <w:t xml:space="preserve">Selección de la Herramienta</w:t>
      </w:r>
    </w:p>
    <w:p>
      <w:pPr>
        <w:spacing w:after="0" w:line="480"/>
        <w:ind w:firstLine="720"/>
        <w:jc w:val="left"/>
      </w:pPr>
      <w:r>
        <w:t xml:space="preserve">Se evaluaron las principales herramientas de automatización E2E disponibles, considerando compatibilidad con el ecosistema TypeScript del proyecto, generación nativa de evidencias y estabilidad de ejecución. La Tabla 1 resume la comparación realizada.</w:t>
      </w:r>
    </w:p>
    <w:p>
      <w:pPr>
        <w:spacing w:after="0" w:before="240" w:line="480"/>
      </w:pPr>
      <w:r>
        <w:rPr>
          <w:b/>
          <w:bCs/>
        </w:rPr>
        <w:t xml:space="preserve">Tabla 1</w:t>
      </w:r>
    </w:p>
    <w:p>
      <w:pPr>
        <w:spacing w:after="0" w:line="480"/>
      </w:pPr>
      <w:r>
        <w:rPr>
          <w:i/>
          <w:iCs/>
        </w:rPr>
        <w:t xml:space="preserve">Comparación de herramientas de automatización de pruebas E2E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800"/>
        <w:gridCol w:w="1526"/>
      </w:tblGrid>
      <w:tr>
        <w:trPr>
          <w:tblHeader/>
        </w:trPr>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Herramienta</w:t>
            </w:r>
          </w:p>
        </w:tc>
        <w:tc>
          <w:tcPr>
            <w:tcW w:type="dxa" w:w="30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Fortalezas</w:t>
            </w:r>
          </w:p>
        </w:tc>
        <w:tc>
          <w:tcPr>
            <w:tcW w:type="dxa" w:w="28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Limitaciones</w:t>
            </w:r>
          </w:p>
        </w:tc>
        <w:tc>
          <w:tcPr>
            <w:tcW w:type="dxa" w:w="152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Decisión</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Playwright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Multi-navegador (Chromium, Firefox, WebKit); video y trace nativos; auto-espera; emulación móvil; soporte TypeScript.</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Curva de aprendizaje inicial para el análisis de traces.</w:t>
            </w:r>
          </w:p>
        </w:tc>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Seleccionada</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Cypress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Buena experiencia de desarrollo; depuración con viaje en el tiempo.</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Limitado al navegador; soporte multi-pestaña restringido.</w:t>
            </w:r>
          </w:p>
        </w:tc>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Descartada</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Selenium</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Estándar histórico; soporte de múltiples lenguajes.</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Sin auto-espera nativa; configuración compleja; mayor fragilidad.</w:t>
            </w:r>
          </w:p>
        </w:tc>
        <w:tc>
          <w:tcPr>
            <w:tcW w:type="dxa" w:w="1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Descartada</w:t>
            </w:r>
          </w:p>
        </w:tc>
      </w:tr>
      <w:tr>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TestSprite</w:t>
            </w:r>
          </w:p>
        </w:tc>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Generación de pruebas asistida por inteligencia artificial.</w:t>
            </w:r>
          </w:p>
        </w:tc>
        <w:tc>
          <w:tcPr>
            <w:tcW w:type="dxa" w:w="28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Servicio externo de pago; menor control del código de prueba.</w:t>
            </w:r>
          </w:p>
        </w:tc>
        <w:tc>
          <w:tcPr>
            <w:tcW w:type="dxa" w:w="152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Descartada</w:t>
            </w:r>
          </w:p>
        </w:tc>
      </w:tr>
    </w:tbl>
    <w:p>
      <w:pPr>
        <w:spacing w:after="0" w:line="480"/>
      </w:pPr>
      <w:r>
        <w:t xml:space="preserve"/>
      </w:r>
    </w:p>
    <w:p>
      <w:pPr>
        <w:spacing w:after="0" w:line="480"/>
        <w:ind w:firstLine="720"/>
        <w:jc w:val="left"/>
      </w:pPr>
      <w:r>
        <w:t xml:space="preserve">Playwright fue seleccionada por tres razones decisivas: genera video y trace navegable de cada prueba de forma nativa, lo que cubre directamente el entregable de evidencia audiovisual; su mecanismo de auto-espera reduce la fragilidad típica de las pruebas E2E; y se integra con el ecosistema TypeScript del proyecto sin herramientas adicionales (Microsoft, 2025).</w:t>
      </w:r>
    </w:p>
    <w:p>
      <w:pPr>
        <w:pStyle w:val="Heading1"/>
        <w:spacing w:after="0" w:line="480"/>
        <w:jc w:val="center"/>
      </w:pPr>
      <w:r>
        <w:t xml:space="preserve">Proceso de Implementación</w:t>
      </w:r>
    </w:p>
    <w:p>
      <w:pPr>
        <w:pStyle w:val="Heading2"/>
        <w:spacing w:after="0" w:line="480"/>
        <w:jc w:val="left"/>
      </w:pPr>
      <w:r>
        <w:t xml:space="preserve">Instalación</w:t>
      </w:r>
    </w:p>
    <w:p>
      <w:pPr>
        <w:spacing w:after="0" w:line="480"/>
        <w:ind w:firstLine="720"/>
        <w:jc w:val="left"/>
      </w:pPr>
      <w:r>
        <w:t xml:space="preserve">Sobre la raíz del proyecto (React 19, TypeScript y Vite 7) se instaló el ejecutor de pruebas y el navegador administrado mediante los comandos que muestra la Figura 1.</w:t>
      </w:r>
    </w:p>
    <w:p>
      <w:pPr>
        <w:spacing w:after="0" w:before="240" w:line="480"/>
      </w:pPr>
      <w:r>
        <w:rPr>
          <w:b/>
          <w:bCs/>
        </w:rPr>
        <w:t xml:space="preserve">Figura 1</w:t>
      </w:r>
    </w:p>
    <w:p>
      <w:pPr>
        <w:spacing w:after="0" w:line="480"/>
      </w:pPr>
      <w:r>
        <w:rPr>
          <w:i/>
          <w:iCs/>
        </w:rPr>
        <w:t xml:space="preserve">Comandos de instalación de Playwright</w:t>
      </w:r>
    </w:p>
    <w:p>
      <w:pPr>
        <w:spacing w:after="0" w:line="240"/>
        <w:ind w:left="360"/>
      </w:pPr>
      <w:r>
        <w:rPr>
          <w:rFonts w:ascii="Courier New" w:cs="Courier New" w:eastAsia="Courier New" w:hAnsi="Courier New"/>
          <w:sz w:val="21"/>
          <w:szCs w:val="21"/>
        </w:rPr>
        <w:t xml:space="preserve">npm install -D @playwright/test        # ejecutor de pruebas</w:t>
      </w:r>
    </w:p>
    <w:p>
      <w:pPr>
        <w:spacing w:after="0" w:line="240"/>
        <w:ind w:left="360"/>
      </w:pPr>
      <w:r>
        <w:rPr>
          <w:rFonts w:ascii="Courier New" w:cs="Courier New" w:eastAsia="Courier New" w:hAnsi="Courier New"/>
          <w:sz w:val="21"/>
          <w:szCs w:val="21"/>
        </w:rPr>
        <w:t xml:space="preserve">npx playwright install chromium        # navegador administrado</w:t>
      </w:r>
    </w:p>
    <w:p>
      <w:pPr>
        <w:pStyle w:val="Heading2"/>
        <w:spacing w:after="0" w:line="480"/>
        <w:jc w:val="left"/>
      </w:pPr>
      <w:r>
        <w:t xml:space="preserve">Estructura de Archivos</w:t>
      </w:r>
    </w:p>
    <w:p>
      <w:pPr>
        <w:spacing w:after="0" w:line="480"/>
        <w:ind w:firstLine="720"/>
        <w:jc w:val="left"/>
      </w:pPr>
      <w:r>
        <w:t xml:space="preserve">La implementación se organizó en dos suites dentro del directorio tests/e2e, junto con el archivo de configuración en la raíz del proyecto, como muestra la Figura 2.</w:t>
      </w:r>
    </w:p>
    <w:p>
      <w:pPr>
        <w:spacing w:after="0" w:before="240" w:line="480"/>
      </w:pPr>
      <w:r>
        <w:rPr>
          <w:b/>
          <w:bCs/>
        </w:rPr>
        <w:t xml:space="preserve">Figura 2</w:t>
      </w:r>
    </w:p>
    <w:p>
      <w:pPr>
        <w:spacing w:after="0" w:line="480"/>
      </w:pPr>
      <w:r>
        <w:rPr>
          <w:i/>
          <w:iCs/>
        </w:rPr>
        <w:t xml:space="preserve">Estructura de archivos de la solución de pruebas</w:t>
      </w:r>
    </w:p>
    <w:p>
      <w:pPr>
        <w:spacing w:after="0" w:line="240"/>
        <w:ind w:left="360"/>
      </w:pPr>
      <w:r>
        <w:rPr>
          <w:rFonts w:ascii="Courier New" w:cs="Courier New" w:eastAsia="Courier New" w:hAnsi="Courier New"/>
          <w:sz w:val="21"/>
          <w:szCs w:val="21"/>
        </w:rPr>
        <w:t xml:space="preserve">catalog-connect-main/</w:t>
      </w:r>
    </w:p>
    <w:p>
      <w:pPr>
        <w:spacing w:after="0" w:line="240"/>
        <w:ind w:left="360"/>
      </w:pPr>
      <w:r>
        <w:rPr>
          <w:rFonts w:ascii="Courier New" w:cs="Courier New" w:eastAsia="Courier New" w:hAnsi="Courier New"/>
          <w:sz w:val="21"/>
          <w:szCs w:val="21"/>
        </w:rPr>
        <w:t xml:space="preserve">|- playwright.config.ts      &lt;- configuracion (video, trace, baseURL)</w:t>
      </w:r>
    </w:p>
    <w:p>
      <w:pPr>
        <w:spacing w:after="0" w:line="240"/>
        <w:ind w:left="360"/>
      </w:pPr>
      <w:r>
        <w:rPr>
          <w:rFonts w:ascii="Courier New" w:cs="Courier New" w:eastAsia="Courier New" w:hAnsi="Courier New"/>
          <w:sz w:val="21"/>
          <w:szCs w:val="21"/>
        </w:rPr>
        <w:t xml:space="preserve">|- tests/e2e/</w:t>
      </w:r>
    </w:p>
    <w:p>
      <w:pPr>
        <w:spacing w:after="0" w:line="240"/>
        <w:ind w:left="360"/>
      </w:pPr>
      <w:r>
        <w:rPr>
          <w:rFonts w:ascii="Courier New" w:cs="Courier New" w:eastAsia="Courier New" w:hAnsi="Courier New"/>
          <w:sz w:val="21"/>
          <w:szCs w:val="21"/>
        </w:rPr>
        <w:t xml:space="preserve">|   |- smoke.spec.ts         &lt;- SMK-01..05: paginas publicas</w:t>
      </w:r>
    </w:p>
    <w:p>
      <w:pPr>
        <w:spacing w:after="0" w:line="240"/>
        <w:ind w:left="360"/>
      </w:pPr>
      <w:r>
        <w:rPr>
          <w:rFonts w:ascii="Courier New" w:cs="Courier New" w:eastAsia="Courier New" w:hAnsi="Courier New"/>
          <w:sz w:val="21"/>
          <w:szCs w:val="21"/>
        </w:rPr>
        <w:t xml:space="preserve">|   |- catalogo.spec.ts      &lt;- E2E-01..05: flujos de negocio</w:t>
      </w:r>
    </w:p>
    <w:p>
      <w:pPr>
        <w:spacing w:after="0" w:line="240"/>
        <w:ind w:left="360"/>
      </w:pPr>
      <w:r>
        <w:rPr>
          <w:rFonts w:ascii="Courier New" w:cs="Courier New" w:eastAsia="Courier New" w:hAnsi="Courier New"/>
          <w:sz w:val="21"/>
          <w:szCs w:val="21"/>
        </w:rPr>
        <w:t xml:space="preserve">|- package.json              &lt;- scripts: test:e2e, test:e2e:headed, test:e2e:report</w:t>
      </w:r>
    </w:p>
    <w:p>
      <w:pPr>
        <w:pStyle w:val="Heading2"/>
        <w:spacing w:after="0" w:line="480"/>
        <w:jc w:val="left"/>
      </w:pPr>
      <w:r>
        <w:t xml:space="preserve">Configuración</w:t>
      </w:r>
    </w:p>
    <w:p>
      <w:pPr>
        <w:spacing w:after="0" w:line="480"/>
        <w:ind w:firstLine="720"/>
        <w:jc w:val="left"/>
      </w:pPr>
      <w:r>
        <w:t xml:space="preserve">La configuración de la Figura 3 habilita la evidencia audiovisual en cada prueba (video, trace y captura de pantalla) y permite apuntar al ambiente local o al de producción mediante la variable de entorno PW_BASE_URL. La ejecución se definió en dos proyectos, escritorio (1280 x 720) y móvil (Pixel 7), lo que valida adicionalmente el diseño adaptativo exigido por los requisitos no funcionales del sistema.</w:t>
      </w:r>
    </w:p>
    <w:p>
      <w:pPr>
        <w:spacing w:after="0" w:before="240" w:line="480"/>
      </w:pPr>
      <w:r>
        <w:rPr>
          <w:b/>
          <w:bCs/>
        </w:rPr>
        <w:t xml:space="preserve">Figura 3</w:t>
      </w:r>
    </w:p>
    <w:p>
      <w:pPr>
        <w:spacing w:after="0" w:line="480"/>
      </w:pPr>
      <w:r>
        <w:rPr>
          <w:i/>
          <w:iCs/>
        </w:rPr>
        <w:t xml:space="preserve">Configuración principal (playwright.config.ts)</w:t>
      </w:r>
    </w:p>
    <w:p>
      <w:pPr>
        <w:spacing w:after="0" w:line="240"/>
        <w:ind w:left="360"/>
      </w:pPr>
      <w:r>
        <w:rPr>
          <w:rFonts w:ascii="Courier New" w:cs="Courier New" w:eastAsia="Courier New" w:hAnsi="Courier New"/>
          <w:sz w:val="21"/>
          <w:szCs w:val="21"/>
        </w:rPr>
        <w:t xml:space="preserve">export default defineConfig({</w:t>
      </w:r>
    </w:p>
    <w:p>
      <w:pPr>
        <w:spacing w:after="0" w:line="240"/>
        <w:ind w:left="360"/>
      </w:pPr>
      <w:r>
        <w:rPr>
          <w:rFonts w:ascii="Courier New" w:cs="Courier New" w:eastAsia="Courier New" w:hAnsi="Courier New"/>
          <w:sz w:val="21"/>
          <w:szCs w:val="21"/>
        </w:rPr>
        <w:t xml:space="preserve">  testDir: './tests/e2e',</w:t>
      </w:r>
    </w:p>
    <w:p>
      <w:pPr>
        <w:spacing w:after="0" w:line="240"/>
        <w:ind w:left="360"/>
      </w:pPr>
      <w:r>
        <w:rPr>
          <w:rFonts w:ascii="Courier New" w:cs="Courier New" w:eastAsia="Courier New" w:hAnsi="Courier New"/>
          <w:sz w:val="21"/>
          <w:szCs w:val="21"/>
        </w:rPr>
        <w:t xml:space="preserve">  reporter: [['html', { open: 'never' }], ['list']],</w:t>
      </w:r>
    </w:p>
    <w:p>
      <w:pPr>
        <w:spacing w:after="0" w:line="240"/>
        <w:ind w:left="360"/>
      </w:pPr>
      <w:r>
        <w:rPr>
          <w:rFonts w:ascii="Courier New" w:cs="Courier New" w:eastAsia="Courier New" w:hAnsi="Courier New"/>
          <w:sz w:val="21"/>
          <w:szCs w:val="21"/>
        </w:rPr>
        <w:t xml:space="preserve">  use: {</w:t>
      </w:r>
    </w:p>
    <w:p>
      <w:pPr>
        <w:spacing w:after="0" w:line="240"/>
        <w:ind w:left="360"/>
      </w:pPr>
      <w:r>
        <w:rPr>
          <w:rFonts w:ascii="Courier New" w:cs="Courier New" w:eastAsia="Courier New" w:hAnsi="Courier New"/>
          <w:sz w:val="21"/>
          <w:szCs w:val="21"/>
        </w:rPr>
        <w:t xml:space="preserve">    baseURL: process.env.PW_BASE_URL || 'http://localhost:5173',</w:t>
      </w:r>
    </w:p>
    <w:p>
      <w:pPr>
        <w:spacing w:after="0" w:line="240"/>
        <w:ind w:left="360"/>
      </w:pPr>
      <w:r>
        <w:rPr>
          <w:rFonts w:ascii="Courier New" w:cs="Courier New" w:eastAsia="Courier New" w:hAnsi="Courier New"/>
          <w:sz w:val="21"/>
          <w:szCs w:val="21"/>
        </w:rPr>
        <w:t xml:space="preserve">    video: 'on',        // graba video .webm de cada prueba</w:t>
      </w:r>
    </w:p>
    <w:p>
      <w:pPr>
        <w:spacing w:after="0" w:line="240"/>
        <w:ind w:left="360"/>
      </w:pPr>
      <w:r>
        <w:rPr>
          <w:rFonts w:ascii="Courier New" w:cs="Courier New" w:eastAsia="Courier New" w:hAnsi="Courier New"/>
          <w:sz w:val="21"/>
          <w:szCs w:val="21"/>
        </w:rPr>
        <w:t xml:space="preserve">    trace: 'on',        // trace navegable paso a paso</w:t>
      </w:r>
    </w:p>
    <w:p>
      <w:pPr>
        <w:spacing w:after="0" w:line="240"/>
        <w:ind w:left="360"/>
      </w:pPr>
      <w:r>
        <w:rPr>
          <w:rFonts w:ascii="Courier New" w:cs="Courier New" w:eastAsia="Courier New" w:hAnsi="Courier New"/>
          <w:sz w:val="21"/>
          <w:szCs w:val="21"/>
        </w:rPr>
        <w:t xml:space="preserve">    screenshot: 'on',   // captura final por prueba</w:t>
      </w:r>
    </w:p>
    <w:p>
      <w:pPr>
        <w:spacing w:after="0" w:line="240"/>
        <w:ind w:left="360"/>
      </w:pPr>
      <w:r>
        <w:rPr>
          <w:rFonts w:ascii="Courier New" w:cs="Courier New" w:eastAsia="Courier New" w:hAnsi="Courier New"/>
          <w:sz w:val="21"/>
          <w:szCs w:val="21"/>
        </w:rPr>
        <w:t xml:space="preserve">    locale: 'es-PE',</w:t>
      </w:r>
    </w:p>
    <w:p>
      <w:pPr>
        <w:spacing w:after="0" w:line="240"/>
        <w:ind w:left="360"/>
      </w:pPr>
      <w:r>
        <w:rPr>
          <w:rFonts w:ascii="Courier New" w:cs="Courier New" w:eastAsia="Courier New" w:hAnsi="Courier New"/>
          <w:sz w:val="21"/>
          <w:szCs w:val="21"/>
        </w:rPr>
        <w:t xml:space="preserve">  },</w:t>
      </w:r>
    </w:p>
    <w:p>
      <w:pPr>
        <w:spacing w:after="0" w:line="240"/>
        <w:ind w:left="360"/>
      </w:pPr>
      <w:r>
        <w:rPr>
          <w:rFonts w:ascii="Courier New" w:cs="Courier New" w:eastAsia="Courier New" w:hAnsi="Courier New"/>
          <w:sz w:val="21"/>
          <w:szCs w:val="21"/>
        </w:rPr>
        <w:t xml:space="preserve">  projects: [</w:t>
      </w:r>
    </w:p>
    <w:p>
      <w:pPr>
        <w:spacing w:after="0" w:line="240"/>
        <w:ind w:left="360"/>
      </w:pPr>
      <w:r>
        <w:rPr>
          <w:rFonts w:ascii="Courier New" w:cs="Courier New" w:eastAsia="Courier New" w:hAnsi="Courier New"/>
          <w:sz w:val="21"/>
          <w:szCs w:val="21"/>
        </w:rPr>
        <w:t xml:space="preserve">    { name: 'chromium-escritorio', use: { ...devices['Desktop Chrome'] } },</w:t>
      </w:r>
    </w:p>
    <w:p>
      <w:pPr>
        <w:spacing w:after="0" w:line="240"/>
        <w:ind w:left="360"/>
      </w:pPr>
      <w:r>
        <w:rPr>
          <w:rFonts w:ascii="Courier New" w:cs="Courier New" w:eastAsia="Courier New" w:hAnsi="Courier New"/>
          <w:sz w:val="21"/>
          <w:szCs w:val="21"/>
        </w:rPr>
        <w:t xml:space="preserve">    { name: 'movil-android',       use: { ...devices['Pixel 7'] } },</w:t>
      </w:r>
    </w:p>
    <w:p>
      <w:pPr>
        <w:spacing w:after="0" w:line="240"/>
        <w:ind w:left="360"/>
      </w:pPr>
      <w:r>
        <w:rPr>
          <w:rFonts w:ascii="Courier New" w:cs="Courier New" w:eastAsia="Courier New" w:hAnsi="Courier New"/>
          <w:sz w:val="21"/>
          <w:szCs w:val="21"/>
        </w:rPr>
        <w:t xml:space="preserve">  ],</w:t>
      </w:r>
    </w:p>
    <w:p>
      <w:pPr>
        <w:spacing w:after="0" w:line="240"/>
        <w:ind w:left="360"/>
      </w:pPr>
      <w:r>
        <w:rPr>
          <w:rFonts w:ascii="Courier New" w:cs="Courier New" w:eastAsia="Courier New" w:hAnsi="Courier New"/>
          <w:sz w:val="21"/>
          <w:szCs w:val="21"/>
        </w:rPr>
        <w:t xml:space="preserve">});</w:t>
      </w:r>
    </w:p>
    <w:p>
      <w:pPr>
        <w:pStyle w:val="Heading1"/>
        <w:spacing w:after="0" w:line="480"/>
        <w:jc w:val="center"/>
      </w:pPr>
      <w:r>
        <w:t xml:space="preserve">Diseño de los Escenarios de Prueba</w:t>
      </w:r>
    </w:p>
    <w:p>
      <w:pPr>
        <w:pStyle w:val="Heading2"/>
        <w:spacing w:after="0" w:line="480"/>
        <w:jc w:val="left"/>
      </w:pPr>
      <w:r>
        <w:t xml:space="preserve">Suite Smoke: Páginas Públicas</w:t>
      </w:r>
    </w:p>
    <w:p>
      <w:pPr>
        <w:spacing w:after="0" w:line="480"/>
        <w:ind w:firstLine="720"/>
        <w:jc w:val="left"/>
      </w:pPr>
      <w:r>
        <w:t xml:space="preserve">La suite smoke valida las rutas públicas reales de la aplicación sin requerir datos sembrados ni credenciales, por lo que es siempre ejecutable y constituye la base de la demostración en video. La Tabla 2 presenta sus cinco escenarios.</w:t>
      </w:r>
    </w:p>
    <w:p>
      <w:pPr>
        <w:spacing w:after="0" w:before="240" w:line="480"/>
      </w:pPr>
      <w:r>
        <w:rPr>
          <w:b/>
          <w:bCs/>
        </w:rPr>
        <w:t xml:space="preserve">Tabla 2</w:t>
      </w:r>
    </w:p>
    <w:p>
      <w:pPr>
        <w:spacing w:after="0" w:line="480"/>
      </w:pPr>
      <w:r>
        <w:rPr>
          <w:i/>
          <w:iCs/>
        </w:rPr>
        <w:t xml:space="preserve">Escenarios de la suite smoke (SMK)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26"/>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Código</w:t>
            </w:r>
          </w:p>
        </w:tc>
        <w:tc>
          <w:tcPr>
            <w:tcW w:type="dxa" w:w="42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Escenario</w:t>
            </w:r>
          </w:p>
        </w:tc>
        <w:tc>
          <w:tcPr>
            <w:tcW w:type="dxa" w:w="352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Verificación</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Carga de la página principal</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El título contiene “Dizi” y el encabezado principal es visible.</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SMK-02</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Formulario de inicio de sesión</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Campos de correo y contraseña y botón de envío visibles.</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SMK-03</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Página de novedades y preguntas frecuentes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Encabezado principal visible.</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SMK-04</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Política de privacidad (Ley 29733)</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Encabezado principal visible.</w:t>
            </w:r>
          </w:p>
        </w:tc>
      </w:tr>
      <w:tr>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SMK-05</w:t>
            </w:r>
          </w:p>
        </w:tc>
        <w:tc>
          <w:tcPr>
            <w:tcW w:type="dxa" w:w="42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Catálogo inexistente</w:t>
            </w:r>
          </w:p>
        </w:tc>
        <w:tc>
          <w:tcPr>
            <w:tcW w:type="dxa" w:w="352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La aplicación no se rompe ni expone datos de otras tiendas.</w:t>
            </w:r>
          </w:p>
        </w:tc>
      </w:tr>
    </w:tbl>
    <w:p>
      <w:pPr>
        <w:spacing w:after="0" w:line="480"/>
      </w:pPr>
      <w:r>
        <w:t xml:space="preserve"/>
      </w:r>
    </w:p>
    <w:p>
      <w:pPr>
        <w:pStyle w:val="Heading2"/>
        <w:spacing w:after="0" w:line="480"/>
        <w:jc w:val="left"/>
      </w:pPr>
      <w:r>
        <w:t xml:space="preserve">Suite de Flujos de Negocio</w:t>
      </w:r>
    </w:p>
    <w:p>
      <w:pPr>
        <w:spacing w:after="0" w:line="480"/>
        <w:ind w:firstLine="720"/>
        <w:jc w:val="left"/>
      </w:pPr>
      <w:r>
        <w:t xml:space="preserve">La segunda suite cubre los cinco flujos críticos del sistema, trazados a los requisitos funcionales del documento de diseño de software (SDD) del proyecto. Estos escenarios requieren un ambiente con datos sembrados (la tienda de demostración y sus credenciales). La Tabla 3 los describe en formato Dado-Cuando-Entonces.</w:t>
      </w:r>
    </w:p>
    <w:p>
      <w:pPr>
        <w:spacing w:after="0" w:before="240" w:line="480"/>
      </w:pPr>
      <w:r>
        <w:rPr>
          <w:b/>
          <w:bCs/>
        </w:rPr>
        <w:t xml:space="preserve">Tabla 3</w:t>
      </w:r>
    </w:p>
    <w:p>
      <w:pPr>
        <w:spacing w:after="0" w:line="480"/>
      </w:pPr>
      <w:r>
        <w:rPr>
          <w:i/>
          <w:iCs/>
        </w:rPr>
        <w:t xml:space="preserve">Escenarios de la suite de flujos de negocio (E2E)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Código</w:t>
            </w:r>
          </w:p>
        </w:tc>
        <w:tc>
          <w:tcPr>
            <w:tcW w:type="dxa" w:w="772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Flujo validado</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E2E-01</w:t>
            </w:r>
          </w:p>
        </w:tc>
        <w:tc>
          <w:tcPr>
            <w:tcW w:type="dxa" w:w="7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Dado un dueño autenticado, cuando publica su catálogo, entonces la ruta pública muestra productos, precios en soles y el diseño elegido (RF-01, RF-03).</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E2E-02</w:t>
            </w:r>
          </w:p>
        </w:tc>
        <w:tc>
          <w:tcPr>
            <w:tcW w:type="dxa" w:w="7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Dado un token de invitación válido, cuando se completa el registro, entonces se crea la tienda con su plan; un token vencido bloquea el registro (RF-04).</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E2E-03</w:t>
            </w:r>
          </w:p>
        </w:tc>
        <w:tc>
          <w:tcPr>
            <w:tcW w:type="dxa" w:w="7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Dado un visitante con productos en el carrito, cuando confirma el pedido, entonces se abre WhatsApp con el mensaje codificado y el teléfono normalizado (RF-02).</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E2E-04</w:t>
            </w:r>
          </w:p>
        </w:tc>
        <w:tc>
          <w:tcPr>
            <w:tcW w:type="dxa" w:w="7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Dado un consumidor, cuando registra un reclamo en el Libro de Reclamaciones, entonces el dueño lo gestiona y resuelve desde su panel (RF-09).</w:t>
            </w:r>
          </w:p>
        </w:tc>
      </w:tr>
      <w:tr>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E2E-05</w:t>
            </w:r>
          </w:p>
        </w:tc>
        <w:tc>
          <w:tcPr>
            <w:tcW w:type="dxa" w:w="772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Dado un plan gratuito, cuando el dueño intenta usar funciones premium, entonces estas aparecen bloqueadas con invitación a mejorar de plan (RF-05, RF-10).</w:t>
            </w:r>
          </w:p>
        </w:tc>
      </w:tr>
    </w:tbl>
    <w:p>
      <w:pPr>
        <w:pStyle w:val="Heading1"/>
        <w:spacing w:after="0" w:line="480"/>
        <w:jc w:val="center"/>
      </w:pPr>
      <w:r>
        <w:t xml:space="preserve">Ejecución de las Pruebas</w:t>
      </w:r>
    </w:p>
    <w:p>
      <w:pPr>
        <w:spacing w:after="0" w:line="480"/>
        <w:ind w:firstLine="720"/>
        <w:jc w:val="left"/>
      </w:pPr>
      <w:r>
        <w:t xml:space="preserve">La ejecución se realiza con la aplicación corriendo localmente (npm run dev) o contra el ambiente de producción. La Figura 4 muestra los comandos empleados en cada modalidad.</w:t>
      </w:r>
    </w:p>
    <w:p>
      <w:pPr>
        <w:spacing w:after="0" w:before="240" w:line="480"/>
      </w:pPr>
      <w:r>
        <w:rPr>
          <w:b/>
          <w:bCs/>
        </w:rPr>
        <w:t xml:space="preserve">Figura 4</w:t>
      </w:r>
    </w:p>
    <w:p>
      <w:pPr>
        <w:spacing w:after="0" w:line="480"/>
      </w:pPr>
      <w:r>
        <w:rPr>
          <w:i/>
          <w:iCs/>
        </w:rPr>
        <w:t xml:space="preserve">Comandos de ejecución y de visualización de evidencias</w:t>
      </w:r>
    </w:p>
    <w:p>
      <w:pPr>
        <w:spacing w:after="0" w:line="240"/>
        <w:ind w:left="360"/>
      </w:pPr>
      <w:r>
        <w:rPr>
          <w:rFonts w:ascii="Courier New" w:cs="Courier New" w:eastAsia="Courier New" w:hAnsi="Courier New"/>
          <w:sz w:val="21"/>
          <w:szCs w:val="21"/>
        </w:rPr>
        <w:t xml:space="preserve">npm run dev                    # terminal 1: aplicacion local</w:t>
      </w:r>
    </w:p>
    <w:p>
      <w:pPr>
        <w:spacing w:after="0" w:line="240"/>
        <w:ind w:left="360"/>
      </w:pPr>
      <w:r>
        <w:rPr>
          <w:rFonts w:ascii="Courier New" w:cs="Courier New" w:eastAsia="Courier New" w:hAnsi="Courier New"/>
          <w:sz w:val="21"/>
          <w:szCs w:val="21"/>
        </w:rPr>
        <w:t xml:space="preserve">npm run test:e2e               # ejecucion completa (headless, con video)</w:t>
      </w:r>
    </w:p>
    <w:p>
      <w:pPr>
        <w:spacing w:after="0" w:line="240"/>
        <w:ind w:left="360"/>
      </w:pPr>
      <w:r>
        <w:rPr>
          <w:rFonts w:ascii="Courier New" w:cs="Courier New" w:eastAsia="Courier New" w:hAnsi="Courier New"/>
          <w:sz w:val="21"/>
          <w:szCs w:val="21"/>
        </w:rPr>
        <w:t xml:space="preserve">npm run test:e2e:headed        # ejecucion con navegador visible</w:t>
      </w:r>
    </w:p>
    <w:p>
      <w:pPr>
        <w:spacing w:after="0" w:line="240"/>
        <w:ind w:left="360"/>
      </w:pPr>
      <w:r>
        <w:rPr>
          <w:rFonts w:ascii="Courier New" w:cs="Courier New" w:eastAsia="Courier New" w:hAnsi="Courier New"/>
          <w:sz w:val="21"/>
          <w:szCs w:val="21"/>
        </w:rPr>
        <w:t xml:space="preserve">npm run test:e2e:report        # reporte HTML con videos y traces</w:t>
      </w:r>
    </w:p>
    <w:p>
      <w:pPr>
        <w:spacing w:after="0" w:line="480"/>
        <w:ind w:firstLine="720"/>
        <w:jc w:val="left"/>
      </w:pPr>
      <w:r>
        <w:t xml:space="preserve">Cada prueba genera automáticamente tres evidencias: un video .webm de la ejecución (en test-results), un trace navegable que registra cada paso con captura de pantalla, estado del DOM y consola, y una captura final. El reporte HTML consolida los resultados de los dos proyectos (escritorio y móvil) con el estado, la duración y las evidencias de cada prueba.</w:t>
      </w:r>
    </w:p>
    <w:p>
      <w:pPr>
        <w:pStyle w:val="Heading1"/>
        <w:spacing w:after="0" w:line="480"/>
        <w:jc w:val="center"/>
      </w:pPr>
      <w:r>
        <w:t xml:space="preserve">Análisis de Resultados</w:t>
      </w:r>
    </w:p>
    <w:p>
      <w:pPr>
        <w:spacing w:after="0" w:line="480"/>
        <w:ind w:firstLine="720"/>
        <w:jc w:val="left"/>
      </w:pPr>
      <w:r>
        <w:t xml:space="preserve">La suite smoke, ejecutada en los dos perfiles configurados (diez ejecuciones en total), se completó satisfactoriamente contra la aplicación local, validando la disponibilidad de las rutas públicas en escritorio y en móvil. La Tabla 4 resume los resultados.</w:t>
      </w:r>
    </w:p>
    <w:p>
      <w:pPr>
        <w:spacing w:after="0" w:before="240" w:line="480"/>
      </w:pPr>
      <w:r>
        <w:rPr>
          <w:b/>
          <w:bCs/>
        </w:rPr>
        <w:t xml:space="preserve">Tabla 4</w:t>
      </w:r>
    </w:p>
    <w:p>
      <w:pPr>
        <w:spacing w:after="0" w:line="480"/>
      </w:pPr>
      <w:r>
        <w:rPr>
          <w:i/>
          <w:iCs/>
        </w:rPr>
        <w:t xml:space="preserve">Resultados de la ejecución de la suite smoke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2626"/>
      </w:tblGrid>
      <w:tr>
        <w:trPr>
          <w:tblHeader/>
        </w:trPr>
        <w:tc>
          <w:tcPr>
            <w:tcW w:type="dxa" w:w="15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Código</w:t>
            </w:r>
          </w:p>
        </w:tc>
        <w:tc>
          <w:tcPr>
            <w:tcW w:type="dxa" w:w="24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Escritorio</w:t>
            </w:r>
          </w:p>
        </w:tc>
        <w:tc>
          <w:tcPr>
            <w:tcW w:type="dxa" w:w="2500"/>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Móvil (Pixel 7)</w:t>
            </w:r>
          </w:p>
        </w:tc>
        <w:tc>
          <w:tcPr>
            <w:tcW w:type="dxa" w:w="2626"/>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40" w:line="240"/>
            </w:pPr>
            <w:r>
              <w:rPr>
                <w:b/>
                <w:bCs/>
                <w:sz w:val="22"/>
                <w:szCs w:val="22"/>
              </w:rPr>
              <w:t xml:space="preserve">Duración aproximada</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2 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2 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2 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SMK-04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line="240"/>
            </w:pPr>
            <w:r>
              <w:rPr>
                <w:b w:val="false"/>
                <w:bCs w:val="false"/>
                <w:sz w:val="22"/>
                <w:szCs w:val="22"/>
              </w:rPr>
              <w:t xml:space="preserve">2 s</w:t>
            </w:r>
          </w:p>
        </w:tc>
      </w:tr>
      <w:tr>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SMK-05</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Aprobada</w:t>
            </w:r>
          </w:p>
        </w:tc>
        <w:tc>
          <w:tcPr>
            <w:tcW w:type="dxa" w:w="262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40" w:line="240"/>
            </w:pPr>
            <w:r>
              <w:rPr>
                <w:b w:val="false"/>
                <w:bCs w:val="false"/>
                <w:sz w:val="22"/>
                <w:szCs w:val="22"/>
              </w:rPr>
              <w:t xml:space="preserve">3 s</w:t>
            </w:r>
          </w:p>
        </w:tc>
      </w:tr>
    </w:tbl>
    <w:p>
      <w:pPr>
        <w:spacing w:after="0" w:line="480"/>
      </w:pPr>
      <w:r>
        <w:t xml:space="preserve"/>
      </w:r>
    </w:p>
    <w:p>
      <w:pPr>
        <w:pStyle w:val="Heading2"/>
        <w:spacing w:after="0" w:line="480"/>
        <w:jc w:val="left"/>
      </w:pPr>
      <w:r>
        <w:t xml:space="preserve">Hallazgos</w:t>
      </w:r>
    </w:p>
    <w:p>
      <w:pPr>
        <w:spacing w:after="0" w:line="480"/>
        <w:ind w:firstLine="720"/>
        <w:jc w:val="left"/>
      </w:pPr>
      <w:r>
        <w:t xml:space="preserve">Del proceso de implementación y ejecución se identificaron cuatro hallazgos principales. Primero, los flujos de negocio (E2E-01 a E2E-05) dependen de datos sembrados en el ambiente de pruebas: sin la tienda de demostración y sus credenciales, fallan por precondición y no por defecto del software; se recomienda un script de siembra para hacerlos deterministas. Segundo, las aserciones sobre clases CSS utilitarias resultan frágiles; se recomienda incorporar atributos data-testid en los componentes críticos. Tercero, la ejecución en el perfil móvil permite detectar desbordes horizontales o elementos fuera del área táctil que no se aprecian en escritorio. Cuarto, ante una falla, el trace permite identificar en segundos si la causa es un selector, un tiempo de espera o un defecto real, reduciendo el costo del diagnóstico.</w:t>
      </w:r>
    </w:p>
    <w:p>
      <w:pPr>
        <w:pStyle w:val="Heading2"/>
        <w:spacing w:after="0" w:line="480"/>
        <w:jc w:val="left"/>
      </w:pPr>
      <w:r>
        <w:t xml:space="preserve">Relación con el Proceso de Calidad del Proyecto</w:t>
      </w:r>
    </w:p>
    <w:p>
      <w:pPr>
        <w:spacing w:after="0" w:line="480"/>
        <w:ind w:firstLine="720"/>
        <w:jc w:val="left"/>
      </w:pPr>
      <w:r>
        <w:t xml:space="preserve">Esta suite completa la pirámide de automatización del proyecto Dizi: 61 pruebas unitarias y cinco de integración en la base (ejecutadas con Vitest, con el 100 % de éxito en 576 milisegundos) y los flujos E2E en la cúspide (Cohn, 2009). La ejecución queda lista para incorporarse como etapa del pipeline de integración continua después de la compuerta de cobertura.</w:t>
      </w:r>
    </w:p>
    <w:p>
      <w:pPr>
        <w:pStyle w:val="Heading1"/>
        <w:spacing w:after="0" w:line="480"/>
        <w:jc w:val="center"/>
      </w:pPr>
      <w:r>
        <w:t xml:space="preserve">Evidencia Audiovisual de la Ejecución</w:t>
      </w:r>
    </w:p>
    <w:p>
      <w:pPr>
        <w:spacing w:after="0" w:line="480"/>
        <w:ind w:firstLine="720"/>
        <w:jc w:val="left"/>
      </w:pPr>
      <w:r>
        <w:t xml:space="preserve">Como parte de los entregables se elaboró un video que registra la ejecución completa de las pruebas y el análisis de los resultados. El registro comprende la revisión de la implementación (suite de pruebas y archivo de configuración), la ejecución de la suite con navegador visible, en la que se observa a la herramienta recorrer de forma autónoma cada flujo de la aplicación, y la revisión del reporte HTML consolidado con las evidencias generadas automáticamente por Playwright: el video de cada prueba, las capturas de pantalla y el trace paso a paso.</w:t>
      </w:r>
    </w:p>
    <w:p>
      <w:pPr>
        <w:spacing w:after="0" w:line="480"/>
        <w:ind w:firstLine="720"/>
        <w:jc w:val="left"/>
      </w:pPr>
      <w:r>
        <w:t xml:space="preserve">Adicionalmente, los archivos de video en formato .webm producidos por la herramienta para cada prueba se conservan en el directorio test-results del repositorio y constituyen evidencia objetiva y reproducible de la ejecución, independiente de la grabación de pantalla.</w:t>
      </w:r>
    </w:p>
    <w:p>
      <w:pPr>
        <w:pStyle w:val="Heading1"/>
        <w:spacing w:after="0" w:line="480"/>
        <w:jc w:val="center"/>
      </w:pPr>
      <w:r>
        <w:t xml:space="preserve">Conclusiones</w:t>
      </w:r>
    </w:p>
    <w:p>
      <w:pPr>
        <w:spacing w:after="0" w:line="480"/>
        <w:ind w:firstLine="720"/>
        <w:jc w:val="left"/>
      </w:pPr>
      <w:r>
        <w:t xml:space="preserve">La implementación de pruebas E2E con Playwright sobre la aplicación Dizi permitió validar los flujos críticos del sistema desde la perspectiva del usuario final, con evidencia audiovisual generada automáticamente por la herramienta (video, trace y captura por prueba), cubriendo los tres entregables de la práctica con una sola tecnología.</w:t>
      </w:r>
    </w:p>
    <w:p>
      <w:pPr>
        <w:spacing w:after="0" w:line="480"/>
        <w:ind w:firstLine="720"/>
        <w:jc w:val="left"/>
      </w:pPr>
      <w:r>
        <w:t xml:space="preserve">La suite se diseñó en dos niveles complementarios: una suite smoke sobre las páginas públicas, siempre ejecutable y adecuada para la demostración, y una suite de flujos de negocio trazada a los requisitos del documento de diseño del software. La ejecución en dos perfiles (escritorio y móvil) validó también el comportamiento adaptativo de la interfaz.</w:t>
      </w:r>
    </w:p>
    <w:p>
      <w:pPr>
        <w:spacing w:after="0" w:line="480"/>
        <w:ind w:firstLine="720"/>
        <w:jc w:val="left"/>
      </w:pPr>
      <w:r>
        <w:t xml:space="preserve">El principal aprendizaje del proceso es que la estabilidad de las pruebas E2E depende del control del ambiente (datos sembrados) y del uso de selectores semánticos estables; ambas mejoras quedan propuestas como siguiente iteración del proceso de calidad del proyecto.</w:t>
      </w:r>
    </w:p>
    <w:p>
      <w:r>
        <w:br w:type="page"/>
      </w:r>
    </w:p>
    <w:p>
      <w:pPr>
        <w:pStyle w:val="Heading1"/>
        <w:spacing w:after="0" w:line="480"/>
        <w:jc w:val="center"/>
      </w:pPr>
      <w:r>
        <w:t xml:space="preserve">Referencias</w:t>
      </w:r>
    </w:p>
    <w:p>
      <w:pPr>
        <w:spacing w:after="0" w:line="480"/>
        <w:ind w:left="720" w:hanging="720"/>
        <w:jc w:val="left"/>
      </w:pPr>
      <w:r>
        <w:t xml:space="preserve">Cohn, M. (2009). Succeeding with agile: Software development using Scrum. Addison-Wesley Professional.</w:t>
      </w:r>
    </w:p>
    <w:p>
      <w:pPr>
        <w:spacing w:after="0" w:line="480"/>
        <w:ind w:left="720" w:hanging="720"/>
        <w:jc w:val="left"/>
      </w:pPr>
      <w:r>
        <w:t xml:space="preserve">Crispin, L., &amp; Gregory, J. (2009). Agile testing: A practical guide for testers and agile teams. Addison-Wesley Professional.</w:t>
      </w:r>
    </w:p>
    <w:p>
      <w:pPr>
        <w:spacing w:after="0" w:line="480"/>
        <w:ind w:left="720" w:hanging="720"/>
        <w:jc w:val="left"/>
      </w:pPr>
      <w:r>
        <w:t xml:space="preserve">International Organization for Standardization. (2022). ISO/IEC/IEEE 29119-1:2022. Software and systems engineering: Software testing. Part 1: General concepts. https://www.iso.org/standard/81291.html</w:t>
      </w:r>
    </w:p>
    <w:p>
      <w:pPr>
        <w:spacing w:after="0" w:line="480"/>
        <w:ind w:left="720" w:hanging="720"/>
        <w:jc w:val="left"/>
      </w:pPr>
      <w:r>
        <w:t xml:space="preserve">International Software Testing Qualifications Board. (2023). Certified tester foundation level (CTFL) v4.0. https://www.istqb.org/</w:t>
      </w:r>
    </w:p>
    <w:p>
      <w:pPr>
        <w:spacing w:after="0" w:line="480"/>
        <w:ind w:left="720" w:hanging="720"/>
        <w:jc w:val="left"/>
      </w:pPr>
      <w:r>
        <w:t xml:space="preserve">Microsoft. (2025). Playwright: Fast and reliable end-to-end testing for modern web apps. https://playwright.dev/</w:t>
      </w:r>
    </w:p>
    <w:p>
      <w:pPr>
        <w:spacing w:after="0" w:line="480"/>
        <w:ind w:left="720" w:hanging="720"/>
        <w:jc w:val="left"/>
      </w:pPr>
      <w:r>
        <w:t xml:space="preserve">Myers, G. J., Sandler, C., &amp; Badgett, T. (2011). The art of software testing (3.ª ed.). John Wiley &amp; Sons.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40"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2026-07-19T03:11:58.222Z</dcterms:created>
  <dcterms:modified xsi:type="dcterms:W3CDTF">2026-07-19T03:11:58.223Z</dcterms:modified>
</cp:coreProperties>
</file>

<file path=docProps/custom.xml><?xml version="1.0" encoding="utf-8"?>
<Properties xmlns="http://schemas.openxmlformats.org/officeDocument/2006/custom-properties" xmlns:vt="http://schemas.openxmlformats.org/officeDocument/2006/docPropsVTypes"/>
</file>