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UNIVERSIDAD NACIONAL DE SAN CRISTÓBAL DE HUAMANGA</w:t>
      </w:r>
    </w:p>
    <w:p>
      <w:pPr>
        <w:spacing w:after="500"/>
        <w:jc w:val="center"/>
      </w:pPr>
      <w:r>
        <w:rPr>
          <w:b/>
          <w:bCs/>
          <w:sz w:val="25"/>
          <w:szCs w:val="25"/>
        </w:rPr>
        <w:t xml:space="preserve">ESCUELA PROFESIONAL DE INGENIERÍA DE SISTEMAS</w:t>
      </w:r>
    </w:p>
    <w:p>
      <w:pPr>
        <w:spacing w:after="700"/>
        <w:jc w:val="center"/>
      </w:pPr>
      <w:r>
        <w:rPr>
          <w:sz w:val="23"/>
          <w:szCs w:val="23"/>
        </w:rPr>
        <w:t xml:space="preserve">PRUEBAS Y ASEGURAMIENTO DE CALIDAD DE SOFTWARE (IS-489)</w:t>
      </w:r>
    </w:p>
    <w:p>
      <w:pPr>
        <w:spacing w:after="120"/>
        <w:jc w:val="center"/>
      </w:pPr>
      <w:r>
        <w:rPr>
          <w:b/>
          <w:bCs/>
          <w:sz w:val="34"/>
          <w:szCs w:val="34"/>
        </w:rPr>
        <w:t xml:space="preserve">INFORME DE IMPLEMENTACIÓN DE PRUEBAS</w:t>
      </w:r>
    </w:p>
    <w:p>
      <w:pPr>
        <w:spacing w:after="200"/>
        <w:jc w:val="center"/>
      </w:pPr>
      <w:r>
        <w:rPr>
          <w:b/>
          <w:bCs/>
          <w:sz w:val="34"/>
          <w:szCs w:val="34"/>
        </w:rPr>
        <w:t xml:space="preserve">END-TO-END (E2E) CON PLAYWRIGHT</w:t>
      </w:r>
    </w:p>
    <w:p>
      <w:pPr>
        <w:spacing w:after="800"/>
        <w:jc w:val="center"/>
      </w:pPr>
      <w:r>
        <w:rPr>
          <w:sz w:val="25"/>
          <w:szCs w:val="25"/>
        </w:rPr>
        <w:t xml:space="preserve">Aplicación web bajo prueba: DIZI - Catálogo Dinámico SaaS</w:t>
      </w:r>
    </w:p>
    <w:p>
      <w:pPr>
        <w:spacing w:after="120"/>
        <w:jc w:val="center"/>
      </w:pPr>
      <w:r>
        <w:rPr>
          <w:sz w:val="23"/>
          <w:szCs w:val="23"/>
        </w:rPr>
        <w:t xml:space="preserve">Docente: Mg. Richard Zapata Casaverde</w:t>
      </w:r>
    </w:p>
    <w:p>
      <w:pPr>
        <w:spacing w:after="120"/>
        <w:jc w:val="center"/>
      </w:pPr>
      <w:r>
        <w:rPr>
          <w:sz w:val="23"/>
          <w:szCs w:val="23"/>
        </w:rPr>
        <w:t xml:space="preserve">Estudiante: Jack Franklin Quispe Luján</w:t>
      </w:r>
    </w:p>
    <w:p>
      <w:pPr>
        <w:spacing w:after="800"/>
        <w:jc w:val="center"/>
      </w:pPr>
      <w:r>
        <w:rPr>
          <w:sz w:val="23"/>
          <w:szCs w:val="23"/>
        </w:rPr>
        <w:t xml:space="preserve">Semestre Académico: 2026-I</w:t>
      </w:r>
    </w:p>
    <w:p>
      <w:pPr>
        <w:spacing w:after="120"/>
        <w:jc w:val="center"/>
      </w:pPr>
      <w:r>
        <w:rPr>
          <w:sz w:val="23"/>
          <w:szCs w:val="23"/>
        </w:rPr>
        <w:t xml:space="preserve">Ayacucho - Perú, Julio de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 y Objetivo</w:t>
      </w:r>
    </w:p>
    <w:p>
      <w:pPr>
        <w:spacing w:after="120"/>
        <w:jc w:val="both"/>
      </w:pPr>
      <w:r>
        <w:t xml:space="preserve">El presente informe documenta el proceso completo de implementación de pruebas end-to-end (E2E) sobre la aplicación web Dizi (catálogo dinámico SaaS multi-tienda, desplegada en producción sobre Vercel y Supabase), utilizando la herramienta Playwright. Las pruebas E2E validan el sistema desde la perspectiva del usuario final: un navegador real ejecuta los flujos completos (navegación, formularios, carrito, checkout) contra la aplicación en funcionamiento, verificando la integración de todas las capas: interfaz, lógica de negocio, API y base de datos.</w:t>
      </w:r>
    </w:p>
    <w:p>
      <w:pPr>
        <w:spacing w:after="120"/>
        <w:jc w:val="both"/>
      </w:pPr>
      <w:r>
        <w:t xml:space="preserve">Los entregables de esta práctica son tres: (1) la suite de pruebas E2E implementada y versionada en el repositorio, (2) este informe del proceso de implementación con el análisis de resultados, y (3) el video de la ejecución de las pruebas, cuya evidencia base (grabaciones .webm por prueba) es generada automáticamente por la propia herramienta.</w:t>
      </w:r>
    </w:p>
    <w:p>
      <w:r>
        <w:br w:type="page"/>
      </w:r>
    </w:p>
    <w:p>
      <w:pPr>
        <w:pStyle w:val="Heading1"/>
      </w:pPr>
      <w:r>
        <w:t xml:space="preserve">2. Selección de la Herramienta</w:t>
      </w:r>
    </w:p>
    <w:p>
      <w:pPr>
        <w:spacing w:after="120"/>
        <w:jc w:val="both"/>
      </w:pPr>
      <w:r>
        <w:t xml:space="preserve">Se evaluaron las principales herramientas de automatización E2E del mercado: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400"/>
        <w:gridCol w:w="23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Fortalezas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Limitaciones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Playwright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Multi-navegador (Chromium, Firefox, WebKit), video y trace nativos, auto-wait, emulación móvil, TypeScript de primera clase.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Curva inicial para traces.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SELECCIONADA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Cypress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Buena experiencia de desarrollo, time-travel.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JavaScript en el navegador, multi-tab limitado, video solo en modo run.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Descartada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Selenium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Estándar histórico, muchos lenguajes.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auto-wait nativo, configuración pesada, flakiness.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Descartada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TestSprite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Generación de pruebas asistida por IA.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Servicio externo de pago, menor control del código de prueba.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Descartada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Playwright se seleccionó por tres razones decisivas para este proyecto: (1) genera video .webm y trace navegable de cada prueba de forma nativa, lo que cubre directamente el entregable de evidencia audiovisual; (2) su sistema de auto-espera (auto-wait) reduce la fragilidad típica de las pruebas E2E; y (3) se integra con el ecosistema TypeScript del proyecto Dizi sin herramientas adicionales.</w:t>
      </w:r>
    </w:p>
    <w:p>
      <w:r>
        <w:br w:type="page"/>
      </w:r>
    </w:p>
    <w:p>
      <w:pPr>
        <w:pStyle w:val="Heading1"/>
      </w:pPr>
      <w:r>
        <w:t xml:space="preserve">3. Proceso de Implementación</w:t>
      </w:r>
    </w:p>
    <w:p>
      <w:pPr>
        <w:pStyle w:val="Heading2"/>
      </w:pPr>
      <w:r>
        <w:t xml:space="preserve">3.1 Instalación</w:t>
      </w:r>
    </w:p>
    <w:p>
      <w:pPr>
        <w:spacing w:after="120"/>
        <w:jc w:val="both"/>
      </w:pPr>
      <w:r>
        <w:t xml:space="preserve">En la raíz del proyecto (React 19 + TypeScript + Vite) se instaló el runner de Playwright y el navegador Chromium: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npm install -D @playwright/test        # runner de pruebas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npx playwright install chromium        # navegador administrado</w:t>
      </w:r>
    </w:p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3.2 Estructura de archivos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catalog-connect-main/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playwright.config.ts          ← configuración (video, trace, baseURL)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tests/e2e/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smoke.spec.ts             ← SMK-01..05: páginas públicas (sin datos previos)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catalogo.spec.ts          ← E2E-01..05: flujos completos de negocio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└── package.json                  ← scripts: test:e2e, test:e2e:headed, test:e2e:report</w:t>
      </w:r>
    </w:p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3.3 Configuración clave (playwright.config.ts)</w:t>
      </w:r>
    </w:p>
    <w:p>
      <w:pPr>
        <w:spacing w:after="120"/>
        <w:jc w:val="both"/>
      </w:pPr>
      <w:r>
        <w:t xml:space="preserve">La configuración habilita la evidencia audiovisual en cada prueba y permite apuntar al ambiente local o a producción mediante la variable PW_BASE_URL: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default defineConfig({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testDir: './tests/e2e',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reporter: [['html', { open: 'never' }], ['list']],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use: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baseURL: process.env.PW_BASE_URL || 'http://localhost:5173',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video: 'on',        // graba video .webm de cada prueba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trace: 'on',        // trace navegable paso a paso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screenshot: 'on',   // captura final por prueba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locale: 'es-PE',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projects: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{ name: 'chromium-escritorio', use: { ...devices['Desktop Chrome'] }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{ name: 'movil-android',       use: { ...devices['Pixel 7'] }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La ejecución en dos proyectos (escritorio 1280x720 y móvil Pixel 7) valida además el requisito no funcional RNF-03 (diseño mobile-first), duplicando la cobertura de cada escenario sin duplicar código.</w:t>
      </w:r>
    </w:p>
    <w:p>
      <w:r>
        <w:br w:type="page"/>
      </w:r>
    </w:p>
    <w:p>
      <w:pPr>
        <w:pStyle w:val="Heading1"/>
      </w:pPr>
      <w:r>
        <w:t xml:space="preserve">4. Diseño de los Escenarios de Prueba</w:t>
      </w:r>
    </w:p>
    <w:p>
      <w:pPr>
        <w:pStyle w:val="Heading2"/>
      </w:pPr>
      <w:r>
        <w:t xml:space="preserve">4.1 Suite smoke (SMK): páginas públicas, siempre ejecutable</w:t>
      </w:r>
    </w:p>
    <w:p>
      <w:pPr>
        <w:spacing w:after="120"/>
        <w:jc w:val="both"/>
      </w:pPr>
      <w:r>
        <w:t xml:space="preserve">Valida las rutas públicas reales de la aplicación sin requerir datos sembrados ni credenciales; es la base de la demostración en video: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5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SMK-01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 de la landing page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Título contiene “Dizi” y el h1 principal es visible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SMK-02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Formulario de login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Inputs de email y contraseña y botón de envío visibles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SMK-03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Página de novedades y FAQ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Encabezado principal visible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SMK-04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Política de privacidad (Ley 29733)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Encabezado principal visible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SMK-05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 inexistente (RF-01)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SPA no se rompe ni expone datos de otras tiendas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4.2 Suite de flujos de negocio (E2E-01 a E2E-05)</w:t>
      </w:r>
    </w:p>
    <w:p>
      <w:pPr>
        <w:spacing w:after="120"/>
        <w:jc w:val="both"/>
      </w:pPr>
      <w:r>
        <w:t xml:space="preserve">Cubre los cinco flujos críticos trazados a los requisitos funcionales del SDD (ver matriz de trazabilidad del Informe Final IS-489). Requiere un ambiente con datos sembrados: la tienda “tienda-demo” y el usuario owner@tiendademo.com: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Flujo validado (Dado-Cuando-Entonces)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E2E-01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 un dueño autenticado, cuando publica su catálogo, entonces /t/tienda-demo muestra productos, precios en soles y el diseño elegido (RF-01, RF-03).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E2E-02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 un token de invitación válido, cuando se completa el registro, entonces se crea la tienda con su plan; un token vencido bloquea el registro (RF-04).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E2E-03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 un visitante con productos en el carrito, cuando confirma el pedido, entonces se abre wa.me con el mensaje codificado y el teléfono normalizado (RF-02).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E2E-04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 un consumidor, cuando registra un reclamo en el Libro de Reclamaciones, entonces el dueño lo gestiona y resuelve desde su panel (RF-09).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E2E-05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 un plan semilla, cuando el dueño intenta usar funciones premium, entonces aparecen bloqueadas con invitación al upgrade (RF-05, RF-10).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Ejecución de las Pruebas</w:t>
      </w:r>
    </w:p>
    <w:p>
      <w:pPr>
        <w:pStyle w:val="Heading2"/>
      </w:pPr>
      <w:r>
        <w:t xml:space="preserve">5.1 Comandos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Terminal 1: levantar la aplicación local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npm run dev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Terminal 2: ejecutar las pruebas (headless, con video)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npm run test:e2e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Ver la ejecución en un navegador visible (ideal para grabar pantalla)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npm run test:e2e:headed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Abrir el reporte HTML consolidado con videos y traces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npm run test:e2e:report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Contra el ambiente de producción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PW_BASE_URL=https://&lt;dominio-produccion&gt; npm run test:e2e</w:t>
      </w:r>
    </w:p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5.2 Evidencias generadas automáticamente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Video .webm por prueba: </w:t>
      </w:r>
      <w:r>
        <w:t xml:space="preserve">en test-results/&lt;nombre-de-la-prueba&gt;/video.webm; es la evidencia base del entregable audiovisual.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Trace navegable: </w:t>
      </w:r>
      <w:r>
        <w:t xml:space="preserve">npx playwright show-trace test-results/&lt;prueba&gt;/trace.zip muestra cada paso con captura, DOM y consola; ideal para el análisis de fallos en el video.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Reporte HTML: </w:t>
      </w:r>
      <w:r>
        <w:t xml:space="preserve">consolida los dos proyectos (escritorio y móvil) con estado, duración, video y trace por prueba.</w:t>
      </w:r>
    </w:p>
    <w:p>
      <w:r>
        <w:br w:type="page"/>
      </w:r>
    </w:p>
    <w:p>
      <w:pPr>
        <w:pStyle w:val="Heading1"/>
      </w:pPr>
      <w:r>
        <w:t xml:space="preserve">6. Análisis de Resultados</w:t>
      </w:r>
    </w:p>
    <w:p>
      <w:pPr>
        <w:pStyle w:val="Heading2"/>
      </w:pPr>
      <w:r>
        <w:t xml:space="preserve">6.1 Resultados de la ejecución</w:t>
      </w:r>
    </w:p>
    <w:p>
      <w:pPr>
        <w:spacing w:after="120"/>
        <w:jc w:val="both"/>
      </w:pPr>
      <w:r>
        <w:t xml:space="preserve">La suite smoke (10 ejecuciones: 5 escenarios x 2 proyectos) se ejecuta en verde contra la aplicación local y contra producción, validando la disponibilidad de las rutas públicas en escritorio y móvil. Complete la siguiente tabla con su corrida final (visible también en el reporte HTML):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27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Escritorio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Móvil (Pixel 7)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Duración aprox.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SMK-01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 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SMK-02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 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SMK-03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 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SMK-04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 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SMK-05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 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E2E-01..05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Según ambiente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Según ambiente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~8-15 s c/u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</w:pPr>
      <w:r>
        <w:t xml:space="preserve">6.2 Hallazgos del proceso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Dependencia de datos sembrados: </w:t>
      </w:r>
      <w:r>
        <w:t xml:space="preserve">los flujos E2E-01 a E2E-05 requieren la tienda “tienda-demo” y credenciales de prueba en el ambiente; sin esa siembra, fallan por precondición, no por defecto del software. Se recomienda un script de seed (supabase/seed.sql) para hacerlos deterministas.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Selectores estables: </w:t>
      </w:r>
      <w:r>
        <w:t xml:space="preserve">las aserciones sobre clases CSS utilitarias (Tailwind) son frágiles; se recomienda incorporar atributos data-testid en los componentes críticos (botón de pedido, toggle de publicación) para robustecer la suite.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Cobertura móvil: </w:t>
      </w:r>
      <w:r>
        <w:t xml:space="preserve">el proyecto movil-android detectaría desbordes horizontales o botones fuera del área táctil (RNF-03) que no se aprecian en escritorio.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Valor del trace: </w:t>
      </w:r>
      <w:r>
        <w:t xml:space="preserve">ante cualquier FAIL, el trace permite identificar en segundos si la causa es un selector, un tiempo de espera o un defecto real, reduciendo el costo de diagnóstico.</w:t>
      </w:r>
    </w:p>
    <w:p>
      <w:pPr>
        <w:pStyle w:val="Heading2"/>
      </w:pPr>
      <w:r>
        <w:t xml:space="preserve">6.3 Relación con el proceso de calidad del proyecto</w:t>
      </w:r>
    </w:p>
    <w:p>
      <w:pPr>
        <w:spacing w:after="120"/>
        <w:jc w:val="both"/>
      </w:pPr>
      <w:r>
        <w:t xml:space="preserve">Esta suite E2E completa la pirámide de automatización de Dizi: 61 pruebas unitarias y 5 de integración (Vitest, 100 % en verde en 576 ms) en la base, y los flujos E2E en la cúspide. La ejecución queda lista para incorporarse como etapa del pipeline CI (npx playwright test) después de la compuerta de cobertura.</w:t>
      </w:r>
    </w:p>
    <w:p>
      <w:r>
        <w:br w:type="page"/>
      </w:r>
    </w:p>
    <w:p>
      <w:pPr>
        <w:pStyle w:val="Heading1"/>
      </w:pPr>
      <w:r>
        <w:t xml:space="preserve">7. Guion del Video de Ejecución y Análisis</w:t>
      </w:r>
    </w:p>
    <w:p>
      <w:pPr>
        <w:spacing w:after="120"/>
        <w:jc w:val="both"/>
      </w:pPr>
      <w:r>
        <w:t xml:space="preserve">Estructura sugerida para un video de 4 a 6 minutos, grabando la pantalla (OBS Studio, Xbox Game Bar con Win+G, o similar) con narración: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Escena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mostrar y qué decir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0:00-0:30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Presentación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Nombre, curso IS-489 y objetivo: “pruebas E2E de la aplicación Dizi con Playwright”. Mostrar la app funcionando (landing o catálogo).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0:30-1:30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Implementación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Abrir playwright.config.ts y smoke.spec.ts en el editor; explicar baseURL, video: 'on' y un escenario Given-When-Then.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1:30-3:00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Ejecución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Correr npm run test:e2e:headed: se ve el navegador ejecutando solo cada flujo. Luego npm run test:e2e para la corrida completa con el resumen en verde en la terminal.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3:00-4:30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Evidencias y análisis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Abrir npm run test:e2e:report: recorrer el reporte HTML, reproducir el video .webm de una prueba y abrir un trace mostrando los pasos. Comentar resultados: cuántas pasaron, en qué proyectos, y un hallazgo (ej. la recomendación de data-testid).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4:30-5:30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Cierre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Conclusión: la suite valida los flujos críticos de punta a punta en escritorio y móvil, con evidencia reproducible, lista para CI/CD.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Nota: los videos .webm que genera Playwright por cada prueba pueden insertarse directamente en la edición del video final como evidencia objetiva de la ejecución.</w:t>
      </w:r>
    </w:p>
    <w:p>
      <w:r>
        <w:br w:type="page"/>
      </w:r>
    </w:p>
    <w:p>
      <w:pPr>
        <w:pStyle w:val="Heading1"/>
      </w:pPr>
      <w:r>
        <w:t xml:space="preserve">8. Conclusiones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Playwright permitió implementar pruebas E2E reales sobre Dizi con evidencia audiovisual automática (video, trace y capturas por prueba), cubriendo los tres entregables de la práctica con una sola herramienta.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La suite se diseñó en dos niveles: smoke sobre páginas públicas (siempre ejecutable, ideal para la demostración) y flujos de negocio trazados a los requisitos del SDD (E2E-01 a E2E-05).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La ejecución en dos perfiles (escritorio y móvil) valida también el comportamiento responsive exigido por los requisitos no funcionales.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El principal aprendizaje del proceso: la estabilidad de las pruebas E2E depende del control del ambiente (datos sembrados) y de selectores semánticos estables; ambas mejoras quedan propuestas como siguiente iteración.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Página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026"/>
      </w:tabs>
    </w:pPr>
    <w:r>
      <w:rPr>
        <w:color w:val="666666"/>
        <w:sz w:val="17"/>
        <w:szCs w:val="17"/>
      </w:rPr>
      <w:t xml:space="preserve">IS-489 · Pruebas E2E con Playwright</w:t>
    </w:r>
    <w:r>
      <w:rPr>
        <w:color w:val="666666"/>
        <w:sz w:val="17"/>
        <w:szCs w:val="17"/>
      </w:rPr>
      <w:t xml:space="preserve">	Dizi - Catálogo Dinámico SaaS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2026-07-19T02:34:32.171Z</dcterms:created>
  <dcterms:modified xsi:type="dcterms:W3CDTF">2026-07-19T02:34:32.172Z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