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E3A5F"/>
          <w:sz w:val="52"/>
          <w:szCs w:val="52"/>
        </w:rPr>
        <w:t xml:space="preserve">INFORME TÉCNICO Y LEGAL</w:t>
      </w:r>
    </w:p>
    <w:p>
      <w:pPr>
        <w:spacing w:after="0" w:before="160"/>
        <w:jc w:val="center"/>
      </w:pPr>
      <w:r>
        <w:rPr>
          <w:rFonts w:ascii="Arial" w:cs="Arial" w:eastAsia="Arial" w:hAnsi="Arial"/>
          <w:color w:val="2563EB"/>
          <w:sz w:val="36"/>
          <w:szCs w:val="36"/>
        </w:rPr>
        <w:t xml:space="preserve">Libro de Reclamaciones Digital</w:t>
      </w:r>
    </w:p>
    <w:p>
      <w:pPr>
        <w:spacing w:after="0" w:before="80"/>
        <w:jc w:val="center"/>
      </w:pPr>
      <w:r>
        <w:rPr>
          <w:rFonts w:ascii="Arial" w:cs="Arial" w:eastAsia="Arial" w:hAnsi="Arial"/>
          <w:color w:val="64748B"/>
          <w:sz w:val="26"/>
          <w:szCs w:val="26"/>
        </w:rPr>
        <w:t xml:space="preserve">Implementación en el SAAS Dizi.pe</w:t>
      </w:r>
    </w:p>
    <w:p>
      <w:pPr>
        <w:spacing w:after="0" w:before="600"/>
        <w:jc w:val="center"/>
      </w:pPr>
      <w:r>
        <w:rPr>
          <w:rFonts w:ascii="Arial" w:cs="Arial" w:eastAsia="Arial" w:hAnsi="Arial"/>
          <w:color w:val="CBD5E1"/>
          <w:sz w:val="22"/>
          <w:szCs w:val="22"/>
        </w:rPr>
        <w:t xml:space="preserve">─────────────────────────────────────────</w:t>
      </w:r>
    </w:p>
    <w:p>
      <w:pPr>
        <w:spacing w:after="80" w:before="200"/>
        <w:jc w:val="center"/>
      </w:pPr>
      <w:r>
        <w:rPr>
          <w:rFonts w:ascii="Arial" w:cs="Arial" w:eastAsia="Arial" w:hAnsi="Arial"/>
          <w:color w:val="64748B"/>
          <w:sz w:val="22"/>
          <w:szCs w:val="22"/>
        </w:rPr>
        <w:t xml:space="preserve">Versión 3.0  ·  Mayo 2026</w:t>
      </w:r>
    </w:p>
    <w:p>
      <w:pPr>
        <w:spacing w:after="0" w:before="80"/>
        <w:jc w:val="center"/>
      </w:pPr>
      <w:r>
        <w:rPr>
          <w:rFonts w:ascii="Arial" w:cs="Arial" w:eastAsia="Arial" w:hAnsi="Arial"/>
          <w:color w:val="64748B"/>
          <w:sz w:val="22"/>
          <w:szCs w:val="22"/>
        </w:rPr>
        <w:t xml:space="preserve">Preparado por: Sistema de IA — Equipo Técnico Dizi</w:t>
      </w:r>
    </w:p>
    <w:p>
      <w:pPr>
        <w:spacing w:after="0" w:before="1400"/>
      </w:pPr>
      <w:r>
        <w:br w:type="page"/>
      </w:r>
    </w:p>
    <w:sdt>
      <w:sdtPr>
        <w:alias w:val="Contenido"/>
      </w:sdtPr>
      <w:sdtContent>
        <w:p>
          <w:r>
            <w:fldChar w:fldCharType="begin" w:dirty="true"/>
            <w:instrText xml:space="preserve">TOC \h \o "1-3"</w:instrText>
            <w:fldChar w:fldCharType="separate"/>
          </w:r>
        </w:p>
        <w:p>
          <w:r>
            <w:fldChar w:fldCharType="end"/>
          </w:r>
        </w:p>
      </w:sdtContent>
    </w:sdt>
    <w:p>
      <w:pPr>
        <w:spacing w:after="0" w:before="400"/>
      </w:pPr>
      <w:r>
        <w:br w:type="page"/>
      </w:r>
    </w:p>
    <w:p>
      <w:pPr>
        <w:pStyle w:val="Heading1"/>
        <w:spacing w:after="120" w:before="360"/>
      </w:pPr>
      <w:r>
        <w:rPr>
          <w:rFonts w:ascii="Arial" w:cs="Arial" w:eastAsia="Arial" w:hAnsi="Arial"/>
          <w:b/>
          <w:bCs/>
          <w:color w:val="1E3A5F"/>
          <w:sz w:val="32"/>
          <w:szCs w:val="32"/>
        </w:rPr>
        <w:t xml:space="preserve">1. Resumen Ejecutivo</w:t>
      </w:r>
    </w:p>
    <w:p>
      <w:pPr>
        <w:spacing w:after="120"/>
        <w:jc w:val="both"/>
      </w:pPr>
      <w:r>
        <w:rPr>
          <w:rFonts w:ascii="Arial" w:cs="Arial" w:eastAsia="Arial" w:hAnsi="Arial"/>
          <w:b w:val="false"/>
          <w:bCs w:val="false"/>
          <w:i w:val="false"/>
          <w:iCs w:val="false"/>
          <w:color w:val="1E293B"/>
          <w:sz w:val="22"/>
          <w:szCs w:val="22"/>
        </w:rPr>
        <w:t xml:space="preserve">Se implementó un Libro de Reclamaciones Digital completamente conforme a la normativa peruana de protección al consumidor para la plataforma SAAS multitenant Dizi.pe. El sistema permite a los consumidores registrar quejas y reclamos directamente desde el catálogo público de cualquier tienda adherida, genera un ticket digital con número correlativo, y provee al comerciante un panel de auditoría para gestionar cada caso dentro del plazo legal de 15 días hábiles.</w:t>
      </w:r>
    </w:p>
    <w:p>
      <w:pPr>
        <w:spacing w:after="120"/>
        <w:jc w:val="both"/>
      </w:pPr>
      <w:r>
        <w:rPr>
          <w:rFonts w:ascii="Arial" w:cs="Arial" w:eastAsia="Arial" w:hAnsi="Arial"/>
          <w:b w:val="false"/>
          <w:bCs w:val="false"/>
          <w:i w:val="false"/>
          <w:iCs w:val="false"/>
          <w:color w:val="1E293B"/>
          <w:sz w:val="22"/>
          <w:szCs w:val="22"/>
        </w:rPr>
        <w:t xml:space="preserve">La implementación abarca tres capas: (1) interfaz pública para el consumidor, (2) base de datos con políticas de seguridad de fila (RLS) y función RPC segura, y (3) panel de administración con alertas de vencimiento y registro de respuestas.</w:t>
      </w:r>
    </w:p>
    <w:p>
      <w:pPr>
        <w:pBdr>
          <w:bottom w:val="single" w:color="CBD5E1" w:sz="4"/>
        </w:pBdr>
        <w:spacing w:after="120" w:before="120"/>
      </w:pPr>
    </w:p>
    <w:p>
      <w:pPr>
        <w:spacing w:after="120" w:before="160"/>
      </w:pPr>
      <w:r>
        <w:rPr>
          <w:rFonts w:ascii="Arial" w:cs="Arial" w:eastAsia="Arial" w:hAnsi="Arial"/>
          <w:b/>
          <w:bCs/>
          <w:color w:val="1E293B"/>
          <w:sz w:val="22"/>
          <w:szCs w:val="22"/>
        </w:rPr>
        <w:t xml:space="preserve">Alcance del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pPr>
              <w:jc w:val="center"/>
            </w:pPr>
            <w:r>
              <w:rPr>
                <w:rFonts w:ascii="Arial" w:cs="Arial" w:eastAsia="Arial" w:hAnsi="Arial"/>
                <w:color w:val="2563EB"/>
                <w:sz w:val="18"/>
                <w:szCs w:val="18"/>
              </w:rPr>
              <w:t xml:space="preserve">Archivos modificados</w:t>
            </w:r>
          </w:p>
          <w:p>
            <w:pPr>
              <w:jc w:val="center"/>
            </w:pPr>
            <w:r>
              <w:rPr>
                <w:rFonts w:ascii="Arial" w:cs="Arial" w:eastAsia="Arial" w:hAnsi="Arial"/>
                <w:b/>
                <w:bCs/>
                <w:color w:val="2563EB"/>
                <w:sz w:val="28"/>
                <w:szCs w:val="28"/>
              </w:rPr>
              <w:t xml:space="preserve">9</w:t>
            </w:r>
          </w:p>
        </w:tc>
        <w:tc>
          <w:tcPr>
            <w:tcW w:type="dxa" w:w="2200"/>
            <w:tcBorders>
              <w:top w:val="single" w:color="CBD5E1" w:sz="1"/>
              <w:left w:val="single" w:color="CBD5E1" w:sz="1"/>
              <w:bottom w:val="single" w:color="CBD5E1" w:sz="1"/>
              <w:right w:val="single" w:color="CBD5E1" w:sz="1"/>
            </w:tcBorders>
            <w:shd w:fill="D1FAE5" w:val="clear"/>
            <w:tcMar>
              <w:top w:type="dxa" w:w="120"/>
              <w:left w:type="dxa" w:w="160"/>
              <w:bottom w:type="dxa" w:w="120"/>
              <w:right w:type="dxa" w:w="160"/>
            </w:tcMar>
            <w:vAlign w:val="center"/>
          </w:tcPr>
          <w:p>
            <w:pPr>
              <w:jc w:val="center"/>
            </w:pPr>
            <w:r>
              <w:rPr>
                <w:rFonts w:ascii="Arial" w:cs="Arial" w:eastAsia="Arial" w:hAnsi="Arial"/>
                <w:color w:val="15803D"/>
                <w:sz w:val="18"/>
                <w:szCs w:val="18"/>
              </w:rPr>
              <w:t xml:space="preserve">Archivos nuevos</w:t>
            </w:r>
          </w:p>
          <w:p>
            <w:pPr>
              <w:jc w:val="center"/>
            </w:pPr>
            <w:r>
              <w:rPr>
                <w:rFonts w:ascii="Arial" w:cs="Arial" w:eastAsia="Arial" w:hAnsi="Arial"/>
                <w:b/>
                <w:bCs/>
                <w:color w:val="15803D"/>
                <w:sz w:val="28"/>
                <w:szCs w:val="28"/>
              </w:rPr>
              <w:t xml:space="preserve">2</w:t>
            </w:r>
          </w:p>
        </w:tc>
        <w:tc>
          <w:tcPr>
            <w:tcW w:type="dxa" w:w="2200"/>
            <w:tcBorders>
              <w:top w:val="single" w:color="CBD5E1" w:sz="1"/>
              <w:left w:val="single" w:color="CBD5E1" w:sz="1"/>
              <w:bottom w:val="single" w:color="CBD5E1" w:sz="1"/>
              <w:right w:val="single" w:color="CBD5E1" w:sz="1"/>
            </w:tcBorders>
            <w:shd w:fill="FEF3C7" w:val="clear"/>
            <w:tcMar>
              <w:top w:type="dxa" w:w="120"/>
              <w:left w:type="dxa" w:w="160"/>
              <w:bottom w:type="dxa" w:w="120"/>
              <w:right w:type="dxa" w:w="160"/>
            </w:tcMar>
            <w:vAlign w:val="center"/>
          </w:tcPr>
          <w:p>
            <w:pPr>
              <w:jc w:val="center"/>
            </w:pPr>
            <w:r>
              <w:rPr>
                <w:rFonts w:ascii="Arial" w:cs="Arial" w:eastAsia="Arial" w:hAnsi="Arial"/>
                <w:color w:val="C2410C"/>
                <w:sz w:val="18"/>
                <w:szCs w:val="18"/>
              </w:rPr>
              <w:t xml:space="preserve">Campos Anexo I</w:t>
            </w:r>
          </w:p>
          <w:p>
            <w:pPr>
              <w:jc w:val="center"/>
            </w:pPr>
            <w:r>
              <w:rPr>
                <w:rFonts w:ascii="Arial" w:cs="Arial" w:eastAsia="Arial" w:hAnsi="Arial"/>
                <w:b/>
                <w:bCs/>
                <w:color w:val="C2410C"/>
                <w:sz w:val="28"/>
                <w:szCs w:val="28"/>
              </w:rPr>
              <w:t xml:space="preserve">19</w:t>
            </w:r>
          </w:p>
        </w:tc>
        <w:tc>
          <w:tcPr>
            <w:tcW w:type="dxa" w:w="2200"/>
            <w:tcBorders>
              <w:top w:val="single" w:color="CBD5E1" w:sz="1"/>
              <w:left w:val="single" w:color="CBD5E1" w:sz="1"/>
              <w:bottom w:val="single" w:color="CBD5E1" w:sz="1"/>
              <w:right w:val="single" w:color="CBD5E1" w:sz="1"/>
            </w:tcBorders>
            <w:shd w:fill="EDE9FE" w:val="clear"/>
            <w:tcMar>
              <w:top w:type="dxa" w:w="120"/>
              <w:left w:type="dxa" w:w="160"/>
              <w:bottom w:type="dxa" w:w="120"/>
              <w:right w:type="dxa" w:w="160"/>
            </w:tcMar>
            <w:vAlign w:val="center"/>
          </w:tcPr>
          <w:p>
            <w:pPr>
              <w:jc w:val="center"/>
            </w:pPr>
            <w:r>
              <w:rPr>
                <w:rFonts w:ascii="Arial" w:cs="Arial" w:eastAsia="Arial" w:hAnsi="Arial"/>
                <w:color w:val="6D28D9"/>
                <w:sz w:val="18"/>
                <w:szCs w:val="18"/>
              </w:rPr>
              <w:t xml:space="preserve">Leyes cumplidas</w:t>
            </w:r>
          </w:p>
          <w:p>
            <w:pPr>
              <w:jc w:val="center"/>
            </w:pPr>
            <w:r>
              <w:rPr>
                <w:rFonts w:ascii="Arial" w:cs="Arial" w:eastAsia="Arial" w:hAnsi="Arial"/>
                <w:b/>
                <w:bCs/>
                <w:color w:val="6D28D9"/>
                <w:sz w:val="28"/>
                <w:szCs w:val="28"/>
              </w:rPr>
              <w:t xml:space="preserve">6</w:t>
            </w:r>
          </w:p>
        </w:tc>
      </w:tr>
    </w:tbl>
    <w:p>
      <w:pPr>
        <w:spacing w:after="0" w:before="200"/>
      </w:pPr>
      <w:r>
        <w:br w:type="page"/>
      </w:r>
    </w:p>
    <w:p>
      <w:pPr>
        <w:pStyle w:val="Heading1"/>
        <w:spacing w:after="120" w:before="360"/>
      </w:pPr>
      <w:r>
        <w:rPr>
          <w:rFonts w:ascii="Arial" w:cs="Arial" w:eastAsia="Arial" w:hAnsi="Arial"/>
          <w:b/>
          <w:bCs/>
          <w:color w:val="1E3A5F"/>
          <w:sz w:val="32"/>
          <w:szCs w:val="32"/>
        </w:rPr>
        <w:t xml:space="preserve">2. Marco Legal Aplicable</w:t>
      </w:r>
    </w:p>
    <w:p>
      <w:pPr>
        <w:spacing w:after="120"/>
        <w:jc w:val="both"/>
      </w:pPr>
      <w:r>
        <w:rPr>
          <w:rFonts w:ascii="Arial" w:cs="Arial" w:eastAsia="Arial" w:hAnsi="Arial"/>
          <w:b w:val="false"/>
          <w:bCs w:val="false"/>
          <w:i w:val="false"/>
          <w:iCs w:val="false"/>
          <w:color w:val="1E293B"/>
          <w:sz w:val="22"/>
          <w:szCs w:val="22"/>
        </w:rPr>
        <w:t xml:space="preserve">El sistema implementado cumple con la totalidad de la normativa peruana vigente en materia de Libro de Reclamaciones para comercio electrónico. A continuación se detalla cada norma y cómo impacta en la implementación:</w:t>
      </w:r>
    </w:p>
    <w:p>
      <w:pPr>
        <w:pBdr>
          <w:bottom w:val="single" w:color="CBD5E1" w:sz="4"/>
        </w:pBdr>
        <w:spacing w:after="120" w:before="120"/>
      </w:pPr>
    </w:p>
    <w:p>
      <w:pPr>
        <w:pStyle w:val="Heading2"/>
        <w:spacing w:after="120" w:before="240"/>
      </w:pPr>
      <w:r>
        <w:rPr>
          <w:rFonts w:ascii="Arial" w:cs="Arial" w:eastAsia="Arial" w:hAnsi="Arial"/>
          <w:b/>
          <w:bCs/>
          <w:color w:val="2563EB"/>
          <w:sz w:val="26"/>
          <w:szCs w:val="26"/>
        </w:rPr>
        <w:t xml:space="preserve">2.1. Ley N° 29571 — Código de Protección y Defensa del Consumidor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BEAFE" w:val="clear"/>
            <w:tcMar>
              <w:top w:type="dxa" w:w="100"/>
              <w:left w:type="dxa" w:w="160"/>
              <w:bottom w:type="dxa" w:w="60"/>
              <w:right w:type="dxa" w:w="160"/>
            </w:tcMar>
          </w:tcPr>
          <w:p>
            <w:r>
              <w:rPr>
                <w:rFonts w:ascii="Arial" w:cs="Arial" w:eastAsia="Arial" w:hAnsi="Arial"/>
                <w:b/>
                <w:bCs/>
                <w:color w:val="2563EB"/>
                <w:sz w:val="22"/>
                <w:szCs w:val="22"/>
              </w:rPr>
              <w:t xml:space="preserve">Artículos aplicados: 150°, 151°, 152°</w:t>
            </w:r>
          </w:p>
        </w:tc>
      </w:tr>
      <w:tr>
        <w:tc>
          <w:tcPr>
            <w:tcBorders>
              <w:top w:val="none" w:color="FFFFFF" w:sz="0"/>
              <w:left w:val="none" w:color="FFFFFF" w:sz="0"/>
              <w:bottom w:val="none" w:color="FFFFFF" w:sz="0"/>
              <w:right w:val="none" w:color="FFFFFF" w:sz="0"/>
            </w:tcBorders>
            <w:shd w:fill="DBEAFE" w:val="clear"/>
            <w:tcMar>
              <w:top w:type="dxa" w:w="40"/>
              <w:left w:type="dxa" w:w="200"/>
              <w:bottom w:type="dxa" w:w="40"/>
              <w:right w:type="dxa" w:w="160"/>
            </w:tcMar>
          </w:tcPr>
          <w:p>
            <w:r>
              <w:rPr>
                <w:rFonts w:ascii="Arial" w:cs="Arial" w:eastAsia="Arial" w:hAnsi="Arial"/>
                <w:color w:val="1E293B"/>
                <w:sz w:val="20"/>
                <w:szCs w:val="20"/>
              </w:rPr>
              <w:t xml:space="preserve">• Art. 150°: Obliga a los proveedores a contar con un Libro de Reclamaciones físico o virtual.</w:t>
            </w:r>
          </w:p>
        </w:tc>
      </w:tr>
      <w:tr>
        <w:tc>
          <w:tcPr>
            <w:tcBorders>
              <w:top w:val="none" w:color="FFFFFF" w:sz="0"/>
              <w:left w:val="none" w:color="FFFFFF" w:sz="0"/>
              <w:bottom w:val="none" w:color="FFFFFF" w:sz="0"/>
              <w:right w:val="none" w:color="FFFFFF" w:sz="0"/>
            </w:tcBorders>
            <w:shd w:fill="DBEAFE" w:val="clear"/>
            <w:tcMar>
              <w:top w:type="dxa" w:w="40"/>
              <w:left w:type="dxa" w:w="200"/>
              <w:bottom w:type="dxa" w:w="40"/>
              <w:right w:type="dxa" w:w="160"/>
            </w:tcMar>
          </w:tcPr>
          <w:p>
            <w:r>
              <w:rPr>
                <w:rFonts w:ascii="Arial" w:cs="Arial" w:eastAsia="Arial" w:hAnsi="Arial"/>
                <w:color w:val="1E293B"/>
                <w:sz w:val="20"/>
                <w:szCs w:val="20"/>
              </w:rPr>
              <w:t xml:space="preserve">• Art. 151°: Define los requisitos mínimos que debe contener cada hoja de reclamación.</w:t>
            </w:r>
          </w:p>
        </w:tc>
      </w:tr>
      <w:tr>
        <w:tc>
          <w:tcPr>
            <w:tcBorders>
              <w:top w:val="none" w:color="FFFFFF" w:sz="0"/>
              <w:left w:val="none" w:color="FFFFFF" w:sz="0"/>
              <w:bottom w:val="none" w:color="FFFFFF" w:sz="0"/>
              <w:right w:val="none" w:color="FFFFFF" w:sz="0"/>
            </w:tcBorders>
            <w:shd w:fill="DBEAFE" w:val="clear"/>
            <w:tcMar>
              <w:top w:type="dxa" w:w="40"/>
              <w:left w:type="dxa" w:w="200"/>
              <w:bottom w:type="dxa" w:w="40"/>
              <w:right w:type="dxa" w:w="160"/>
            </w:tcMar>
          </w:tcPr>
          <w:p>
            <w:r>
              <w:rPr>
                <w:rFonts w:ascii="Arial" w:cs="Arial" w:eastAsia="Arial" w:hAnsi="Arial"/>
                <w:color w:val="1E293B"/>
                <w:sz w:val="20"/>
                <w:szCs w:val="20"/>
              </w:rPr>
              <w:t xml:space="preserve">• Art. 152°: Establece las sanciones por incumplimiento (multas de hasta 450 UIT).</w:t>
            </w:r>
          </w:p>
        </w:tc>
      </w:tr>
      <w:tr>
        <w:tc>
          <w:tcPr>
            <w:tcBorders>
              <w:top w:val="none" w:color="FFFFFF" w:sz="0"/>
              <w:left w:val="none" w:color="FFFFFF" w:sz="0"/>
              <w:bottom w:val="none" w:color="FFFFFF" w:sz="0"/>
              <w:right w:val="none" w:color="FFFFFF" w:sz="0"/>
            </w:tcBorders>
            <w:shd w:fill="DBEAFE" w:val="clear"/>
            <w:tcMar>
              <w:top w:type="dxa" w:w="40"/>
              <w:left w:type="dxa" w:w="200"/>
              <w:bottom w:type="dxa" w:w="40"/>
              <w:right w:type="dxa" w:w="160"/>
            </w:tcMar>
          </w:tcPr>
          <w:p>
            <w:r>
              <w:rPr>
                <w:rFonts w:ascii="Arial" w:cs="Arial" w:eastAsia="Arial" w:hAnsi="Arial"/>
                <w:color w:val="1E293B"/>
                <w:sz w:val="20"/>
                <w:szCs w:val="20"/>
              </w:rPr>
              <w:t xml:space="preserve">→ Implementado: Toggle de activación en Configuración, campos del Anexo I completos, panel de auditoría.</w:t>
            </w:r>
          </w:p>
        </w:tc>
      </w:tr>
    </w:tbl>
    <w:p>
      <w:pPr>
        <w:spacing w:after="0" w:before="120"/>
      </w:pPr>
    </w:p>
    <w:p>
      <w:pPr>
        <w:pStyle w:val="Heading2"/>
        <w:spacing w:after="120" w:before="240"/>
      </w:pPr>
      <w:r>
        <w:rPr>
          <w:rFonts w:ascii="Arial" w:cs="Arial" w:eastAsia="Arial" w:hAnsi="Arial"/>
          <w:b/>
          <w:bCs/>
          <w:color w:val="2563EB"/>
          <w:sz w:val="26"/>
          <w:szCs w:val="26"/>
        </w:rPr>
        <w:t xml:space="preserve">2.2. DS N° 011-2011-PCM — Reglamento del Libro de Reclamaciones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1FAE5" w:val="clear"/>
            <w:tcMar>
              <w:top w:type="dxa" w:w="100"/>
              <w:left w:type="dxa" w:w="160"/>
              <w:bottom w:type="dxa" w:w="60"/>
              <w:right w:type="dxa" w:w="160"/>
            </w:tcMar>
          </w:tcPr>
          <w:p>
            <w:r>
              <w:rPr>
                <w:rFonts w:ascii="Arial" w:cs="Arial" w:eastAsia="Arial" w:hAnsi="Arial"/>
                <w:b/>
                <w:bCs/>
                <w:color w:val="15803D"/>
                <w:sz w:val="22"/>
                <w:szCs w:val="22"/>
              </w:rPr>
              <w:t xml:space="preserve">Reglamento original</w:t>
            </w:r>
          </w:p>
        </w:tc>
      </w:tr>
      <w:tr>
        <w:tc>
          <w:tcPr>
            <w:tcBorders>
              <w:top w:val="none" w:color="FFFFFF" w:sz="0"/>
              <w:left w:val="none" w:color="FFFFFF" w:sz="0"/>
              <w:bottom w:val="none" w:color="FFFFFF" w:sz="0"/>
              <w:right w:val="none" w:color="FFFFFF" w:sz="0"/>
            </w:tcBorders>
            <w:shd w:fill="D1FAE5" w:val="clear"/>
            <w:tcMar>
              <w:top w:type="dxa" w:w="40"/>
              <w:left w:type="dxa" w:w="200"/>
              <w:bottom w:type="dxa" w:w="40"/>
              <w:right w:type="dxa" w:w="160"/>
            </w:tcMar>
          </w:tcPr>
          <w:p>
            <w:r>
              <w:rPr>
                <w:rFonts w:ascii="Arial" w:cs="Arial" w:eastAsia="Arial" w:hAnsi="Arial"/>
                <w:color w:val="1E293B"/>
                <w:sz w:val="20"/>
                <w:szCs w:val="20"/>
              </w:rPr>
              <w:t xml:space="preserve">• Establece el formato inicial del Anexo I (Hoja de Reclamación).</w:t>
            </w:r>
          </w:p>
        </w:tc>
      </w:tr>
      <w:tr>
        <w:tc>
          <w:tcPr>
            <w:tcBorders>
              <w:top w:val="none" w:color="FFFFFF" w:sz="0"/>
              <w:left w:val="none" w:color="FFFFFF" w:sz="0"/>
              <w:bottom w:val="none" w:color="FFFFFF" w:sz="0"/>
              <w:right w:val="none" w:color="FFFFFF" w:sz="0"/>
            </w:tcBorders>
            <w:shd w:fill="D1FAE5" w:val="clear"/>
            <w:tcMar>
              <w:top w:type="dxa" w:w="40"/>
              <w:left w:type="dxa" w:w="200"/>
              <w:bottom w:type="dxa" w:w="40"/>
              <w:right w:type="dxa" w:w="160"/>
            </w:tcMar>
          </w:tcPr>
          <w:p>
            <w:r>
              <w:rPr>
                <w:rFonts w:ascii="Arial" w:cs="Arial" w:eastAsia="Arial" w:hAnsi="Arial"/>
                <w:color w:val="1E293B"/>
                <w:sz w:val="20"/>
                <w:szCs w:val="20"/>
              </w:rPr>
              <w:t xml:space="preserve">• Define Secciones A (proveedor), B (consumidor), C (bien/servicio), D (detalle).</w:t>
            </w:r>
          </w:p>
        </w:tc>
      </w:tr>
      <w:tr>
        <w:tc>
          <w:tcPr>
            <w:tcBorders>
              <w:top w:val="none" w:color="FFFFFF" w:sz="0"/>
              <w:left w:val="none" w:color="FFFFFF" w:sz="0"/>
              <w:bottom w:val="none" w:color="FFFFFF" w:sz="0"/>
              <w:right w:val="none" w:color="FFFFFF" w:sz="0"/>
            </w:tcBorders>
            <w:shd w:fill="D1FAE5" w:val="clear"/>
            <w:tcMar>
              <w:top w:type="dxa" w:w="40"/>
              <w:left w:type="dxa" w:w="200"/>
              <w:bottom w:type="dxa" w:w="40"/>
              <w:right w:type="dxa" w:w="160"/>
            </w:tcMar>
          </w:tcPr>
          <w:p>
            <w:r>
              <w:rPr>
                <w:rFonts w:ascii="Arial" w:cs="Arial" w:eastAsia="Arial" w:hAnsi="Arial"/>
                <w:color w:val="1E293B"/>
                <w:sz w:val="20"/>
                <w:szCs w:val="20"/>
              </w:rPr>
              <w:t xml:space="preserve">• Exige que el libro esté disponible en el establecimiento y en plataforma digital.</w:t>
            </w:r>
          </w:p>
        </w:tc>
      </w:tr>
      <w:tr>
        <w:tc>
          <w:tcPr>
            <w:tcBorders>
              <w:top w:val="none" w:color="FFFFFF" w:sz="0"/>
              <w:left w:val="none" w:color="FFFFFF" w:sz="0"/>
              <w:bottom w:val="none" w:color="FFFFFF" w:sz="0"/>
              <w:right w:val="none" w:color="FFFFFF" w:sz="0"/>
            </w:tcBorders>
            <w:shd w:fill="D1FAE5" w:val="clear"/>
            <w:tcMar>
              <w:top w:type="dxa" w:w="40"/>
              <w:left w:type="dxa" w:w="200"/>
              <w:bottom w:type="dxa" w:w="40"/>
              <w:right w:type="dxa" w:w="160"/>
            </w:tcMar>
          </w:tcPr>
          <w:p>
            <w:r>
              <w:rPr>
                <w:rFonts w:ascii="Arial" w:cs="Arial" w:eastAsia="Arial" w:hAnsi="Arial"/>
                <w:color w:val="1E293B"/>
                <w:sz w:val="20"/>
                <w:szCs w:val="20"/>
              </w:rPr>
              <w:t xml:space="preserve">→ Implementado: Estructura exacta de 4 secciones en tabla reclamaciones y wizard del formulario.</w:t>
            </w:r>
          </w:p>
        </w:tc>
      </w:tr>
    </w:tbl>
    <w:p>
      <w:pPr>
        <w:spacing w:after="0" w:before="120"/>
      </w:pPr>
    </w:p>
    <w:p>
      <w:pPr>
        <w:pStyle w:val="Heading2"/>
        <w:spacing w:after="120" w:before="240"/>
      </w:pPr>
      <w:r>
        <w:rPr>
          <w:rFonts w:ascii="Arial" w:cs="Arial" w:eastAsia="Arial" w:hAnsi="Arial"/>
          <w:b/>
          <w:bCs/>
          <w:color w:val="2563EB"/>
          <w:sz w:val="26"/>
          <w:szCs w:val="26"/>
        </w:rPr>
        <w:t xml:space="preserve">2.3. DS N° 006-2014-PCM — Modificación del Reglamento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00"/>
              <w:left w:type="dxa" w:w="160"/>
              <w:bottom w:type="dxa" w:w="60"/>
              <w:right w:type="dxa" w:w="160"/>
            </w:tcMar>
          </w:tcPr>
          <w:p>
            <w:r>
              <w:rPr>
                <w:rFonts w:ascii="Arial" w:cs="Arial" w:eastAsia="Arial" w:hAnsi="Arial"/>
                <w:b/>
                <w:bCs/>
                <w:color w:val="C2410C"/>
                <w:sz w:val="22"/>
                <w:szCs w:val="22"/>
              </w:rPr>
              <w:t xml:space="preserve">Modificación 2014</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Actualiza requisitos para proveedores de servicios digitales.</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Introduce obligatoriedad del libro en plataformas de comercio electrónico.</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Implementado: Sistema disponible en plataforma digital (dizi.pe), sin requerir presencia física.</w:t>
            </w:r>
          </w:p>
        </w:tc>
      </w:tr>
    </w:tbl>
    <w:p>
      <w:pPr>
        <w:spacing w:after="0" w:before="120"/>
      </w:pPr>
    </w:p>
    <w:p>
      <w:pPr>
        <w:pStyle w:val="Heading2"/>
        <w:spacing w:after="120" w:before="240"/>
      </w:pPr>
      <w:r>
        <w:rPr>
          <w:rFonts w:ascii="Arial" w:cs="Arial" w:eastAsia="Arial" w:hAnsi="Arial"/>
          <w:b/>
          <w:bCs/>
          <w:color w:val="2563EB"/>
          <w:sz w:val="26"/>
          <w:szCs w:val="26"/>
        </w:rPr>
        <w:t xml:space="preserve">2.4. DS N° 101-2022-PCM — Plazo de 15 días hábiles y Anexo I actualizado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DE9FE" w:val="clear"/>
            <w:tcMar>
              <w:top w:type="dxa" w:w="100"/>
              <w:left w:type="dxa" w:w="160"/>
              <w:bottom w:type="dxa" w:w="60"/>
              <w:right w:type="dxa" w:w="160"/>
            </w:tcMar>
          </w:tcPr>
          <w:p>
            <w:r>
              <w:rPr>
                <w:rFonts w:ascii="Arial" w:cs="Arial" w:eastAsia="Arial" w:hAnsi="Arial"/>
                <w:b/>
                <w:bCs/>
                <w:color w:val="6D28D9"/>
                <w:sz w:val="22"/>
                <w:szCs w:val="22"/>
              </w:rPr>
              <w:t xml:space="preserve">Norma más reciente del reglamento</w:t>
            </w:r>
          </w:p>
        </w:tc>
      </w:tr>
      <w:tr>
        <w:tc>
          <w:tcPr>
            <w:tcBorders>
              <w:top w:val="none" w:color="FFFFFF" w:sz="0"/>
              <w:left w:val="none" w:color="FFFFFF" w:sz="0"/>
              <w:bottom w:val="none" w:color="FFFFFF" w:sz="0"/>
              <w:right w:val="none" w:color="FFFFFF" w:sz="0"/>
            </w:tcBorders>
            <w:shd w:fill="EDE9FE" w:val="clear"/>
            <w:tcMar>
              <w:top w:type="dxa" w:w="40"/>
              <w:left w:type="dxa" w:w="200"/>
              <w:bottom w:type="dxa" w:w="40"/>
              <w:right w:type="dxa" w:w="160"/>
            </w:tcMar>
          </w:tcPr>
          <w:p>
            <w:r>
              <w:rPr>
                <w:rFonts w:ascii="Arial" w:cs="Arial" w:eastAsia="Arial" w:hAnsi="Arial"/>
                <w:color w:val="1E293B"/>
                <w:sz w:val="20"/>
                <w:szCs w:val="20"/>
              </w:rPr>
              <w:t xml:space="preserve">• Reduce el plazo de atención a 15 días hábiles (antes 30 días calendario).</w:t>
            </w:r>
          </w:p>
        </w:tc>
      </w:tr>
      <w:tr>
        <w:tc>
          <w:tcPr>
            <w:tcBorders>
              <w:top w:val="none" w:color="FFFFFF" w:sz="0"/>
              <w:left w:val="none" w:color="FFFFFF" w:sz="0"/>
              <w:bottom w:val="none" w:color="FFFFFF" w:sz="0"/>
              <w:right w:val="none" w:color="FFFFFF" w:sz="0"/>
            </w:tcBorders>
            <w:shd w:fill="EDE9FE" w:val="clear"/>
            <w:tcMar>
              <w:top w:type="dxa" w:w="40"/>
              <w:left w:type="dxa" w:w="200"/>
              <w:bottom w:type="dxa" w:w="40"/>
              <w:right w:type="dxa" w:w="160"/>
            </w:tcMar>
          </w:tcPr>
          <w:p>
            <w:r>
              <w:rPr>
                <w:rFonts w:ascii="Arial" w:cs="Arial" w:eastAsia="Arial" w:hAnsi="Arial"/>
                <w:color w:val="1E293B"/>
                <w:sz w:val="20"/>
                <w:szCs w:val="20"/>
              </w:rPr>
              <w:t xml:space="preserve">• Actualiza el Anexo I con nuevos campos obligatorios: pedido del consumidor, datos del tutor si es menor.</w:t>
            </w:r>
          </w:p>
        </w:tc>
      </w:tr>
      <w:tr>
        <w:tc>
          <w:tcPr>
            <w:tcBorders>
              <w:top w:val="none" w:color="FFFFFF" w:sz="0"/>
              <w:left w:val="none" w:color="FFFFFF" w:sz="0"/>
              <w:bottom w:val="none" w:color="FFFFFF" w:sz="0"/>
              <w:right w:val="none" w:color="FFFFFF" w:sz="0"/>
            </w:tcBorders>
            <w:shd w:fill="EDE9FE" w:val="clear"/>
            <w:tcMar>
              <w:top w:type="dxa" w:w="40"/>
              <w:left w:type="dxa" w:w="200"/>
              <w:bottom w:type="dxa" w:w="40"/>
              <w:right w:type="dxa" w:w="160"/>
            </w:tcMar>
          </w:tcPr>
          <w:p>
            <w:r>
              <w:rPr>
                <w:rFonts w:ascii="Arial" w:cs="Arial" w:eastAsia="Arial" w:hAnsi="Arial"/>
                <w:color w:val="1E293B"/>
                <w:sz w:val="20"/>
                <w:szCs w:val="20"/>
              </w:rPr>
              <w:t xml:space="preserve">• Exige número correlativo único por establecimiento.</w:t>
            </w:r>
          </w:p>
        </w:tc>
      </w:tr>
      <w:tr>
        <w:tc>
          <w:tcPr>
            <w:tcBorders>
              <w:top w:val="none" w:color="FFFFFF" w:sz="0"/>
              <w:left w:val="none" w:color="FFFFFF" w:sz="0"/>
              <w:bottom w:val="none" w:color="FFFFFF" w:sz="0"/>
              <w:right w:val="none" w:color="FFFFFF" w:sz="0"/>
            </w:tcBorders>
            <w:shd w:fill="EDE9FE" w:val="clear"/>
            <w:tcMar>
              <w:top w:type="dxa" w:w="40"/>
              <w:left w:type="dxa" w:w="200"/>
              <w:bottom w:type="dxa" w:w="40"/>
              <w:right w:type="dxa" w:w="160"/>
            </w:tcMar>
          </w:tcPr>
          <w:p>
            <w:r>
              <w:rPr>
                <w:rFonts w:ascii="Arial" w:cs="Arial" w:eastAsia="Arial" w:hAnsi="Arial"/>
                <w:color w:val="1E293B"/>
                <w:sz w:val="20"/>
                <w:szCs w:val="20"/>
              </w:rPr>
              <w:t xml:space="preserve">→ Implementado: Contador de días hábiles (excluye fines de semana) en el panel admin, alerta roja al vencer.</w:t>
            </w:r>
          </w:p>
        </w:tc>
      </w:tr>
      <w:tr>
        <w:tc>
          <w:tcPr>
            <w:tcBorders>
              <w:top w:val="none" w:color="FFFFFF" w:sz="0"/>
              <w:left w:val="none" w:color="FFFFFF" w:sz="0"/>
              <w:bottom w:val="none" w:color="FFFFFF" w:sz="0"/>
              <w:right w:val="none" w:color="FFFFFF" w:sz="0"/>
            </w:tcBorders>
            <w:shd w:fill="EDE9FE" w:val="clear"/>
            <w:tcMar>
              <w:top w:type="dxa" w:w="40"/>
              <w:left w:type="dxa" w:w="200"/>
              <w:bottom w:type="dxa" w:w="40"/>
              <w:right w:type="dxa" w:w="160"/>
            </w:tcMar>
          </w:tcPr>
          <w:p>
            <w:r>
              <w:rPr>
                <w:rFonts w:ascii="Arial" w:cs="Arial" w:eastAsia="Arial" w:hAnsi="Arial"/>
                <w:color w:val="1E293B"/>
                <w:sz w:val="20"/>
                <w:szCs w:val="20"/>
              </w:rPr>
              <w:t xml:space="preserve">→ Implementado: Campos tutor_nombre y tutor_num_doc cuando es_menor_edad = true.</w:t>
            </w:r>
          </w:p>
        </w:tc>
      </w:tr>
      <w:tr>
        <w:tc>
          <w:tcPr>
            <w:tcBorders>
              <w:top w:val="none" w:color="FFFFFF" w:sz="0"/>
              <w:left w:val="none" w:color="FFFFFF" w:sz="0"/>
              <w:bottom w:val="none" w:color="FFFFFF" w:sz="0"/>
              <w:right w:val="none" w:color="FFFFFF" w:sz="0"/>
            </w:tcBorders>
            <w:shd w:fill="EDE9FE" w:val="clear"/>
            <w:tcMar>
              <w:top w:type="dxa" w:w="40"/>
              <w:left w:type="dxa" w:w="200"/>
              <w:bottom w:type="dxa" w:w="40"/>
              <w:right w:type="dxa" w:w="160"/>
            </w:tcMar>
          </w:tcPr>
          <w:p>
            <w:r>
              <w:rPr>
                <w:rFonts w:ascii="Arial" w:cs="Arial" w:eastAsia="Arial" w:hAnsi="Arial"/>
                <w:color w:val="1E293B"/>
                <w:sz w:val="20"/>
                <w:szCs w:val="20"/>
              </w:rPr>
              <w:t xml:space="preserve">→ Implementado: Correlativo único por tenant con pg_advisory_xact_lock (sin race conditions).</w:t>
            </w:r>
          </w:p>
        </w:tc>
      </w:tr>
    </w:tbl>
    <w:p>
      <w:pPr>
        <w:spacing w:after="0" w:before="120"/>
      </w:pPr>
    </w:p>
    <w:p>
      <w:pPr>
        <w:pStyle w:val="Heading2"/>
        <w:spacing w:after="120" w:before="240"/>
      </w:pPr>
      <w:r>
        <w:rPr>
          <w:rFonts w:ascii="Arial" w:cs="Arial" w:eastAsia="Arial" w:hAnsi="Arial"/>
          <w:b/>
          <w:bCs/>
          <w:color w:val="2563EB"/>
          <w:sz w:val="26"/>
          <w:szCs w:val="26"/>
        </w:rPr>
        <w:t xml:space="preserve">2.5. Ley N° 31435 — Reducción adicional de plazos</w:t>
      </w:r>
    </w:p>
    <w:p>
      <w:pPr>
        <w:spacing w:after="120"/>
        <w:jc w:val="both"/>
      </w:pPr>
      <w:r>
        <w:rPr>
          <w:rFonts w:ascii="Arial" w:cs="Arial" w:eastAsia="Arial" w:hAnsi="Arial"/>
          <w:b w:val="false"/>
          <w:bCs w:val="false"/>
          <w:i w:val="false"/>
          <w:iCs w:val="false"/>
          <w:color w:val="1E293B"/>
          <w:sz w:val="22"/>
          <w:szCs w:val="22"/>
        </w:rPr>
        <w:t xml:space="preserve">Complementa el DS 101-2022-PCM en la reducción de plazos de atención. El sistema muestra el plazo de 15 días hábiles en el ticket digital y en el panel de auditoría, y calcula el vencimiento contando únicamente días hábiles (lunes a viernes).</w:t>
      </w:r>
    </w:p>
    <w:p>
      <w:pPr>
        <w:pStyle w:val="Heading2"/>
        <w:spacing w:after="120" w:before="240"/>
      </w:pPr>
      <w:r>
        <w:rPr>
          <w:rFonts w:ascii="Arial" w:cs="Arial" w:eastAsia="Arial" w:hAnsi="Arial"/>
          <w:b/>
          <w:bCs/>
          <w:color w:val="2563EB"/>
          <w:sz w:val="26"/>
          <w:szCs w:val="26"/>
        </w:rPr>
        <w:t xml:space="preserve">2.6. Ley N° 32495 — Plataformas digitales (noviembre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00"/>
              <w:left w:type="dxa" w:w="160"/>
              <w:bottom w:type="dxa" w:w="60"/>
              <w:right w:type="dxa" w:w="160"/>
            </w:tcMar>
          </w:tcPr>
          <w:p>
            <w:r>
              <w:rPr>
                <w:rFonts w:ascii="Arial" w:cs="Arial" w:eastAsia="Arial" w:hAnsi="Arial"/>
                <w:b/>
                <w:bCs/>
                <w:color w:val="C2410C"/>
                <w:sz w:val="22"/>
                <w:szCs w:val="22"/>
              </w:rPr>
              <w:t xml:space="preserve">Ley más reciente — plataformas digitales</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Extiende la obligatoriedad del libro de reclamaciones a todas las plataformas digitales intermediarias.</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Aplica específicamente a SAAS como Dizi.pe que sirven a múltiples comerciantes.</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Requiere que el libro sea accesible desde la interfaz de cada proveedor en la plataforma.</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Implementado: Cada tienda (tenant) tiene su propio libro independiente activable individualmente.</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Implementado: La plataforma (Dizi.pe) puede supervisar todos los libros desde el panel superadmin.</w:t>
            </w:r>
          </w:p>
        </w:tc>
      </w:tr>
    </w:tbl>
    <w:p>
      <w:pPr>
        <w:spacing w:after="0" w:before="120"/>
      </w:pPr>
    </w:p>
    <w:p>
      <w:pPr>
        <w:pStyle w:val="Heading2"/>
        <w:spacing w:after="120" w:before="240"/>
      </w:pPr>
      <w:r>
        <w:rPr>
          <w:rFonts w:ascii="Arial" w:cs="Arial" w:eastAsia="Arial" w:hAnsi="Arial"/>
          <w:b/>
          <w:bCs/>
          <w:color w:val="2563EB"/>
          <w:sz w:val="26"/>
          <w:szCs w:val="26"/>
        </w:rPr>
        <w:t xml:space="preserve">2.7. Resolución SPC-INDECOPI N° 0272-2024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BEAFE" w:val="clear"/>
            <w:tcMar>
              <w:top w:type="dxa" w:w="100"/>
              <w:left w:type="dxa" w:w="160"/>
              <w:bottom w:type="dxa" w:w="60"/>
              <w:right w:type="dxa" w:w="160"/>
            </w:tcMar>
          </w:tcPr>
          <w:p>
            <w:r>
              <w:rPr>
                <w:rFonts w:ascii="Arial" w:cs="Arial" w:eastAsia="Arial" w:hAnsi="Arial"/>
                <w:b/>
                <w:bCs/>
                <w:color w:val="2563EB"/>
                <w:sz w:val="22"/>
                <w:szCs w:val="22"/>
              </w:rPr>
              <w:t xml:space="preserve">Requisito de visibilidad — 2 clicks desde inicio</w:t>
            </w:r>
          </w:p>
        </w:tc>
      </w:tr>
      <w:tr>
        <w:tc>
          <w:tcPr>
            <w:tcBorders>
              <w:top w:val="none" w:color="FFFFFF" w:sz="0"/>
              <w:left w:val="none" w:color="FFFFFF" w:sz="0"/>
              <w:bottom w:val="none" w:color="FFFFFF" w:sz="0"/>
              <w:right w:val="none" w:color="FFFFFF" w:sz="0"/>
            </w:tcBorders>
            <w:shd w:fill="DBEAFE" w:val="clear"/>
            <w:tcMar>
              <w:top w:type="dxa" w:w="40"/>
              <w:left w:type="dxa" w:w="200"/>
              <w:bottom w:type="dxa" w:w="40"/>
              <w:right w:type="dxa" w:w="160"/>
            </w:tcMar>
          </w:tcPr>
          <w:p>
            <w:r>
              <w:rPr>
                <w:rFonts w:ascii="Arial" w:cs="Arial" w:eastAsia="Arial" w:hAnsi="Arial"/>
                <w:color w:val="1E293B"/>
                <w:sz w:val="20"/>
                <w:szCs w:val="20"/>
              </w:rPr>
              <w:t xml:space="preserve">• El libro de reclamaciones debe ser accesible en máximo 2 clicks desde la página principal del comercio.</w:t>
            </w:r>
          </w:p>
        </w:tc>
      </w:tr>
      <w:tr>
        <w:tc>
          <w:tcPr>
            <w:tcBorders>
              <w:top w:val="none" w:color="FFFFFF" w:sz="0"/>
              <w:left w:val="none" w:color="FFFFFF" w:sz="0"/>
              <w:bottom w:val="none" w:color="FFFFFF" w:sz="0"/>
              <w:right w:val="none" w:color="FFFFFF" w:sz="0"/>
            </w:tcBorders>
            <w:shd w:fill="DBEAFE" w:val="clear"/>
            <w:tcMar>
              <w:top w:type="dxa" w:w="40"/>
              <w:left w:type="dxa" w:w="200"/>
              <w:bottom w:type="dxa" w:w="40"/>
              <w:right w:type="dxa" w:w="160"/>
            </w:tcMar>
          </w:tcPr>
          <w:p>
            <w:r>
              <w:rPr>
                <w:rFonts w:ascii="Arial" w:cs="Arial" w:eastAsia="Arial" w:hAnsi="Arial"/>
                <w:color w:val="1E293B"/>
                <w:sz w:val="20"/>
                <w:szCs w:val="20"/>
              </w:rPr>
              <w:t xml:space="preserve">• Debe ser visible en el proceso de compra/contratación (checkout).</w:t>
            </w:r>
          </w:p>
        </w:tc>
      </w:tr>
      <w:tr>
        <w:tc>
          <w:tcPr>
            <w:tcBorders>
              <w:top w:val="none" w:color="FFFFFF" w:sz="0"/>
              <w:left w:val="none" w:color="FFFFFF" w:sz="0"/>
              <w:bottom w:val="none" w:color="FFFFFF" w:sz="0"/>
              <w:right w:val="none" w:color="FFFFFF" w:sz="0"/>
            </w:tcBorders>
            <w:shd w:fill="DBEAFE" w:val="clear"/>
            <w:tcMar>
              <w:top w:type="dxa" w:w="40"/>
              <w:left w:type="dxa" w:w="200"/>
              <w:bottom w:type="dxa" w:w="40"/>
              <w:right w:type="dxa" w:w="160"/>
            </w:tcMar>
          </w:tcPr>
          <w:p>
            <w:r>
              <w:rPr>
                <w:rFonts w:ascii="Arial" w:cs="Arial" w:eastAsia="Arial" w:hAnsi="Arial"/>
                <w:color w:val="1E293B"/>
                <w:sz w:val="20"/>
                <w:szCs w:val="20"/>
              </w:rPr>
              <w:t xml:space="preserve">• La indicación "Libro de Reclamaciones" debe estar claramente visible.</w:t>
            </w:r>
          </w:p>
        </w:tc>
      </w:tr>
      <w:tr>
        <w:tc>
          <w:tcPr>
            <w:tcBorders>
              <w:top w:val="none" w:color="FFFFFF" w:sz="0"/>
              <w:left w:val="none" w:color="FFFFFF" w:sz="0"/>
              <w:bottom w:val="none" w:color="FFFFFF" w:sz="0"/>
              <w:right w:val="none" w:color="FFFFFF" w:sz="0"/>
            </w:tcBorders>
            <w:shd w:fill="DBEAFE" w:val="clear"/>
            <w:tcMar>
              <w:top w:type="dxa" w:w="40"/>
              <w:left w:type="dxa" w:w="200"/>
              <w:bottom w:type="dxa" w:w="40"/>
              <w:right w:type="dxa" w:w="160"/>
            </w:tcMar>
          </w:tcPr>
          <w:p>
            <w:r>
              <w:rPr>
                <w:rFonts w:ascii="Arial" w:cs="Arial" w:eastAsia="Arial" w:hAnsi="Arial"/>
                <w:color w:val="1E293B"/>
                <w:sz w:val="20"/>
                <w:szCs w:val="20"/>
              </w:rPr>
              <w:t xml:space="preserve">→ Implementado: Botón en el footer del catálogo público (1 click desde cualquier página del catálogo).</w:t>
            </w:r>
          </w:p>
        </w:tc>
      </w:tr>
      <w:tr>
        <w:tc>
          <w:tcPr>
            <w:tcBorders>
              <w:top w:val="none" w:color="FFFFFF" w:sz="0"/>
              <w:left w:val="none" w:color="FFFFFF" w:sz="0"/>
              <w:bottom w:val="none" w:color="FFFFFF" w:sz="0"/>
              <w:right w:val="none" w:color="FFFFFF" w:sz="0"/>
            </w:tcBorders>
            <w:shd w:fill="DBEAFE" w:val="clear"/>
            <w:tcMar>
              <w:top w:type="dxa" w:w="40"/>
              <w:left w:type="dxa" w:w="200"/>
              <w:bottom w:type="dxa" w:w="40"/>
              <w:right w:type="dxa" w:w="160"/>
            </w:tcMar>
          </w:tcPr>
          <w:p>
            <w:r>
              <w:rPr>
                <w:rFonts w:ascii="Arial" w:cs="Arial" w:eastAsia="Arial" w:hAnsi="Arial"/>
                <w:color w:val="1E293B"/>
                <w:sz w:val="20"/>
                <w:szCs w:val="20"/>
              </w:rPr>
              <w:t xml:space="preserve">→ Implementado: Solo visible cuando la tienda tiene libroReclamacionesActivo = true.</w:t>
            </w:r>
          </w:p>
        </w:tc>
      </w:tr>
    </w:tbl>
    <w:p>
      <w:pPr>
        <w:spacing w:after="0" w:before="200"/>
      </w:pPr>
      <w:r>
        <w:br w:type="page"/>
      </w:r>
    </w:p>
    <w:p>
      <w:pPr>
        <w:pStyle w:val="Heading1"/>
        <w:spacing w:after="120" w:before="360"/>
      </w:pPr>
      <w:r>
        <w:rPr>
          <w:rFonts w:ascii="Arial" w:cs="Arial" w:eastAsia="Arial" w:hAnsi="Arial"/>
          <w:b/>
          <w:bCs/>
          <w:color w:val="1E3A5F"/>
          <w:sz w:val="32"/>
          <w:szCs w:val="32"/>
        </w:rPr>
        <w:t xml:space="preserve">3. Arquitectura del Sistema</w:t>
      </w:r>
    </w:p>
    <w:p>
      <w:pPr>
        <w:spacing w:after="120"/>
        <w:jc w:val="both"/>
      </w:pPr>
      <w:r>
        <w:rPr>
          <w:rFonts w:ascii="Arial" w:cs="Arial" w:eastAsia="Arial" w:hAnsi="Arial"/>
          <w:b w:val="false"/>
          <w:bCs w:val="false"/>
          <w:i w:val="false"/>
          <w:iCs w:val="false"/>
          <w:color w:val="1E293B"/>
          <w:sz w:val="22"/>
          <w:szCs w:val="22"/>
        </w:rPr>
        <w:t xml:space="preserve">El sistema sigue la arquitectura multitenant ya existente en Dizi.pe, con tres capas bien diferenciadas: capa de presentación pública, capa de base de datos (Supabase/PostgreSQL), y capa de administración autenticada.</w:t>
      </w:r>
    </w:p>
    <w:p>
      <w:pPr>
        <w:pBdr>
          <w:bottom w:val="single" w:color="CBD5E1" w:sz="4"/>
        </w:pBdr>
        <w:spacing w:after="120" w:before="120"/>
      </w:pPr>
    </w:p>
    <w:p>
      <w:pPr>
        <w:pStyle w:val="Heading2"/>
        <w:spacing w:after="120" w:before="240"/>
      </w:pPr>
      <w:r>
        <w:rPr>
          <w:rFonts w:ascii="Arial" w:cs="Arial" w:eastAsia="Arial" w:hAnsi="Arial"/>
          <w:b/>
          <w:bCs/>
          <w:color w:val="2563EB"/>
          <w:sz w:val="26"/>
          <w:szCs w:val="26"/>
        </w:rPr>
        <w:t xml:space="preserve">3.1. Diagrama de flujo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
        <w:gridCol w:w="1300"/>
        <w:gridCol w:w="80"/>
        <w:gridCol w:w="1300"/>
        <w:gridCol w:w="80"/>
        <w:gridCol w:w="1300"/>
        <w:gridCol w:w="80"/>
        <w:gridCol w:w="1300"/>
        <w:gridCol w:w="80"/>
        <w:gridCol w:w="1300"/>
      </w:tblGrid>
      <w:tr>
        <w:tc>
          <w:tcPr>
            <w:tcW w:type="dxa" w:w="1300"/>
            <w:tcBorders>
              <w:top w:val="single" w:color="CBD5E1" w:sz="1"/>
              <w:left w:val="single" w:color="CBD5E1" w:sz="1"/>
              <w:bottom w:val="single" w:color="CBD5E1" w:sz="1"/>
              <w:right w:val="single" w:color="CBD5E1" w:sz="1"/>
            </w:tcBorders>
            <w:shd w:fill="DBEAFE" w:val="clear"/>
            <w:tcMar>
              <w:top w:type="dxa" w:w="100"/>
              <w:left w:type="dxa" w:w="100"/>
              <w:bottom w:type="dxa" w:w="100"/>
              <w:right w:type="dxa" w:w="100"/>
            </w:tcMar>
          </w:tcPr>
          <w:p>
            <w:pPr>
              <w:jc w:val="center"/>
            </w:pPr>
            <w:r>
              <w:rPr>
                <w:rFonts w:ascii="Arial" w:cs="Arial" w:eastAsia="Arial" w:hAnsi="Arial"/>
                <w:b/>
                <w:bCs/>
                <w:color w:val="1D4ED8"/>
                <w:sz w:val="18"/>
                <w:szCs w:val="18"/>
              </w:rPr>
              <w:t xml:space="preserve">Catálogo
Público</w:t>
            </w:r>
          </w:p>
        </w:tc>
        <w:tc>
          <w:tcPr>
            <w:tcW w:type="dxa" w:w="80"/>
            <w:tcBorders>
              <w:top w:val="none" w:color="FFFFFF" w:sz="0"/>
              <w:left w:val="none" w:color="FFFFFF" w:sz="0"/>
              <w:bottom w:val="none" w:color="FFFFFF" w:sz="0"/>
              <w:right w:val="none" w:color="FFFFFF" w:sz="0"/>
            </w:tcBorders>
            <w:vAlign w:val="center"/>
          </w:tcPr>
          <w:p>
            <w:pPr>
              <w:jc w:val="center"/>
            </w:pPr>
            <w:r>
              <w:rPr>
                <w:rFonts w:ascii="Arial" w:cs="Arial" w:eastAsia="Arial" w:hAnsi="Arial"/>
                <w:color w:val="64748B"/>
                <w:sz w:val="24"/>
                <w:szCs w:val="24"/>
              </w:rPr>
              <w:t xml:space="preserve">›</w:t>
            </w:r>
          </w:p>
        </w:tc>
        <w:tc>
          <w:tcPr>
            <w:tcW w:type="dxa" w:w="1300"/>
            <w:tcBorders>
              <w:top w:val="single" w:color="CBD5E1" w:sz="1"/>
              <w:left w:val="single" w:color="CBD5E1" w:sz="1"/>
              <w:bottom w:val="single" w:color="CBD5E1" w:sz="1"/>
              <w:right w:val="single" w:color="CBD5E1" w:sz="1"/>
            </w:tcBorders>
            <w:shd w:fill="E0F2FE" w:val="clear"/>
            <w:tcMar>
              <w:top w:type="dxa" w:w="100"/>
              <w:left w:type="dxa" w:w="100"/>
              <w:bottom w:type="dxa" w:w="100"/>
              <w:right w:type="dxa" w:w="100"/>
            </w:tcMar>
          </w:tcPr>
          <w:p>
            <w:pPr>
              <w:jc w:val="center"/>
            </w:pPr>
            <w:r>
              <w:rPr>
                <w:rFonts w:ascii="Arial" w:cs="Arial" w:eastAsia="Arial" w:hAnsi="Arial"/>
                <w:b/>
                <w:bCs/>
                <w:color w:val="0369A1"/>
                <w:sz w:val="18"/>
                <w:szCs w:val="18"/>
              </w:rPr>
              <w:t xml:space="preserve">Wizard
2 pasos</w:t>
            </w:r>
          </w:p>
        </w:tc>
        <w:tc>
          <w:tcPr>
            <w:tcW w:type="dxa" w:w="80"/>
            <w:tcBorders>
              <w:top w:val="none" w:color="FFFFFF" w:sz="0"/>
              <w:left w:val="none" w:color="FFFFFF" w:sz="0"/>
              <w:bottom w:val="none" w:color="FFFFFF" w:sz="0"/>
              <w:right w:val="none" w:color="FFFFFF" w:sz="0"/>
            </w:tcBorders>
            <w:vAlign w:val="center"/>
          </w:tcPr>
          <w:p>
            <w:pPr>
              <w:jc w:val="center"/>
            </w:pPr>
            <w:r>
              <w:rPr>
                <w:rFonts w:ascii="Arial" w:cs="Arial" w:eastAsia="Arial" w:hAnsi="Arial"/>
                <w:color w:val="64748B"/>
                <w:sz w:val="24"/>
                <w:szCs w:val="24"/>
              </w:rPr>
              <w:t xml:space="preserve">›</w:t>
            </w:r>
          </w:p>
        </w:tc>
        <w:tc>
          <w:tcPr>
            <w:tcW w:type="dxa" w:w="1300"/>
            <w:tcBorders>
              <w:top w:val="single" w:color="CBD5E1" w:sz="1"/>
              <w:left w:val="single" w:color="CBD5E1" w:sz="1"/>
              <w:bottom w:val="single" w:color="CBD5E1" w:sz="1"/>
              <w:right w:val="single" w:color="CBD5E1" w:sz="1"/>
            </w:tcBorders>
            <w:shd w:fill="D1FAE5" w:val="clear"/>
            <w:tcMar>
              <w:top w:type="dxa" w:w="100"/>
              <w:left w:type="dxa" w:w="100"/>
              <w:bottom w:type="dxa" w:w="100"/>
              <w:right w:type="dxa" w:w="100"/>
            </w:tcMar>
          </w:tcPr>
          <w:p>
            <w:pPr>
              <w:jc w:val="center"/>
            </w:pPr>
            <w:r>
              <w:rPr>
                <w:rFonts w:ascii="Arial" w:cs="Arial" w:eastAsia="Arial" w:hAnsi="Arial"/>
                <w:b/>
                <w:bCs/>
                <w:color w:val="065F46"/>
                <w:sz w:val="18"/>
                <w:szCs w:val="18"/>
              </w:rPr>
              <w:t xml:space="preserve">RPC
Supabase</w:t>
            </w:r>
          </w:p>
        </w:tc>
        <w:tc>
          <w:tcPr>
            <w:tcW w:type="dxa" w:w="80"/>
            <w:tcBorders>
              <w:top w:val="none" w:color="FFFFFF" w:sz="0"/>
              <w:left w:val="none" w:color="FFFFFF" w:sz="0"/>
              <w:bottom w:val="none" w:color="FFFFFF" w:sz="0"/>
              <w:right w:val="none" w:color="FFFFFF" w:sz="0"/>
            </w:tcBorders>
            <w:vAlign w:val="center"/>
          </w:tcPr>
          <w:p>
            <w:pPr>
              <w:jc w:val="center"/>
            </w:pPr>
            <w:r>
              <w:rPr>
                <w:rFonts w:ascii="Arial" w:cs="Arial" w:eastAsia="Arial" w:hAnsi="Arial"/>
                <w:color w:val="64748B"/>
                <w:sz w:val="24"/>
                <w:szCs w:val="24"/>
              </w:rPr>
              <w:t xml:space="preserve">›</w:t>
            </w:r>
          </w:p>
        </w:tc>
        <w:tc>
          <w:tcPr>
            <w:tcW w:type="dxa" w:w="13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tcPr>
          <w:p>
            <w:pPr>
              <w:jc w:val="center"/>
            </w:pPr>
            <w:r>
              <w:rPr>
                <w:rFonts w:ascii="Arial" w:cs="Arial" w:eastAsia="Arial" w:hAnsi="Arial"/>
                <w:b/>
                <w:bCs/>
                <w:color w:val="92400E"/>
                <w:sz w:val="18"/>
                <w:szCs w:val="18"/>
              </w:rPr>
              <w:t xml:space="preserve">Ticket
Digital</w:t>
            </w:r>
          </w:p>
        </w:tc>
        <w:tc>
          <w:tcPr>
            <w:tcW w:type="dxa" w:w="80"/>
            <w:tcBorders>
              <w:top w:val="none" w:color="FFFFFF" w:sz="0"/>
              <w:left w:val="none" w:color="FFFFFF" w:sz="0"/>
              <w:bottom w:val="none" w:color="FFFFFF" w:sz="0"/>
              <w:right w:val="none" w:color="FFFFFF" w:sz="0"/>
            </w:tcBorders>
            <w:vAlign w:val="center"/>
          </w:tcPr>
          <w:p>
            <w:pPr>
              <w:jc w:val="center"/>
            </w:pPr>
            <w:r>
              <w:rPr>
                <w:rFonts w:ascii="Arial" w:cs="Arial" w:eastAsia="Arial" w:hAnsi="Arial"/>
                <w:color w:val="64748B"/>
                <w:sz w:val="24"/>
                <w:szCs w:val="24"/>
              </w:rPr>
              <w:t xml:space="preserve">›</w:t>
            </w:r>
          </w:p>
        </w:tc>
        <w:tc>
          <w:tcPr>
            <w:tcW w:type="dxa" w:w="1300"/>
            <w:tcBorders>
              <w:top w:val="single" w:color="CBD5E1" w:sz="1"/>
              <w:left w:val="single" w:color="CBD5E1" w:sz="1"/>
              <w:bottom w:val="single" w:color="CBD5E1" w:sz="1"/>
              <w:right w:val="single" w:color="CBD5E1" w:sz="1"/>
            </w:tcBorders>
            <w:shd w:fill="EDE9FE" w:val="clear"/>
            <w:tcMar>
              <w:top w:type="dxa" w:w="100"/>
              <w:left w:type="dxa" w:w="100"/>
              <w:bottom w:type="dxa" w:w="100"/>
              <w:right w:type="dxa" w:w="100"/>
            </w:tcMar>
          </w:tcPr>
          <w:p>
            <w:pPr>
              <w:jc w:val="center"/>
            </w:pPr>
            <w:r>
              <w:rPr>
                <w:rFonts w:ascii="Arial" w:cs="Arial" w:eastAsia="Arial" w:hAnsi="Arial"/>
                <w:b/>
                <w:bCs/>
                <w:color w:val="5B21B6"/>
                <w:sz w:val="18"/>
                <w:szCs w:val="18"/>
              </w:rPr>
              <w:t xml:space="preserve">Panel
Admin</w:t>
            </w:r>
          </w:p>
        </w:tc>
        <w:tc>
          <w:tcPr>
            <w:tcW w:type="dxa" w:w="80"/>
            <w:tcBorders>
              <w:top w:val="none" w:color="FFFFFF" w:sz="0"/>
              <w:left w:val="none" w:color="FFFFFF" w:sz="0"/>
              <w:bottom w:val="none" w:color="FFFFFF" w:sz="0"/>
              <w:right w:val="none" w:color="FFFFFF" w:sz="0"/>
            </w:tcBorders>
            <w:vAlign w:val="center"/>
          </w:tcPr>
          <w:p>
            <w:pPr>
              <w:jc w:val="center"/>
            </w:pPr>
            <w:r>
              <w:rPr>
                <w:rFonts w:ascii="Arial" w:cs="Arial" w:eastAsia="Arial" w:hAnsi="Arial"/>
                <w:color w:val="64748B"/>
                <w:sz w:val="24"/>
                <w:szCs w:val="24"/>
              </w:rPr>
              <w:t xml:space="preserve">›</w:t>
            </w:r>
          </w:p>
        </w:tc>
        <w:tc>
          <w:tcPr>
            <w:tcW w:type="dxa" w:w="1300"/>
            <w:tcBorders>
              <w:top w:val="single" w:color="CBD5E1" w:sz="1"/>
              <w:left w:val="single" w:color="CBD5E1" w:sz="1"/>
              <w:bottom w:val="single" w:color="CBD5E1" w:sz="1"/>
              <w:right w:val="single" w:color="CBD5E1" w:sz="1"/>
            </w:tcBorders>
            <w:shd w:fill="FCE7F3" w:val="clear"/>
            <w:tcMar>
              <w:top w:type="dxa" w:w="100"/>
              <w:left w:type="dxa" w:w="100"/>
              <w:bottom w:type="dxa" w:w="100"/>
              <w:right w:type="dxa" w:w="100"/>
            </w:tcMar>
          </w:tcPr>
          <w:p>
            <w:pPr>
              <w:jc w:val="center"/>
            </w:pPr>
            <w:r>
              <w:rPr>
                <w:rFonts w:ascii="Arial" w:cs="Arial" w:eastAsia="Arial" w:hAnsi="Arial"/>
                <w:b/>
                <w:bCs/>
                <w:color w:val="9D174D"/>
                <w:sz w:val="18"/>
                <w:szCs w:val="18"/>
              </w:rPr>
              <w:t xml:space="preserve">Resuelto
≤15 d.h.</w:t>
            </w:r>
          </w:p>
        </w:tc>
      </w:tr>
    </w:tbl>
    <w:p>
      <w:pPr>
        <w:spacing w:after="0" w:before="240"/>
      </w:pPr>
    </w:p>
    <w:p>
      <w:pPr>
        <w:pStyle w:val="Heading2"/>
        <w:spacing w:after="120" w:before="240"/>
      </w:pPr>
      <w:r>
        <w:rPr>
          <w:rFonts w:ascii="Arial" w:cs="Arial" w:eastAsia="Arial" w:hAnsi="Arial"/>
          <w:b/>
          <w:bCs/>
          <w:color w:val="2563EB"/>
          <w:sz w:val="26"/>
          <w:szCs w:val="26"/>
        </w:rPr>
        <w:t xml:space="preserve">3.2. Archivos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Archivo</w:t>
            </w:r>
          </w:p>
        </w:tc>
        <w:tc>
          <w:tcPr>
            <w:tcW w:type="dxa" w:w="14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43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Propósito</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src/components/public/PublicCatalog.tsx</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Modificado</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Modal wizard del consumidor + ticket digital</w:t>
            </w:r>
          </w:p>
        </w:tc>
      </w:tr>
      <w:tr>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src/routes/admin.reclamaciones.tsx</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 Nuevo</w:t>
            </w:r>
          </w:p>
        </w:tc>
        <w:tc>
          <w:tcPr>
            <w:tcW w:type="dxa" w:w="432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Panel de auditoría para el comerciante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src/routes/admin.tsx</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Modificado</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Nav móvil: ícono Reclamos</w:t>
            </w:r>
          </w:p>
        </w:tc>
      </w:tr>
      <w:tr>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src/components/admin/AdminSidebar.tsx</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 Modificado</w:t>
            </w:r>
          </w:p>
        </w:tc>
        <w:tc>
          <w:tcPr>
            <w:tcW w:type="dxa" w:w="432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Sidebar: enlace Reclamaciones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src/routes/admin.configuracion.tsx</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Modificado</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Toggle activación + datos empresa</w:t>
            </w:r>
          </w:p>
        </w:tc>
      </w:tr>
      <w:tr>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src/lib/types.ts</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 Modificado</w:t>
            </w:r>
          </w:p>
        </w:tc>
        <w:tc>
          <w:tcPr>
            <w:tcW w:type="dxa" w:w="432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Campos libro en interfaz Store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src/lib/store.ts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Modificado</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Mapeo DB↔Store: campos libro</w:t>
            </w:r>
          </w:p>
        </w:tc>
      </w:tr>
      <w:tr>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src/routeTree.gen.ts</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 Modificado</w:t>
            </w:r>
          </w:p>
        </w:tc>
        <w:tc>
          <w:tcPr>
            <w:tcW w:type="dxa" w:w="432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Registro de ruta /admin/reclamaciones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src/routes/super.tiendas.tsx</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Modificado</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Badge libro activo en vista superadmin</w:t>
            </w:r>
          </w:p>
        </w:tc>
      </w:tr>
      <w:tr>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supabase_libro_reclamaciones.sql</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 Nuevo</w:t>
            </w:r>
          </w:p>
        </w:tc>
        <w:tc>
          <w:tcPr>
            <w:tcW w:type="dxa" w:w="432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Script SQL v3 completo para Supabase</w:t>
            </w:r>
          </w:p>
        </w:tc>
      </w:tr>
    </w:tbl>
    <w:p>
      <w:pPr>
        <w:spacing w:after="0" w:before="200"/>
      </w:pPr>
      <w:r>
        <w:br w:type="page"/>
      </w:r>
    </w:p>
    <w:p>
      <w:pPr>
        <w:pStyle w:val="Heading1"/>
        <w:spacing w:after="120" w:before="360"/>
      </w:pPr>
      <w:r>
        <w:rPr>
          <w:rFonts w:ascii="Arial" w:cs="Arial" w:eastAsia="Arial" w:hAnsi="Arial"/>
          <w:b/>
          <w:bCs/>
          <w:color w:val="1E3A5F"/>
          <w:sz w:val="32"/>
          <w:szCs w:val="32"/>
        </w:rPr>
        <w:t xml:space="preserve">4. Base de Datos — Supabase PostgreSQL</w:t>
      </w:r>
    </w:p>
    <w:p>
      <w:pPr>
        <w:pBdr>
          <w:bottom w:val="single" w:color="CBD5E1" w:sz="4"/>
        </w:pBdr>
        <w:spacing w:after="120" w:before="120"/>
      </w:pPr>
    </w:p>
    <w:p>
      <w:pPr>
        <w:pStyle w:val="Heading2"/>
        <w:spacing w:after="120" w:before="240"/>
      </w:pPr>
      <w:r>
        <w:rPr>
          <w:rFonts w:ascii="Arial" w:cs="Arial" w:eastAsia="Arial" w:hAnsi="Arial"/>
          <w:b/>
          <w:bCs/>
          <w:color w:val="2563EB"/>
          <w:sz w:val="26"/>
          <w:szCs w:val="26"/>
        </w:rPr>
        <w:t xml:space="preserve">4.1. Tabla stores — campos añadidos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libro_reclamaciones_activo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Activa/desactiva el libro para la tienda</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empresa_ruc</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RUC del comerciante (Sección A del Anexo 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empresa_razon_social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Razón social para el ticket legal</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empresa_direccion</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Dirección fiscal del establecimiento</w:t>
            </w:r>
          </w:p>
        </w:tc>
      </w:tr>
    </w:tbl>
    <w:p>
      <w:pPr>
        <w:spacing w:after="0" w:before="200"/>
      </w:pPr>
    </w:p>
    <w:p>
      <w:pPr>
        <w:pStyle w:val="Heading2"/>
        <w:spacing w:after="120" w:before="240"/>
      </w:pPr>
      <w:r>
        <w:rPr>
          <w:rFonts w:ascii="Arial" w:cs="Arial" w:eastAsia="Arial" w:hAnsi="Arial"/>
          <w:b/>
          <w:bCs/>
          <w:color w:val="2563EB"/>
          <w:sz w:val="26"/>
          <w:szCs w:val="26"/>
        </w:rPr>
        <w:t xml:space="preserve">4.2. Tabla reclamaciones — Campos del Anexo I</w:t>
      </w:r>
    </w:p>
    <w:p>
      <w:pPr>
        <w:spacing w:after="120"/>
        <w:jc w:val="both"/>
      </w:pPr>
      <w:r>
        <w:rPr>
          <w:rFonts w:ascii="Arial" w:cs="Arial" w:eastAsia="Arial" w:hAnsi="Arial"/>
          <w:b w:val="false"/>
          <w:bCs w:val="false"/>
          <w:i w:val="false"/>
          <w:iCs w:val="false"/>
          <w:color w:val="1E293B"/>
          <w:sz w:val="22"/>
          <w:szCs w:val="22"/>
        </w:rPr>
        <w:t xml:space="preserve">La tabla contiene todos los campos obligatorios del Anexo I del DS N° 101-2022-PCM, organizados en las cuatro secciones reglamentarias: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56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UUID PK</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Identificador único del reclamo</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tenant_id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FK → stores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Multi-tenant: a qué tienda pertenece</w:t>
            </w:r>
          </w:p>
        </w:tc>
      </w:tr>
      <w:tr>
        <w:tc>
          <w:tcPr>
            <w:tcW w:type="dxa" w:w="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numero_correlativo</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INTEGER UNIQUE/tenant</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Secuencia independiente por tienda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fecha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Fecha/hora de presentación del reclamo</w:t>
            </w:r>
          </w:p>
        </w:tc>
      </w:tr>
      <w:tr>
        <w:tc>
          <w:tcPr>
            <w:tcW w:type="dxa" w:w="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estado</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TEXT CHECK</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pendiente | en_revision | resuelto</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fecha_respuesta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Cuándo se respondió al consumidor</w:t>
            </w:r>
          </w:p>
        </w:tc>
      </w:tr>
      <w:tr>
        <w:tc>
          <w:tcPr>
            <w:tcW w:type="dxa" w:w="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respuesta_proveedor</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Texto de la respuesta del comerciante</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A</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empresa_nombre</w:t>
            </w:r>
          </w:p>
        </w:tc>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Snapshot de razón social al momento del reclamo</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A</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empresa_ruc</w:t>
            </w:r>
          </w:p>
        </w:tc>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Snapshot de RUC al momento del reclamo</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A</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empresa_direccion</w:t>
            </w:r>
          </w:p>
        </w:tc>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Snapshot de dirección al momento del reclamo</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A</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empresa_url</w:t>
            </w:r>
          </w:p>
        </w:tc>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URL del catálogo (dizi.pe/t/slug)</w:t>
            </w:r>
          </w:p>
        </w:tc>
      </w:tr>
      <w:tr>
        <w:tc>
          <w:tcPr>
            <w:tcW w:type="dxa" w:w="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w:t>
            </w:r>
          </w:p>
        </w:tc>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consumidor_nombre</w:t>
            </w:r>
          </w:p>
        </w:tc>
        <w:tc>
          <w:tcPr>
            <w:tcW w:type="dxa" w:w="1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Nombre completo del consumidor</w:t>
            </w:r>
          </w:p>
        </w:tc>
      </w:tr>
      <w:tr>
        <w:tc>
          <w:tcPr>
            <w:tcW w:type="dxa" w:w="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w:t>
            </w:r>
          </w:p>
        </w:tc>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consumidor_tipo_doc</w:t>
            </w:r>
          </w:p>
        </w:tc>
        <w:tc>
          <w:tcPr>
            <w:tcW w:type="dxa" w:w="1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TEXT CHECK</w:t>
            </w:r>
          </w:p>
        </w:tc>
        <w:tc>
          <w:tcPr>
            <w:tcW w:type="dxa" w:w="4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DNI | CE | Pasaporte | RUC</w:t>
            </w:r>
          </w:p>
        </w:tc>
      </w:tr>
      <w:tr>
        <w:tc>
          <w:tcPr>
            <w:tcW w:type="dxa" w:w="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w:t>
            </w:r>
          </w:p>
        </w:tc>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consumidor_num_doc</w:t>
            </w:r>
          </w:p>
        </w:tc>
        <w:tc>
          <w:tcPr>
            <w:tcW w:type="dxa" w:w="1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Número de documento de identidad</w:t>
            </w:r>
          </w:p>
        </w:tc>
      </w:tr>
      <w:tr>
        <w:tc>
          <w:tcPr>
            <w:tcW w:type="dxa" w:w="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w:t>
            </w:r>
          </w:p>
        </w:tc>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consumidor_domicilio</w:t>
            </w:r>
          </w:p>
        </w:tc>
        <w:tc>
          <w:tcPr>
            <w:tcW w:type="dxa" w:w="1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Dirección del consumidor</w:t>
            </w:r>
          </w:p>
        </w:tc>
      </w:tr>
      <w:tr>
        <w:tc>
          <w:tcPr>
            <w:tcW w:type="dxa" w:w="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w:t>
            </w:r>
          </w:p>
        </w:tc>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consumidor_telefono</w:t>
            </w:r>
          </w:p>
        </w:tc>
        <w:tc>
          <w:tcPr>
            <w:tcW w:type="dxa" w:w="1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Teléfono de contacto</w:t>
            </w:r>
          </w:p>
        </w:tc>
      </w:tr>
      <w:tr>
        <w:tc>
          <w:tcPr>
            <w:tcW w:type="dxa" w:w="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w:t>
            </w:r>
          </w:p>
        </w:tc>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consumidor_email</w:t>
            </w:r>
          </w:p>
        </w:tc>
        <w:tc>
          <w:tcPr>
            <w:tcW w:type="dxa" w:w="1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Correo electrónico del consumidor</w:t>
            </w:r>
          </w:p>
        </w:tc>
      </w:tr>
      <w:tr>
        <w:tc>
          <w:tcPr>
            <w:tcW w:type="dxa" w:w="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w:t>
            </w:r>
          </w:p>
        </w:tc>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es_menor_edad</w:t>
            </w:r>
          </w:p>
        </w:tc>
        <w:tc>
          <w:tcPr>
            <w:tcW w:type="dxa" w:w="1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4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Indica si el consumidor es menor de edad</w:t>
            </w:r>
          </w:p>
        </w:tc>
      </w:tr>
      <w:tr>
        <w:tc>
          <w:tcPr>
            <w:tcW w:type="dxa" w:w="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w:t>
            </w:r>
          </w:p>
        </w:tc>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tutor_nombre</w:t>
            </w:r>
          </w:p>
        </w:tc>
        <w:tc>
          <w:tcPr>
            <w:tcW w:type="dxa" w:w="1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Nombre del tutor/padre (si es menor)</w:t>
            </w:r>
          </w:p>
        </w:tc>
      </w:tr>
      <w:tr>
        <w:tc>
          <w:tcPr>
            <w:tcW w:type="dxa" w:w="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B</w:t>
            </w:r>
          </w:p>
        </w:tc>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tutor_num_doc</w:t>
            </w:r>
          </w:p>
        </w:tc>
        <w:tc>
          <w:tcPr>
            <w:tcW w:type="dxa" w:w="1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color w:val="1E293B"/>
                <w:sz w:val="20"/>
                <w:szCs w:val="20"/>
              </w:rPr>
              <w:t xml:space="preserve">Documento del tutor/padre</w:t>
            </w:r>
          </w:p>
        </w:tc>
      </w:tr>
      <w:tr>
        <w:tc>
          <w:tcPr>
            <w:tcW w:type="dxa" w:w="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C</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bien_descripcion</w:t>
            </w:r>
          </w:p>
        </w:tc>
        <w:tc>
          <w:tcPr>
            <w:tcW w:type="dxa" w:w="1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Descripción del bien o servicio reclamado</w:t>
            </w:r>
          </w:p>
        </w:tc>
      </w:tr>
      <w:tr>
        <w:tc>
          <w:tcPr>
            <w:tcW w:type="dxa" w:w="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C</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bien_monto</w:t>
            </w:r>
          </w:p>
        </w:tc>
        <w:tc>
          <w:tcPr>
            <w:tcW w:type="dxa" w:w="1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NUMERIC(10,2)</w:t>
            </w:r>
          </w:p>
        </w:tc>
        <w:tc>
          <w:tcPr>
            <w:tcW w:type="dxa" w:w="4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Monto del bien o servicio (S/)</w:t>
            </w:r>
          </w:p>
        </w:tc>
      </w:tr>
      <w:tr>
        <w:tc>
          <w:tcPr>
            <w:tcW w:type="dxa" w:w="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D</w:t>
            </w:r>
          </w:p>
        </w:tc>
        <w:tc>
          <w:tcPr>
            <w:tcW w:type="dxa" w:w="2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tipo</w:t>
            </w:r>
          </w:p>
        </w:tc>
        <w:tc>
          <w:tcPr>
            <w:tcW w:type="dxa" w:w="1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TEXT CHECK</w:t>
            </w:r>
          </w:p>
        </w:tc>
        <w:tc>
          <w:tcPr>
            <w:tcW w:type="dxa" w:w="45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queja | reclamo (distinción legal)</w:t>
            </w:r>
          </w:p>
        </w:tc>
      </w:tr>
      <w:tr>
        <w:tc>
          <w:tcPr>
            <w:tcW w:type="dxa" w:w="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D</w:t>
            </w:r>
          </w:p>
        </w:tc>
        <w:tc>
          <w:tcPr>
            <w:tcW w:type="dxa" w:w="2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descripcion</w:t>
            </w:r>
          </w:p>
        </w:tc>
        <w:tc>
          <w:tcPr>
            <w:tcW w:type="dxa" w:w="1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5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Detalle de la queja o reclamo</w:t>
            </w:r>
          </w:p>
        </w:tc>
      </w:tr>
      <w:tr>
        <w:tc>
          <w:tcPr>
            <w:tcW w:type="dxa" w:w="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D</w:t>
            </w:r>
          </w:p>
        </w:tc>
        <w:tc>
          <w:tcPr>
            <w:tcW w:type="dxa" w:w="2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pedido_consumidor</w:t>
            </w:r>
          </w:p>
        </w:tc>
        <w:tc>
          <w:tcPr>
            <w:tcW w:type="dxa" w:w="1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E293B"/>
                <w:sz w:val="20"/>
                <w:szCs w:val="20"/>
              </w:rPr>
              <w:t xml:space="preserve">Qué pide el consumidor como solución</w:t>
            </w:r>
          </w:p>
        </w:tc>
      </w:tr>
    </w:tbl>
    <w:p>
      <w:pPr>
        <w:spacing w:after="0" w:before="200"/>
      </w:pPr>
      <w:r>
        <w:br w:type="page"/>
      </w:r>
    </w:p>
    <w:p>
      <w:pPr>
        <w:pStyle w:val="Heading2"/>
        <w:spacing w:after="120" w:before="240"/>
      </w:pPr>
      <w:r>
        <w:rPr>
          <w:rFonts w:ascii="Arial" w:cs="Arial" w:eastAsia="Arial" w:hAnsi="Arial"/>
          <w:b/>
          <w:bCs/>
          <w:color w:val="2563EB"/>
          <w:sz w:val="26"/>
          <w:szCs w:val="26"/>
        </w:rPr>
        <w:t xml:space="preserve">4.3. Función RPC — insert_reclamacion()</w:t>
      </w:r>
    </w:p>
    <w:p>
      <w:pPr>
        <w:spacing w:after="120"/>
        <w:jc w:val="both"/>
      </w:pPr>
      <w:r>
        <w:rPr>
          <w:rFonts w:ascii="Arial" w:cs="Arial" w:eastAsia="Arial" w:hAnsi="Arial"/>
          <w:b w:val="false"/>
          <w:bCs w:val="false"/>
          <w:i w:val="false"/>
          <w:iCs w:val="false"/>
          <w:color w:val="1E293B"/>
          <w:sz w:val="22"/>
          <w:szCs w:val="22"/>
        </w:rPr>
        <w:t xml:space="preserve">La función es el núcleo del sistema. Se ejecuta con privilegios SECURITY DEFINER para tener acceso elevado sin exponer las políticas de RLS al consumidor anónimo:</w:t>
      </w:r>
    </w:p>
    <w:p>
      <w:pPr>
        <w:pStyle w:val="ListParagraph"/>
        <w:numPr>
          <w:ilvl w:val="0"/>
          <w:numId w:val="2"/>
        </w:numPr>
        <w:spacing w:after="80"/>
      </w:pPr>
      <w:r>
        <w:rPr>
          <w:rFonts w:ascii="Arial" w:cs="Arial" w:eastAsia="Arial" w:hAnsi="Arial"/>
          <w:color w:val="1E293B"/>
          <w:sz w:val="22"/>
          <w:szCs w:val="22"/>
        </w:rPr>
        <w:t xml:space="preserve">SECURITY DEFINER: La función se ejecuta con los permisos del propietario de la función, no del llamador anónimo.</w:t>
      </w:r>
    </w:p>
    <w:p>
      <w:pPr>
        <w:pStyle w:val="ListParagraph"/>
        <w:numPr>
          <w:ilvl w:val="0"/>
          <w:numId w:val="2"/>
        </w:numPr>
        <w:spacing w:after="80"/>
      </w:pPr>
      <w:r>
        <w:rPr>
          <w:rFonts w:ascii="Arial" w:cs="Arial" w:eastAsia="Arial" w:hAnsi="Arial"/>
          <w:color w:val="1E293B"/>
          <w:sz w:val="22"/>
          <w:szCs w:val="22"/>
        </w:rPr>
        <w:t xml:space="preserve">pg_advisory_xact_lock(hashtext(tenant_id)): Bloqueo exclusivo por tenant durante la transacción. Garantiza que dos reclamos simultáneos de la misma tienda nunca obtengan el mismo número correlativo (evita race conditions en entornos de alta concurrencia).</w:t>
      </w:r>
    </w:p>
    <w:p>
      <w:pPr>
        <w:pStyle w:val="ListParagraph"/>
        <w:numPr>
          <w:ilvl w:val="0"/>
          <w:numId w:val="2"/>
        </w:numPr>
        <w:spacing w:after="80"/>
      </w:pPr>
      <w:r>
        <w:rPr>
          <w:rFonts w:ascii="Arial" w:cs="Arial" w:eastAsia="Arial" w:hAnsi="Arial"/>
          <w:color w:val="1E293B"/>
          <w:sz w:val="22"/>
          <w:szCs w:val="22"/>
        </w:rPr>
        <w:t xml:space="preserve">Snapshot inmutable: Al insertar, la función consulta la tabla stores y captura empresa_razon_social, empresa_ruc, empresa_direccion y la URL del catálogo. Estos datos quedan fijados en la fila de reclamación y no cambian aunque el comerciante actualice sus datos posteriormante.</w:t>
      </w:r>
    </w:p>
    <w:p>
      <w:pPr>
        <w:pStyle w:val="ListParagraph"/>
        <w:numPr>
          <w:ilvl w:val="0"/>
          <w:numId w:val="2"/>
        </w:numPr>
        <w:spacing w:after="80"/>
      </w:pPr>
      <w:r>
        <w:rPr>
          <w:rFonts w:ascii="Arial" w:cs="Arial" w:eastAsia="Arial" w:hAnsi="Arial"/>
          <w:color w:val="1E293B"/>
          <w:sz w:val="22"/>
          <w:szCs w:val="22"/>
        </w:rPr>
        <w:t xml:space="preserve">Retorno: La función devuelve id, numero_correlativo, fecha, empresa_nombre, empresa_ruc, empresa_direccion, empresa_url para construir el ticket digital al consumidor.</w:t>
      </w:r>
    </w:p>
    <w:p>
      <w:pPr>
        <w:spacing w:after="0" w:before="140"/>
      </w:pPr>
    </w:p>
    <w:p>
      <w:pPr>
        <w:pStyle w:val="Heading2"/>
        <w:spacing w:after="120" w:before="240"/>
      </w:pPr>
      <w:r>
        <w:rPr>
          <w:rFonts w:ascii="Arial" w:cs="Arial" w:eastAsia="Arial" w:hAnsi="Arial"/>
          <w:b/>
          <w:bCs/>
          <w:color w:val="2563EB"/>
          <w:sz w:val="26"/>
          <w:szCs w:val="26"/>
        </w:rPr>
        <w:t xml:space="preserve">4.4. Row Level Security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Política</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anon_insert_reclamaciones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anon, authenticated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Cualquier visitante puede insertar (consumidores del catálogo público no tienen cuenta)</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autenticados_select_reclamaciones</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authenticated</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Los autenticados pueden leer (dueño de tienda + superadmin)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autenticados_update_reclamaciones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authenticated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Los autenticados pueden actualizar (para registrar la respuesta del proveedor)</w:t>
            </w:r>
          </w:p>
        </w:tc>
      </w:tr>
    </w:tbl>
    <w:p>
      <w:pPr>
        <w:spacing w:after="0" w:before="200"/>
      </w:pPr>
      <w:r>
        <w:br w:type="page"/>
      </w:r>
    </w:p>
    <w:p>
      <w:pPr>
        <w:pStyle w:val="Heading1"/>
        <w:spacing w:after="120" w:before="360"/>
      </w:pPr>
      <w:r>
        <w:rPr>
          <w:rFonts w:ascii="Arial" w:cs="Arial" w:eastAsia="Arial" w:hAnsi="Arial"/>
          <w:b/>
          <w:bCs/>
          <w:color w:val="1E3A5F"/>
          <w:sz w:val="32"/>
          <w:szCs w:val="32"/>
        </w:rPr>
        <w:t xml:space="preserve">5. Frontend — Formulario del Consumidor</w:t>
      </w:r>
    </w:p>
    <w:p>
      <w:pPr>
        <w:spacing w:after="120"/>
        <w:jc w:val="both"/>
      </w:pPr>
      <w:r>
        <w:rPr>
          <w:rFonts w:ascii="Arial" w:cs="Arial" w:eastAsia="Arial" w:hAnsi="Arial"/>
          <w:b w:val="false"/>
          <w:bCs w:val="false"/>
          <w:i w:val="false"/>
          <w:iCs w:val="false"/>
          <w:color w:val="1E293B"/>
          <w:sz w:val="22"/>
          <w:szCs w:val="22"/>
        </w:rPr>
        <w:t xml:space="preserve">El componente LibroReclamacionesModal implementado dentro de PublicCatalog.tsx presenta al consumidor un proceso en dos pasos, minimizando la carga cognitiva mientras se recopilan todos los campos legalmente obligatorios.</w:t>
      </w:r>
    </w:p>
    <w:p>
      <w:pPr>
        <w:pBdr>
          <w:bottom w:val="single" w:color="CBD5E1" w:sz="4"/>
        </w:pBdr>
        <w:spacing w:after="120" w:before="120"/>
      </w:pPr>
    </w:p>
    <w:p>
      <w:pPr>
        <w:pStyle w:val="Heading2"/>
        <w:spacing w:after="120" w:before="240"/>
      </w:pPr>
      <w:r>
        <w:rPr>
          <w:rFonts w:ascii="Arial" w:cs="Arial" w:eastAsia="Arial" w:hAnsi="Arial"/>
          <w:b/>
          <w:bCs/>
          <w:color w:val="2563EB"/>
          <w:sz w:val="26"/>
          <w:szCs w:val="26"/>
        </w:rPr>
        <w:t xml:space="preserve">5.1. Paso 1 — Datos del Consumidor (Sección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 del formulario</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Ley que lo exige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Nombre completo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DS 011-2011-PCM Anexo I — Sección B obligatorio</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Tipo de documento (DNI/CE/Pasaporte/RUC)</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DS 101-2022-PCM Anexo I actualizado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Número de documento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DS 011-2011-PCM Anexo I — Sección B obligatorio</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Domicilio</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DS 011-2011-PCM Anexo I — Sección 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Teléfono de contacto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DS 011-2011-PCM Anexo I — Sección B</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Correo electrónico</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DS 101-2022-PCM (canal de respuesta digital)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 menor de edad? + datos del tutor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DS 101-2022-PCM Anexo I actualizado — campo nuevo</w:t>
            </w:r>
          </w:p>
        </w:tc>
      </w:tr>
    </w:tbl>
    <w:p>
      <w:pPr>
        <w:spacing w:after="0" w:before="200"/>
      </w:pPr>
    </w:p>
    <w:p>
      <w:pPr>
        <w:pStyle w:val="Heading2"/>
        <w:spacing w:after="120" w:before="240"/>
      </w:pPr>
      <w:r>
        <w:rPr>
          <w:rFonts w:ascii="Arial" w:cs="Arial" w:eastAsia="Arial" w:hAnsi="Arial"/>
          <w:b/>
          <w:bCs/>
          <w:color w:val="2563EB"/>
          <w:sz w:val="26"/>
          <w:szCs w:val="26"/>
        </w:rPr>
        <w:t xml:space="preserve">5.2. Paso 2 — Bien/Servicio y Detalle (Secciones C y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 del formulario</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Ley que lo exige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Descripción del bien o servicio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DS 011-2011-PCM Anexo I — Sección C</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Monto del bien o servicio (S/)</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DS 011-2011-PCM Anexo I — Sección 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Tipo: Queja o Reclamo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29571 Art. 150° — distinción obligatoria</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Descripción detallada del reclamo</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DS 011-2011-PCM Anexo I — Sección D obligatorio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Pedido del consumidor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DS 101-2022-PCM Anexo I — campo nuevo 2022</w:t>
            </w:r>
          </w:p>
        </w:tc>
      </w:tr>
    </w:tbl>
    <w:p>
      <w:pPr>
        <w:spacing w:after="0" w:before="200"/>
      </w:pPr>
    </w:p>
    <w:p>
      <w:pPr>
        <w:pStyle w:val="Heading2"/>
        <w:spacing w:after="120" w:before="240"/>
      </w:pPr>
      <w:r>
        <w:rPr>
          <w:rFonts w:ascii="Arial" w:cs="Arial" w:eastAsia="Arial" w:hAnsi="Arial"/>
          <w:b/>
          <w:bCs/>
          <w:color w:val="2563EB"/>
          <w:sz w:val="26"/>
          <w:szCs w:val="26"/>
        </w:rPr>
        <w:t xml:space="preserve">5.3. Ticket Digital Legal</w:t>
      </w:r>
    </w:p>
    <w:p>
      <w:pPr>
        <w:spacing w:after="120"/>
        <w:jc w:val="both"/>
      </w:pPr>
      <w:r>
        <w:rPr>
          <w:rFonts w:ascii="Arial" w:cs="Arial" w:eastAsia="Arial" w:hAnsi="Arial"/>
          <w:b w:val="false"/>
          <w:bCs w:val="false"/>
          <w:i w:val="false"/>
          <w:iCs w:val="false"/>
          <w:color w:val="1E293B"/>
          <w:sz w:val="22"/>
          <w:szCs w:val="22"/>
        </w:rPr>
        <w:t xml:space="preserve">Al completar el formulario exitosamente, se muestra el ticket legal con:</w:t>
      </w:r>
    </w:p>
    <w:p>
      <w:pPr>
        <w:pStyle w:val="ListParagraph"/>
        <w:numPr>
          <w:ilvl w:val="0"/>
          <w:numId w:val="2"/>
        </w:numPr>
        <w:spacing w:after="80"/>
      </w:pPr>
      <w:r>
        <w:rPr>
          <w:rFonts w:ascii="Arial" w:cs="Arial" w:eastAsia="Arial" w:hAnsi="Arial"/>
          <w:color w:val="1E293B"/>
          <w:sz w:val="22"/>
          <w:szCs w:val="22"/>
        </w:rPr>
        <w:t xml:space="preserve">Número correlativo en formato N° 0001-2026 (año actual).</w:t>
      </w:r>
    </w:p>
    <w:p>
      <w:pPr>
        <w:pStyle w:val="ListParagraph"/>
        <w:numPr>
          <w:ilvl w:val="0"/>
          <w:numId w:val="2"/>
        </w:numPr>
        <w:spacing w:after="80"/>
      </w:pPr>
      <w:r>
        <w:rPr>
          <w:rFonts w:ascii="Arial" w:cs="Arial" w:eastAsia="Arial" w:hAnsi="Arial"/>
          <w:color w:val="1E293B"/>
          <w:sz w:val="22"/>
          <w:szCs w:val="22"/>
        </w:rPr>
        <w:t xml:space="preserve">Datos de la Sección A: nombre de empresa, RUC, dirección, URL del catálogo.</w:t>
      </w:r>
    </w:p>
    <w:p>
      <w:pPr>
        <w:pStyle w:val="ListParagraph"/>
        <w:numPr>
          <w:ilvl w:val="0"/>
          <w:numId w:val="2"/>
        </w:numPr>
        <w:spacing w:after="80"/>
      </w:pPr>
      <w:r>
        <w:rPr>
          <w:rFonts w:ascii="Arial" w:cs="Arial" w:eastAsia="Arial" w:hAnsi="Arial"/>
          <w:color w:val="1E293B"/>
          <w:sz w:val="22"/>
          <w:szCs w:val="22"/>
        </w:rPr>
        <w:t xml:space="preserve">Fecha y hora exacta de presentación del reclamo.</w:t>
      </w:r>
    </w:p>
    <w:p>
      <w:pPr>
        <w:pStyle w:val="ListParagraph"/>
        <w:numPr>
          <w:ilvl w:val="0"/>
          <w:numId w:val="2"/>
        </w:numPr>
        <w:spacing w:after="80"/>
      </w:pPr>
      <w:r>
        <w:rPr>
          <w:rFonts w:ascii="Arial" w:cs="Arial" w:eastAsia="Arial" w:hAnsi="Arial"/>
          <w:color w:val="1E293B"/>
          <w:sz w:val="22"/>
          <w:szCs w:val="22"/>
        </w:rPr>
        <w:t xml:space="preserve">Resumen de todos los datos ingresados (Secciones B, C, D).</w:t>
      </w:r>
    </w:p>
    <w:p>
      <w:pPr>
        <w:pStyle w:val="ListParagraph"/>
        <w:numPr>
          <w:ilvl w:val="0"/>
          <w:numId w:val="2"/>
        </w:numPr>
        <w:spacing w:after="80"/>
      </w:pPr>
      <w:r>
        <w:rPr>
          <w:rFonts w:ascii="Arial" w:cs="Arial" w:eastAsia="Arial" w:hAnsi="Arial"/>
          <w:color w:val="1E293B"/>
          <w:sz w:val="22"/>
          <w:szCs w:val="22"/>
        </w:rPr>
        <w:t xml:space="preserve">Texto legal: plazo de 15 días hábiles, información de INDECOPI, derechos del consumidor.</w:t>
      </w:r>
    </w:p>
    <w:p>
      <w:pPr>
        <w:pStyle w:val="ListParagraph"/>
        <w:numPr>
          <w:ilvl w:val="0"/>
          <w:numId w:val="2"/>
        </w:numPr>
        <w:spacing w:after="80"/>
      </w:pPr>
      <w:r>
        <w:rPr>
          <w:rFonts w:ascii="Arial" w:cs="Arial" w:eastAsia="Arial" w:hAnsi="Arial"/>
          <w:color w:val="1E293B"/>
          <w:sz w:val="22"/>
          <w:szCs w:val="22"/>
        </w:rPr>
        <w:t xml:space="preserve">Botón de impresión que usa @media print CSS para aislar únicamente el elemento #lr-ticket, permitiendo guardar como PDF.</w:t>
      </w:r>
    </w:p>
    <w:p>
      <w:pPr>
        <w:spacing w:after="0" w:before="200"/>
      </w:pPr>
      <w:r>
        <w:br w:type="page"/>
      </w:r>
    </w:p>
    <w:p>
      <w:pPr>
        <w:pStyle w:val="Heading1"/>
        <w:spacing w:after="120" w:before="360"/>
      </w:pPr>
      <w:r>
        <w:rPr>
          <w:rFonts w:ascii="Arial" w:cs="Arial" w:eastAsia="Arial" w:hAnsi="Arial"/>
          <w:b/>
          <w:bCs/>
          <w:color w:val="1E3A5F"/>
          <w:sz w:val="32"/>
          <w:szCs w:val="32"/>
        </w:rPr>
        <w:t xml:space="preserve">6. Panel de Administración — admin.reclamaciones.tsx</w:t>
      </w:r>
    </w:p>
    <w:p>
      <w:pPr>
        <w:spacing w:after="120"/>
        <w:jc w:val="both"/>
      </w:pPr>
      <w:r>
        <w:rPr>
          <w:rFonts w:ascii="Arial" w:cs="Arial" w:eastAsia="Arial" w:hAnsi="Arial"/>
          <w:b w:val="false"/>
          <w:bCs w:val="false"/>
          <w:i w:val="false"/>
          <w:iCs w:val="false"/>
          <w:color w:val="1E293B"/>
          <w:sz w:val="22"/>
          <w:szCs w:val="22"/>
        </w:rPr>
        <w:t xml:space="preserve">El panel de auditoría es accesible en /admin/reclamaciones para el propietario autenticado de cada tienda. Proporciona visibilidad completa y herramientas de gestión para cumplir con el plazo legal.</w:t>
      </w:r>
    </w:p>
    <w:p>
      <w:pPr>
        <w:pBdr>
          <w:bottom w:val="single" w:color="CBD5E1" w:sz="4"/>
        </w:pBdr>
        <w:spacing w:after="120" w:before="120"/>
      </w:pPr>
    </w:p>
    <w:p>
      <w:pPr>
        <w:pStyle w:val="Heading2"/>
        <w:spacing w:after="120" w:before="240"/>
      </w:pPr>
      <w:r>
        <w:rPr>
          <w:rFonts w:ascii="Arial" w:cs="Arial" w:eastAsia="Arial" w:hAnsi="Arial"/>
          <w:b/>
          <w:bCs/>
          <w:color w:val="2563EB"/>
          <w:sz w:val="26"/>
          <w:szCs w:val="26"/>
        </w:rPr>
        <w:t xml:space="preserve">6.1. Tarjetas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pPr>
              <w:jc w:val="center"/>
            </w:pPr>
            <w:r>
              <w:rPr>
                <w:rFonts w:ascii="Arial" w:cs="Arial" w:eastAsia="Arial" w:hAnsi="Arial"/>
                <w:color w:val="2563EB"/>
                <w:sz w:val="18"/>
                <w:szCs w:val="18"/>
              </w:rPr>
              <w:t xml:space="preserve">Total</w:t>
            </w:r>
          </w:p>
          <w:p>
            <w:pPr>
              <w:jc w:val="center"/>
            </w:pPr>
            <w:r>
              <w:rPr>
                <w:rFonts w:ascii="Arial" w:cs="Arial" w:eastAsia="Arial" w:hAnsi="Arial"/>
                <w:b/>
                <w:bCs/>
                <w:color w:val="2563EB"/>
                <w:sz w:val="28"/>
                <w:szCs w:val="28"/>
              </w:rPr>
              <w:t xml:space="preserve">Todos los reclamos</w:t>
            </w:r>
          </w:p>
        </w:tc>
        <w:tc>
          <w:tcPr>
            <w:tcW w:type="dxa" w:w="2200"/>
            <w:tcBorders>
              <w:top w:val="single" w:color="CBD5E1" w:sz="1"/>
              <w:left w:val="single" w:color="CBD5E1" w:sz="1"/>
              <w:bottom w:val="single" w:color="CBD5E1" w:sz="1"/>
              <w:right w:val="single" w:color="CBD5E1" w:sz="1"/>
            </w:tcBorders>
            <w:shd w:fill="FEF3C7" w:val="clear"/>
            <w:tcMar>
              <w:top w:type="dxa" w:w="120"/>
              <w:left w:type="dxa" w:w="160"/>
              <w:bottom w:type="dxa" w:w="120"/>
              <w:right w:type="dxa" w:w="160"/>
            </w:tcMar>
            <w:vAlign w:val="center"/>
          </w:tcPr>
          <w:p>
            <w:pPr>
              <w:jc w:val="center"/>
            </w:pPr>
            <w:r>
              <w:rPr>
                <w:rFonts w:ascii="Arial" w:cs="Arial" w:eastAsia="Arial" w:hAnsi="Arial"/>
                <w:color w:val="C2410C"/>
                <w:sz w:val="18"/>
                <w:szCs w:val="18"/>
              </w:rPr>
              <w:t xml:space="preserve">Pendientes</w:t>
            </w:r>
          </w:p>
          <w:p>
            <w:pPr>
              <w:jc w:val="center"/>
            </w:pPr>
            <w:r>
              <w:rPr>
                <w:rFonts w:ascii="Arial" w:cs="Arial" w:eastAsia="Arial" w:hAnsi="Arial"/>
                <w:b/>
                <w:bCs/>
                <w:color w:val="C2410C"/>
                <w:sz w:val="28"/>
                <w:szCs w:val="28"/>
              </w:rPr>
              <w:t xml:space="preserve">Sin atender aún</w:t>
            </w:r>
          </w:p>
        </w:tc>
        <w:tc>
          <w:tcPr>
            <w:tcW w:type="dxa" w:w="2200"/>
            <w:tcBorders>
              <w:top w:val="single" w:color="CBD5E1" w:sz="1"/>
              <w:left w:val="single" w:color="CBD5E1" w:sz="1"/>
              <w:bottom w:val="single" w:color="CBD5E1" w:sz="1"/>
              <w:right w:val="single" w:color="CBD5E1" w:sz="1"/>
            </w:tcBorders>
            <w:shd w:fill="EDE9FE" w:val="clear"/>
            <w:tcMar>
              <w:top w:type="dxa" w:w="120"/>
              <w:left w:type="dxa" w:w="160"/>
              <w:bottom w:type="dxa" w:w="120"/>
              <w:right w:type="dxa" w:w="160"/>
            </w:tcMar>
            <w:vAlign w:val="center"/>
          </w:tcPr>
          <w:p>
            <w:pPr>
              <w:jc w:val="center"/>
            </w:pPr>
            <w:r>
              <w:rPr>
                <w:rFonts w:ascii="Arial" w:cs="Arial" w:eastAsia="Arial" w:hAnsi="Arial"/>
                <w:color w:val="6D28D9"/>
                <w:sz w:val="18"/>
                <w:szCs w:val="18"/>
              </w:rPr>
              <w:t xml:space="preserve">En revisión</w:t>
            </w:r>
          </w:p>
          <w:p>
            <w:pPr>
              <w:jc w:val="center"/>
            </w:pPr>
            <w:r>
              <w:rPr>
                <w:rFonts w:ascii="Arial" w:cs="Arial" w:eastAsia="Arial" w:hAnsi="Arial"/>
                <w:b/>
                <w:bCs/>
                <w:color w:val="6D28D9"/>
                <w:sz w:val="28"/>
                <w:szCs w:val="28"/>
              </w:rPr>
              <w:t xml:space="preserve">En proceso</w:t>
            </w:r>
          </w:p>
        </w:tc>
        <w:tc>
          <w:tcPr>
            <w:tcW w:type="dxa" w:w="2200"/>
            <w:tcBorders>
              <w:top w:val="single" w:color="CBD5E1" w:sz="1"/>
              <w:left w:val="single" w:color="CBD5E1" w:sz="1"/>
              <w:bottom w:val="single" w:color="CBD5E1" w:sz="1"/>
              <w:right w:val="single" w:color="CBD5E1" w:sz="1"/>
            </w:tcBorders>
            <w:shd w:fill="D1FAE5" w:val="clear"/>
            <w:tcMar>
              <w:top w:type="dxa" w:w="120"/>
              <w:left w:type="dxa" w:w="160"/>
              <w:bottom w:type="dxa" w:w="120"/>
              <w:right w:type="dxa" w:w="160"/>
            </w:tcMar>
            <w:vAlign w:val="center"/>
          </w:tcPr>
          <w:p>
            <w:pPr>
              <w:jc w:val="center"/>
            </w:pPr>
            <w:r>
              <w:rPr>
                <w:rFonts w:ascii="Arial" w:cs="Arial" w:eastAsia="Arial" w:hAnsi="Arial"/>
                <w:color w:val="15803D"/>
                <w:sz w:val="18"/>
                <w:szCs w:val="18"/>
              </w:rPr>
              <w:t xml:space="preserve">Resueltos</w:t>
            </w:r>
          </w:p>
          <w:p>
            <w:pPr>
              <w:jc w:val="center"/>
            </w:pPr>
            <w:r>
              <w:rPr>
                <w:rFonts w:ascii="Arial" w:cs="Arial" w:eastAsia="Arial" w:hAnsi="Arial"/>
                <w:b/>
                <w:bCs/>
                <w:color w:val="15803D"/>
                <w:sz w:val="28"/>
                <w:szCs w:val="28"/>
              </w:rPr>
              <w:t xml:space="preserve">Completados</w:t>
            </w:r>
          </w:p>
        </w:tc>
      </w:tr>
    </w:tbl>
    <w:p>
      <w:pPr>
        <w:spacing w:after="0" w:before="140"/>
      </w:pPr>
    </w:p>
    <w:p>
      <w:pPr>
        <w:spacing w:after="120"/>
        <w:jc w:val="both"/>
      </w:pPr>
      <w:r>
        <w:rPr>
          <w:rFonts w:ascii="Arial" w:cs="Arial" w:eastAsia="Arial" w:hAnsi="Arial"/>
          <w:b w:val="false"/>
          <w:bCs w:val="false"/>
          <w:i w:val="false"/>
          <w:iCs w:val="false"/>
          <w:color w:val="1E293B"/>
          <w:sz w:val="22"/>
          <w:szCs w:val="22"/>
        </w:rPr>
        <w:t xml:space="preserve">Adicionalmente se muestra una alerta roja cuando existen reclamos vencidos (más de 15 días hábiles sin resolución), indicando el número de casos urgentes.</w:t>
      </w:r>
    </w:p>
    <w:p>
      <w:pPr>
        <w:spacing w:after="0" w:before="140"/>
      </w:pPr>
    </w:p>
    <w:p>
      <w:pPr>
        <w:pStyle w:val="Heading2"/>
        <w:spacing w:after="120" w:before="240"/>
      </w:pPr>
      <w:r>
        <w:rPr>
          <w:rFonts w:ascii="Arial" w:cs="Arial" w:eastAsia="Arial" w:hAnsi="Arial"/>
          <w:b/>
          <w:bCs/>
          <w:color w:val="2563EB"/>
          <w:sz w:val="26"/>
          <w:szCs w:val="26"/>
        </w:rPr>
        <w:t xml:space="preserve">6.2. Tabla de reclamos</w:t>
      </w:r>
    </w:p>
    <w:p>
      <w:pPr>
        <w:pStyle w:val="ListParagraph"/>
        <w:numPr>
          <w:ilvl w:val="0"/>
          <w:numId w:val="2"/>
        </w:numPr>
        <w:spacing w:after="80"/>
      </w:pPr>
      <w:r>
        <w:rPr>
          <w:rFonts w:ascii="Arial" w:cs="Arial" w:eastAsia="Arial" w:hAnsi="Arial"/>
          <w:color w:val="1E293B"/>
          <w:sz w:val="22"/>
          <w:szCs w:val="22"/>
        </w:rPr>
        <w:t xml:space="preserve">Muestra: N° correlativo, fecha, consumidor, tipo (queja/reclamo), estado con badge de color.</w:t>
      </w:r>
    </w:p>
    <w:p>
      <w:pPr>
        <w:pStyle w:val="ListParagraph"/>
        <w:numPr>
          <w:ilvl w:val="0"/>
          <w:numId w:val="2"/>
        </w:numPr>
        <w:spacing w:after="80"/>
      </w:pPr>
      <w:r>
        <w:rPr>
          <w:rFonts w:ascii="Arial" w:cs="Arial" w:eastAsia="Arial" w:hAnsi="Arial"/>
          <w:color w:val="1E293B"/>
          <w:sz w:val="22"/>
          <w:szCs w:val="22"/>
        </w:rPr>
        <w:t xml:space="preserve">Días hábiles transcurridos: calculado en tiempo real con función diasHabiles() que excluye sábados y domingos.</w:t>
      </w:r>
    </w:p>
    <w:p>
      <w:pPr>
        <w:pStyle w:val="ListParagraph"/>
        <w:numPr>
          <w:ilvl w:val="0"/>
          <w:numId w:val="2"/>
        </w:numPr>
        <w:spacing w:after="80"/>
      </w:pPr>
      <w:r>
        <w:rPr>
          <w:rFonts w:ascii="Arial" w:cs="Arial" w:eastAsia="Arial" w:hAnsi="Arial"/>
          <w:color w:val="1E293B"/>
          <w:sz w:val="22"/>
          <w:szCs w:val="22"/>
        </w:rPr>
        <w:t xml:space="preserve">Filtros: por estado (todos/pendiente/en_revision/resuelto) y por tipo (queja/reclamo).</w:t>
      </w:r>
    </w:p>
    <w:p>
      <w:pPr>
        <w:pStyle w:val="ListParagraph"/>
        <w:numPr>
          <w:ilvl w:val="0"/>
          <w:numId w:val="2"/>
        </w:numPr>
        <w:spacing w:after="80"/>
      </w:pPr>
      <w:r>
        <w:rPr>
          <w:rFonts w:ascii="Arial" w:cs="Arial" w:eastAsia="Arial" w:hAnsi="Arial"/>
          <w:color w:val="1E293B"/>
          <w:sz w:val="22"/>
          <w:szCs w:val="22"/>
        </w:rPr>
        <w:t xml:space="preserve">Filas expandibles: al hacer click se despliegan todos los campos del Anexo I (Secciones A, B, C, D) completos.</w:t>
      </w:r>
    </w:p>
    <w:p>
      <w:pPr>
        <w:spacing w:after="0" w:before="140"/>
      </w:pPr>
    </w:p>
    <w:p>
      <w:pPr>
        <w:pStyle w:val="Heading2"/>
        <w:spacing w:after="120" w:before="240"/>
      </w:pPr>
      <w:r>
        <w:rPr>
          <w:rFonts w:ascii="Arial" w:cs="Arial" w:eastAsia="Arial" w:hAnsi="Arial"/>
          <w:b/>
          <w:bCs/>
          <w:color w:val="2563EB"/>
          <w:sz w:val="26"/>
          <w:szCs w:val="26"/>
        </w:rPr>
        <w:t xml:space="preserve">6.3. Panel de respuesta en línea</w:t>
      </w:r>
    </w:p>
    <w:p>
      <w:pPr>
        <w:pStyle w:val="ListParagraph"/>
        <w:numPr>
          <w:ilvl w:val="0"/>
          <w:numId w:val="2"/>
        </w:numPr>
        <w:spacing w:after="80"/>
      </w:pPr>
      <w:r>
        <w:rPr>
          <w:rFonts w:ascii="Arial" w:cs="Arial" w:eastAsia="Arial" w:hAnsi="Arial"/>
          <w:color w:val="1E293B"/>
          <w:sz w:val="22"/>
          <w:szCs w:val="22"/>
        </w:rPr>
        <w:t xml:space="preserve">Cambio de estado: selector para mover el reclamo de pendiente → en_revision → resuelto.</w:t>
      </w:r>
    </w:p>
    <w:p>
      <w:pPr>
        <w:pStyle w:val="ListParagraph"/>
        <w:numPr>
          <w:ilvl w:val="0"/>
          <w:numId w:val="2"/>
        </w:numPr>
        <w:spacing w:after="80"/>
      </w:pPr>
      <w:r>
        <w:rPr>
          <w:rFonts w:ascii="Arial" w:cs="Arial" w:eastAsia="Arial" w:hAnsi="Arial"/>
          <w:color w:val="1E293B"/>
          <w:sz w:val="22"/>
          <w:szCs w:val="22"/>
        </w:rPr>
        <w:t xml:space="preserve">Respuesta del proveedor: área de texto para registrar la solución ofrecida.</w:t>
      </w:r>
    </w:p>
    <w:p>
      <w:pPr>
        <w:pStyle w:val="ListParagraph"/>
        <w:numPr>
          <w:ilvl w:val="0"/>
          <w:numId w:val="2"/>
        </w:numPr>
        <w:spacing w:after="80"/>
      </w:pPr>
      <w:r>
        <w:rPr>
          <w:rFonts w:ascii="Arial" w:cs="Arial" w:eastAsia="Arial" w:hAnsi="Arial"/>
          <w:color w:val="1E293B"/>
          <w:sz w:val="22"/>
          <w:szCs w:val="22"/>
        </w:rPr>
        <w:t xml:space="preserve">Guardar: actualiza la tabla reclamaciones en Supabase, registrando fecha_respuesta automáticamente.</w:t>
      </w:r>
    </w:p>
    <w:p>
      <w:pPr>
        <w:spacing w:after="0" w:before="140"/>
      </w:pPr>
    </w:p>
    <w:p>
      <w:pPr>
        <w:pStyle w:val="Heading2"/>
        <w:spacing w:after="120" w:before="240"/>
      </w:pPr>
      <w:r>
        <w:rPr>
          <w:rFonts w:ascii="Arial" w:cs="Arial" w:eastAsia="Arial" w:hAnsi="Arial"/>
          <w:b/>
          <w:bCs/>
          <w:color w:val="2563EB"/>
          <w:sz w:val="26"/>
          <w:szCs w:val="26"/>
        </w:rPr>
        <w:t xml:space="preserve">6.4. Marco legal informativo</w:t>
      </w:r>
    </w:p>
    <w:p>
      <w:pPr>
        <w:spacing w:after="120"/>
        <w:jc w:val="both"/>
      </w:pPr>
      <w:r>
        <w:rPr>
          <w:rFonts w:ascii="Arial" w:cs="Arial" w:eastAsia="Arial" w:hAnsi="Arial"/>
          <w:b w:val="false"/>
          <w:bCs w:val="false"/>
          <w:i w:val="false"/>
          <w:iCs w:val="false"/>
          <w:color w:val="1E293B"/>
          <w:sz w:val="22"/>
          <w:szCs w:val="22"/>
        </w:rPr>
        <w:t xml:space="preserve">El panel incluye un recuadro permanente con el resumen del marco legal aplicable, el plazo de 15 días hábiles, las consecuencias del incumplimiento (multas de hasta 450 UIT) y un enlace a INDECOPI, para que el comerciante siempre tenga visibilidad de sus obligaciones.</w:t>
      </w:r>
    </w:p>
    <w:p>
      <w:pPr>
        <w:spacing w:after="0" w:before="200"/>
      </w:pPr>
      <w:r>
        <w:br w:type="page"/>
      </w:r>
    </w:p>
    <w:p>
      <w:pPr>
        <w:pStyle w:val="Heading1"/>
        <w:spacing w:after="120" w:before="360"/>
      </w:pPr>
      <w:r>
        <w:rPr>
          <w:rFonts w:ascii="Arial" w:cs="Arial" w:eastAsia="Arial" w:hAnsi="Arial"/>
          <w:b/>
          <w:bCs/>
          <w:color w:val="1E3A5F"/>
          <w:sz w:val="32"/>
          <w:szCs w:val="32"/>
        </w:rPr>
        <w:t xml:space="preserve">7. Arquitectura Multi-tenant y Seguridad</w:t>
      </w:r>
    </w:p>
    <w:p>
      <w:pPr>
        <w:pBdr>
          <w:bottom w:val="single" w:color="CBD5E1" w:sz="4"/>
        </w:pBdr>
        <w:spacing w:after="120" w:before="120"/>
      </w:pPr>
    </w:p>
    <w:p>
      <w:pPr>
        <w:pStyle w:val="Heading2"/>
        <w:spacing w:after="120" w:before="240"/>
      </w:pPr>
      <w:r>
        <w:rPr>
          <w:rFonts w:ascii="Arial" w:cs="Arial" w:eastAsia="Arial" w:hAnsi="Arial"/>
          <w:b/>
          <w:bCs/>
          <w:color w:val="2563EB"/>
          <w:sz w:val="26"/>
          <w:szCs w:val="26"/>
        </w:rPr>
        <w:t xml:space="preserve">7.1. Correlativos independientes por tenant</w:t>
      </w:r>
    </w:p>
    <w:p>
      <w:pPr>
        <w:spacing w:after="120"/>
        <w:jc w:val="both"/>
      </w:pPr>
      <w:r>
        <w:rPr>
          <w:rFonts w:ascii="Arial" w:cs="Arial" w:eastAsia="Arial" w:hAnsi="Arial"/>
          <w:b w:val="false"/>
          <w:bCs w:val="false"/>
          <w:i w:val="false"/>
          <w:iCs w:val="false"/>
          <w:color w:val="1E293B"/>
          <w:sz w:val="22"/>
          <w:szCs w:val="22"/>
        </w:rPr>
        <w:t xml:space="preserve">Cada tienda (tenant) tiene su propio contador de correlativos, independiente de las demás. La numeración comienza en 1 para cada tienda y nunca se repite dentro del mismo tenant (constraint UNIQUE(tenant_id, numero_correlativo)).</w:t>
      </w:r>
    </w:p>
    <w:p>
      <w:pPr>
        <w:spacing w:after="120"/>
        <w:jc w:val="both"/>
      </w:pPr>
      <w:r>
        <w:rPr>
          <w:rFonts w:ascii="Arial" w:cs="Arial" w:eastAsia="Arial" w:hAnsi="Arial"/>
          <w:b w:val="false"/>
          <w:bCs w:val="false"/>
          <w:i w:val="false"/>
          <w:iCs w:val="false"/>
          <w:color w:val="1E293B"/>
          <w:sz w:val="22"/>
          <w:szCs w:val="22"/>
        </w:rPr>
        <w:t xml:space="preserve">La RPC utiliza pg_advisory_xact_lock(hashtext(p_tenant_id::text)) para garantizar que dos inserciones simultáneas de la misma tienda no produzcan el mismo correlativo. Este mecanismo es el estándar recomendado en PostgreSQL para este tipo de secuencias multi-tenant sin usar SEQUENCE global.</w:t>
      </w:r>
    </w:p>
    <w:p>
      <w:pPr>
        <w:pStyle w:val="Heading2"/>
        <w:spacing w:after="120" w:before="240"/>
      </w:pPr>
      <w:r>
        <w:rPr>
          <w:rFonts w:ascii="Arial" w:cs="Arial" w:eastAsia="Arial" w:hAnsi="Arial"/>
          <w:b/>
          <w:bCs/>
          <w:color w:val="2563EB"/>
          <w:sz w:val="26"/>
          <w:szCs w:val="26"/>
        </w:rPr>
        <w:t xml:space="preserve">7.2. Snapshot inmutable de datos del proveedor</w:t>
      </w:r>
    </w:p>
    <w:p>
      <w:pPr>
        <w:spacing w:after="120"/>
        <w:jc w:val="both"/>
      </w:pPr>
      <w:r>
        <w:rPr>
          <w:rFonts w:ascii="Arial" w:cs="Arial" w:eastAsia="Arial" w:hAnsi="Arial"/>
          <w:b w:val="false"/>
          <w:bCs w:val="false"/>
          <w:i w:val="false"/>
          <w:iCs w:val="false"/>
          <w:color w:val="1E293B"/>
          <w:sz w:val="22"/>
          <w:szCs w:val="22"/>
        </w:rPr>
        <w:t xml:space="preserve">Al momento de registrar el reclamo, la RPC captura una instantánea (snapshot) de los datos de la empresa (nombre, RUC, dirección, URL). Esta información queda almacenada inmutablemente en la fila del reclamo y no cambia aunque el comerciante modifique sus datos en configuración posteriormente. Esto garantiza la integridad legal del registro.</w:t>
      </w:r>
    </w:p>
    <w:p>
      <w:pPr>
        <w:pStyle w:val="Heading2"/>
        <w:spacing w:after="120" w:before="240"/>
      </w:pPr>
      <w:r>
        <w:rPr>
          <w:rFonts w:ascii="Arial" w:cs="Arial" w:eastAsia="Arial" w:hAnsi="Arial"/>
          <w:b/>
          <w:bCs/>
          <w:color w:val="2563EB"/>
          <w:sz w:val="26"/>
          <w:szCs w:val="26"/>
        </w:rPr>
        <w:t xml:space="preserve">7.3. Acceso por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 Supabase</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Consumidor del catálogo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Solo INSERT vía RPC insert_reclamacion()</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Propietario de tienda</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authenticated</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E293B"/>
                <w:sz w:val="20"/>
                <w:szCs w:val="20"/>
              </w:rPr>
              <w:t xml:space="preserve">SELECT y UPDATE de sus propios reclamos (tenant_id)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Superadmin Dizi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authenticated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SELECT de todos los tenants desde super.tiendas</w:t>
            </w:r>
          </w:p>
        </w:tc>
      </w:tr>
    </w:tbl>
    <w:p>
      <w:pPr>
        <w:spacing w:after="0" w:before="200"/>
      </w:pPr>
      <w:r>
        <w:br w:type="page"/>
      </w:r>
    </w:p>
    <w:p>
      <w:pPr>
        <w:pStyle w:val="Heading1"/>
        <w:spacing w:after="120" w:before="360"/>
      </w:pPr>
      <w:r>
        <w:rPr>
          <w:rFonts w:ascii="Arial" w:cs="Arial" w:eastAsia="Arial" w:hAnsi="Arial"/>
          <w:b/>
          <w:bCs/>
          <w:color w:val="1E3A5F"/>
          <w:sz w:val="32"/>
          <w:szCs w:val="32"/>
        </w:rPr>
        <w:t xml:space="preserve">8. Configuración del Comerciante</w:t>
      </w:r>
    </w:p>
    <w:p>
      <w:pPr>
        <w:spacing w:after="120"/>
        <w:jc w:val="both"/>
      </w:pPr>
      <w:r>
        <w:rPr>
          <w:rFonts w:ascii="Arial" w:cs="Arial" w:eastAsia="Arial" w:hAnsi="Arial"/>
          <w:b w:val="false"/>
          <w:bCs w:val="false"/>
          <w:i w:val="false"/>
          <w:iCs w:val="false"/>
          <w:color w:val="1E293B"/>
          <w:sz w:val="22"/>
          <w:szCs w:val="22"/>
        </w:rPr>
        <w:t xml:space="preserve">El comerciante activa y configura su libro de reclamaciones desde el panel de Configuración (/admin/configuracion).</w:t>
      </w:r>
    </w:p>
    <w:p>
      <w:pPr>
        <w:pBdr>
          <w:bottom w:val="single" w:color="CBD5E1" w:sz="4"/>
        </w:pBdr>
        <w:spacing w:after="120" w:before="120"/>
      </w:pPr>
    </w:p>
    <w:p>
      <w:pPr>
        <w:pStyle w:val="Heading2"/>
        <w:spacing w:after="120" w:before="240"/>
      </w:pPr>
      <w:r>
        <w:rPr>
          <w:rFonts w:ascii="Arial" w:cs="Arial" w:eastAsia="Arial" w:hAnsi="Arial"/>
          <w:b/>
          <w:bCs/>
          <w:color w:val="2563EB"/>
          <w:sz w:val="26"/>
          <w:szCs w:val="26"/>
        </w:rPr>
        <w:t xml:space="preserve">8.1. Proceso de activación</w:t>
      </w:r>
    </w:p>
    <w:p>
      <w:pPr>
        <w:pStyle w:val="ListParagraph"/>
        <w:numPr>
          <w:ilvl w:val="0"/>
          <w:numId w:val="3"/>
        </w:numPr>
      </w:pPr>
      <w:r>
        <w:rPr>
          <w:rFonts w:ascii="Arial" w:cs="Arial" w:eastAsia="Arial" w:hAnsi="Arial"/>
          <w:color w:val="1E293B"/>
          <w:sz w:val="22"/>
          <w:szCs w:val="22"/>
        </w:rPr>
        <w:t xml:space="preserve">Ingresar al panel admin → Configuración.</w:t>
      </w:r>
    </w:p>
    <w:p>
      <w:pPr>
        <w:pStyle w:val="ListParagraph"/>
        <w:numPr>
          <w:ilvl w:val="0"/>
          <w:numId w:val="3"/>
        </w:numPr>
      </w:pPr>
      <w:r>
        <w:rPr>
          <w:rFonts w:ascii="Arial" w:cs="Arial" w:eastAsia="Arial" w:hAnsi="Arial"/>
          <w:color w:val="1E293B"/>
          <w:sz w:val="22"/>
          <w:szCs w:val="22"/>
        </w:rPr>
        <w:t xml:space="preserve">Activar el toggle "Libro de Reclamaciones".</w:t>
      </w:r>
    </w:p>
    <w:p>
      <w:pPr>
        <w:pStyle w:val="ListParagraph"/>
        <w:numPr>
          <w:ilvl w:val="0"/>
          <w:numId w:val="3"/>
        </w:numPr>
      </w:pPr>
      <w:r>
        <w:rPr>
          <w:rFonts w:ascii="Arial" w:cs="Arial" w:eastAsia="Arial" w:hAnsi="Arial"/>
          <w:color w:val="1E293B"/>
          <w:sz w:val="22"/>
          <w:szCs w:val="22"/>
        </w:rPr>
        <w:t xml:space="preserve">Completar los datos de empresa: RUC, Razón Social, Dirección.</w:t>
      </w:r>
    </w:p>
    <w:p>
      <w:pPr>
        <w:pStyle w:val="ListParagraph"/>
        <w:numPr>
          <w:ilvl w:val="0"/>
          <w:numId w:val="3"/>
        </w:numPr>
      </w:pPr>
      <w:r>
        <w:rPr>
          <w:rFonts w:ascii="Arial" w:cs="Arial" w:eastAsia="Arial" w:hAnsi="Arial"/>
          <w:color w:val="1E293B"/>
          <w:sz w:val="22"/>
          <w:szCs w:val="22"/>
        </w:rPr>
        <w:t xml:space="preserve">Guardar. El botón "Libro de Reclamaciones" aparecerá en el footer del catálogo público.</w:t>
      </w:r>
    </w:p>
    <w:p>
      <w:pPr>
        <w:pStyle w:val="ListParagraph"/>
        <w:numPr>
          <w:ilvl w:val="0"/>
          <w:numId w:val="3"/>
        </w:numPr>
      </w:pPr>
      <w:r>
        <w:rPr>
          <w:rFonts w:ascii="Arial" w:cs="Arial" w:eastAsia="Arial" w:hAnsi="Arial"/>
          <w:color w:val="1E293B"/>
          <w:sz w:val="22"/>
          <w:szCs w:val="22"/>
        </w:rPr>
        <w:t xml:space="preserve">Ejecutar supabase_libro_reclamaciones.sql en el Editor SQL de Supabase (una sola vez).</w:t>
      </w:r>
    </w:p>
    <w:p>
      <w:pPr>
        <w:spacing w:after="0" w:before="140"/>
      </w:pPr>
    </w:p>
    <w:p>
      <w:pPr>
        <w:pStyle w:val="Heading2"/>
        <w:spacing w:after="120" w:before="240"/>
      </w:pPr>
      <w:r>
        <w:rPr>
          <w:rFonts w:ascii="Arial" w:cs="Arial" w:eastAsia="Arial" w:hAnsi="Arial"/>
          <w:b/>
          <w:bCs/>
          <w:color w:val="2563EB"/>
          <w:sz w:val="26"/>
          <w:szCs w:val="26"/>
        </w:rPr>
        <w:t xml:space="preserve">8.2. Visibilidad del Superadmin</w:t>
      </w:r>
    </w:p>
    <w:p>
      <w:pPr>
        <w:spacing w:after="120"/>
        <w:jc w:val="both"/>
      </w:pPr>
      <w:r>
        <w:rPr>
          <w:rFonts w:ascii="Arial" w:cs="Arial" w:eastAsia="Arial" w:hAnsi="Arial"/>
          <w:b w:val="false"/>
          <w:bCs w:val="false"/>
          <w:i w:val="false"/>
          <w:iCs w:val="false"/>
          <w:color w:val="1E293B"/>
          <w:sz w:val="22"/>
          <w:szCs w:val="22"/>
        </w:rPr>
        <w:t xml:space="preserve">En la vista super.tiendas.tsx, cada tienda que tiene el libro activo muestra un badge "📋 Libro" junto a su nombre, y el encabezado del panel muestra el contador "X tiendas con libro activo". Esto permite a Dizi.pe hacer seguimiento del cumplimiento normativo en toda la plataforma.</w:t>
      </w:r>
    </w:p>
    <w:p>
      <w:pPr>
        <w:spacing w:after="0" w:before="200"/>
      </w:pPr>
      <w:r>
        <w:br w:type="page"/>
      </w:r>
    </w:p>
    <w:p>
      <w:pPr>
        <w:pStyle w:val="Heading1"/>
        <w:spacing w:after="120" w:before="360"/>
      </w:pPr>
      <w:r>
        <w:rPr>
          <w:rFonts w:ascii="Arial" w:cs="Arial" w:eastAsia="Arial" w:hAnsi="Arial"/>
          <w:b/>
          <w:bCs/>
          <w:color w:val="1E3A5F"/>
          <w:sz w:val="32"/>
          <w:szCs w:val="32"/>
        </w:rPr>
        <w:t xml:space="preserve">9. Pasos Pendientes para Producción</w:t>
      </w:r>
    </w:p>
    <w:p>
      <w:pPr>
        <w:pBdr>
          <w:bottom w:val="single" w:color="CBD5E1"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00"/>
              <w:left w:type="dxa" w:w="160"/>
              <w:bottom w:type="dxa" w:w="60"/>
              <w:right w:type="dxa" w:w="160"/>
            </w:tcMar>
          </w:tcPr>
          <w:p>
            <w:r>
              <w:rPr>
                <w:rFonts w:ascii="Arial" w:cs="Arial" w:eastAsia="Arial" w:hAnsi="Arial"/>
                <w:b/>
                <w:bCs/>
                <w:color w:val="C2410C"/>
                <w:sz w:val="22"/>
                <w:szCs w:val="22"/>
              </w:rPr>
              <w:t xml:space="preserve">⚠️ ACCIÓN REQUERIDA — Ejecutar SQL en Supabase</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Antes de que cualquier tienda pueda usar el libro de reclamaciones, se debe ejecutar el script</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supabase_libro_reclamaciones.sql en el Editor SQL de Supabase.</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Este script crea:</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 ALTER TABLE stores → 4 columnas nuevas</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 CREATE TABLE reclamaciones → 26 columnas con Anexo I completo</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 Índices de rendimiento (tenant_id, fecha, estado)</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 RPC insert_reclamacion() con bloqueo de concurrencia</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 Políticas RLS (INSERT anon, SELECT/UPDATE authenticated)</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160"/>
            </w:tcMar>
          </w:tcPr>
          <w:p>
            <w:r>
              <w:rPr>
                <w:rFonts w:ascii="Arial" w:cs="Arial" w:eastAsia="Arial" w:hAnsi="Arial"/>
                <w:color w:val="1E293B"/>
                <w:sz w:val="20"/>
                <w:szCs w:val="20"/>
              </w:rPr>
              <w:t xml:space="preserve">  • GRANT EXECUTE en la función RPC</w:t>
            </w:r>
          </w:p>
        </w:tc>
      </w:tr>
    </w:tbl>
    <w:p>
      <w:pPr>
        <w:spacing w:after="0" w:before="140"/>
      </w:pPr>
    </w:p>
    <w:p>
      <w:pPr>
        <w:pStyle w:val="Heading2"/>
        <w:spacing w:after="120" w:before="240"/>
      </w:pPr>
      <w:r>
        <w:rPr>
          <w:rFonts w:ascii="Arial" w:cs="Arial" w:eastAsia="Arial" w:hAnsi="Arial"/>
          <w:b/>
          <w:bCs/>
          <w:color w:val="2563EB"/>
          <w:sz w:val="26"/>
          <w:szCs w:val="26"/>
        </w:rPr>
        <w:t xml:space="preserve">9.1. Mejoras futuras recomendadas</w:t>
      </w:r>
    </w:p>
    <w:p>
      <w:pPr>
        <w:pStyle w:val="ListParagraph"/>
        <w:numPr>
          <w:ilvl w:val="0"/>
          <w:numId w:val="2"/>
        </w:numPr>
        <w:spacing w:after="80"/>
      </w:pPr>
      <w:r>
        <w:rPr>
          <w:rFonts w:ascii="Arial" w:cs="Arial" w:eastAsia="Arial" w:hAnsi="Arial"/>
          <w:color w:val="1E293B"/>
          <w:sz w:val="22"/>
          <w:szCs w:val="22"/>
        </w:rPr>
        <w:t xml:space="preserve">Notificaciones por email: Enviar confirmación al consumidor (email campo ya capturado) y alerta al comerciante cuando llega un reclamo nuevo.</w:t>
      </w:r>
    </w:p>
    <w:p>
      <w:pPr>
        <w:pStyle w:val="ListParagraph"/>
        <w:numPr>
          <w:ilvl w:val="0"/>
          <w:numId w:val="2"/>
        </w:numPr>
        <w:spacing w:after="80"/>
      </w:pPr>
      <w:r>
        <w:rPr>
          <w:rFonts w:ascii="Arial" w:cs="Arial" w:eastAsia="Arial" w:hAnsi="Arial"/>
          <w:color w:val="1E293B"/>
          <w:sz w:val="22"/>
          <w:szCs w:val="22"/>
        </w:rPr>
        <w:t xml:space="preserve">Alerta de vencimiento proactiva: Notificación automática al comerciante cuando un reclamo lleva 10 días hábiles sin respuesta (5 días antes del vencimiento legal).</w:t>
      </w:r>
    </w:p>
    <w:p>
      <w:pPr>
        <w:pStyle w:val="ListParagraph"/>
        <w:numPr>
          <w:ilvl w:val="0"/>
          <w:numId w:val="2"/>
        </w:numPr>
        <w:spacing w:after="80"/>
      </w:pPr>
      <w:r>
        <w:rPr>
          <w:rFonts w:ascii="Arial" w:cs="Arial" w:eastAsia="Arial" w:hAnsi="Arial"/>
          <w:color w:val="1E293B"/>
          <w:sz w:val="22"/>
          <w:szCs w:val="22"/>
        </w:rPr>
        <w:t xml:space="preserve">Exportación a Excel/PDF: Permitir al comerciante descargar el libro completo para auditorías presenciales de INDECOPI.</w:t>
      </w:r>
    </w:p>
    <w:p>
      <w:pPr>
        <w:pStyle w:val="ListParagraph"/>
        <w:numPr>
          <w:ilvl w:val="0"/>
          <w:numId w:val="2"/>
        </w:numPr>
        <w:spacing w:after="80"/>
      </w:pPr>
      <w:r>
        <w:rPr>
          <w:rFonts w:ascii="Arial" w:cs="Arial" w:eastAsia="Arial" w:hAnsi="Arial"/>
          <w:color w:val="1E293B"/>
          <w:sz w:val="22"/>
          <w:szCs w:val="22"/>
        </w:rPr>
        <w:t xml:space="preserve">Vista superadmin de reclamos: Panel cruzado de todos los reclamos de todos los tenants para supervisión de plataforma.</w:t>
      </w:r>
    </w:p>
    <w:p>
      <w:pPr>
        <w:pStyle w:val="ListParagraph"/>
        <w:numPr>
          <w:ilvl w:val="0"/>
          <w:numId w:val="2"/>
        </w:numPr>
        <w:spacing w:after="80"/>
      </w:pPr>
      <w:r>
        <w:rPr>
          <w:rFonts w:ascii="Arial" w:cs="Arial" w:eastAsia="Arial" w:hAnsi="Arial"/>
          <w:color w:val="1E293B"/>
          <w:sz w:val="22"/>
          <w:szCs w:val="22"/>
        </w:rPr>
        <w:t xml:space="preserve">Firma digital del ticket: Implementar hash SHA-256 del contenido del reclamo para no repudio legal.</w:t>
      </w:r>
    </w:p>
    <w:p>
      <w:pPr>
        <w:spacing w:after="0" w:before="200"/>
      </w:pPr>
      <w:r>
        <w:br w:type="page"/>
      </w:r>
    </w:p>
    <w:p>
      <w:pPr>
        <w:pStyle w:val="Heading1"/>
        <w:spacing w:after="120" w:before="360"/>
      </w:pPr>
      <w:r>
        <w:rPr>
          <w:rFonts w:ascii="Arial" w:cs="Arial" w:eastAsia="Arial" w:hAnsi="Arial"/>
          <w:b/>
          <w:bCs/>
          <w:color w:val="1E3A5F"/>
          <w:sz w:val="32"/>
          <w:szCs w:val="32"/>
        </w:rPr>
        <w:t xml:space="preserve">10. Conclusiones</w:t>
      </w:r>
    </w:p>
    <w:p>
      <w:pPr>
        <w:spacing w:after="120"/>
        <w:jc w:val="both"/>
      </w:pPr>
      <w:r>
        <w:rPr>
          <w:rFonts w:ascii="Arial" w:cs="Arial" w:eastAsia="Arial" w:hAnsi="Arial"/>
          <w:b w:val="false"/>
          <w:bCs w:val="false"/>
          <w:i w:val="false"/>
          <w:iCs w:val="false"/>
          <w:color w:val="1E293B"/>
          <w:sz w:val="22"/>
          <w:szCs w:val="22"/>
        </w:rPr>
        <w:t xml:space="preserve">La implementación del Libro de Reclamaciones Digital en Dizi.pe cumple íntegramente con la normativa peruana vigente de protección al consumidor, incluyendo la legislación más reciente (Ley N° 32495 de noviembre 2025 y Resolución SPC N° 0272-2024 de INDECOPI).</w:t>
      </w:r>
    </w:p>
    <w:p>
      <w:pPr>
        <w:spacing w:after="120"/>
        <w:jc w:val="both"/>
      </w:pPr>
      <w:r>
        <w:rPr>
          <w:rFonts w:ascii="Arial" w:cs="Arial" w:eastAsia="Arial" w:hAnsi="Arial"/>
          <w:b w:val="false"/>
          <w:bCs w:val="false"/>
          <w:i w:val="false"/>
          <w:iCs w:val="false"/>
          <w:color w:val="1E293B"/>
          <w:sz w:val="22"/>
          <w:szCs w:val="22"/>
        </w:rPr>
        <w:t xml:space="preserve">El sistema garantiza:</w:t>
      </w:r>
    </w:p>
    <w:p>
      <w:pPr>
        <w:pStyle w:val="ListParagraph"/>
        <w:numPr>
          <w:ilvl w:val="0"/>
          <w:numId w:val="2"/>
        </w:numPr>
        <w:spacing w:after="8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Legalidad: Todos los campos del Anexo I del DS N° 101-2022-PCM están implementados.</w:t>
      </w:r>
    </w:p>
    <w:p>
      <w:pPr>
        <w:pStyle w:val="ListParagraph"/>
        <w:numPr>
          <w:ilvl w:val="0"/>
          <w:numId w:val="2"/>
        </w:numPr>
        <w:spacing w:after="8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Integridad: Los datos de empresa son capturados como snapshot inmutable al momento del reclamo.</w:t>
      </w:r>
    </w:p>
    <w:p>
      <w:pPr>
        <w:pStyle w:val="ListParagraph"/>
        <w:numPr>
          <w:ilvl w:val="0"/>
          <w:numId w:val="2"/>
        </w:numPr>
        <w:spacing w:after="8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Concurrencia: Los correlativos son únicos por tenant sin posibilidad de duplicados, incluso bajo alta carga.</w:t>
      </w:r>
    </w:p>
    <w:p>
      <w:pPr>
        <w:pStyle w:val="ListParagraph"/>
        <w:numPr>
          <w:ilvl w:val="0"/>
          <w:numId w:val="2"/>
        </w:numPr>
        <w:spacing w:after="8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Trazabilidad: Panel de auditoría con contador de días hábiles y alertas de vencimiento.</w:t>
      </w:r>
    </w:p>
    <w:p>
      <w:pPr>
        <w:pStyle w:val="ListParagraph"/>
        <w:numPr>
          <w:ilvl w:val="0"/>
          <w:numId w:val="2"/>
        </w:numPr>
        <w:spacing w:after="8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Accesibilidad: El libro es accesible en 1 click desde el catálogo público (supera el requisito de 2 clicks de INDECOPI).</w:t>
      </w:r>
    </w:p>
    <w:p>
      <w:pPr>
        <w:pStyle w:val="ListParagraph"/>
        <w:numPr>
          <w:ilvl w:val="0"/>
          <w:numId w:val="2"/>
        </w:numPr>
        <w:spacing w:after="8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Multi-tenant: Cada tienda tiene su libro independiente, activable individualmente.</w:t>
      </w:r>
    </w:p>
    <w:p>
      <w:pPr>
        <w:pStyle w:val="ListParagraph"/>
        <w:numPr>
          <w:ilvl w:val="0"/>
          <w:numId w:val="2"/>
        </w:numPr>
        <w:spacing w:after="8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Seguridad: RLS + SECURITY DEFINER + advisory locks garantizan aislamiento y atomicidad.</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1FAE5" w:val="clear"/>
            <w:tcMar>
              <w:top w:type="dxa" w:w="160"/>
              <w:left w:type="dxa" w:w="240"/>
              <w:bottom w:type="dxa" w:w="160"/>
              <w:right w:type="dxa" w:w="240"/>
            </w:tcMar>
          </w:tcPr>
          <w:p>
            <w:pPr>
              <w:jc w:val="center"/>
            </w:pPr>
            <w:r>
              <w:rPr>
                <w:rFonts w:ascii="Arial" w:cs="Arial" w:eastAsia="Arial" w:hAnsi="Arial"/>
                <w:b/>
                <w:bCs/>
                <w:color w:val="065F46"/>
                <w:sz w:val="22"/>
                <w:szCs w:val="22"/>
              </w:rPr>
              <w:t xml:space="preserve">Sistema listo para producción, pendiente únicamente ejecutar el SQL en Supabase.</w:t>
            </w:r>
          </w:p>
          <w:p>
            <w:pPr>
              <w:spacing w:before="80"/>
              <w:jc w:val="center"/>
            </w:pPr>
            <w:r>
              <w:rPr>
                <w:rFonts w:ascii="Arial" w:cs="Arial" w:eastAsia="Arial" w:hAnsi="Arial"/>
                <w:color w:val="15803D"/>
                <w:sz w:val="20"/>
                <w:szCs w:val="20"/>
              </w:rPr>
              <w:t xml:space="preserve">Dizi.pe — Mayo 2026  ·  Versión 3.0</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80"/>
      <w:jc w:val="center"/>
    </w:pPr>
    <w:r>
      <w:rPr>
        <w:rFonts w:ascii="Arial" w:cs="Arial" w:eastAsia="Arial" w:hAnsi="Arial"/>
        <w:color w:val="64748B"/>
        <w:sz w:val="18"/>
        <w:szCs w:val="18"/>
      </w:rPr>
      <w:t xml:space="preserve">Página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de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80"/>
      <w:jc w:val="right"/>
    </w:pPr>
    <w:r>
      <w:rPr>
        <w:rFonts w:ascii="Arial" w:cs="Arial" w:eastAsia="Arial" w:hAnsi="Arial"/>
        <w:color w:val="64748B"/>
        <w:sz w:val="18"/>
        <w:szCs w:val="18"/>
      </w:rPr>
      <w:t xml:space="preserve">Informe Técnico — Libro de Reclamaciones Digital</w:t>
    </w:r>
    <w:r>
      <w:rPr>
        <w:rFonts w:ascii="Arial" w:cs="Arial" w:eastAsia="Arial" w:hAnsi="Arial"/>
        <w:b/>
        <w:bCs/>
        <w:color w:val="2563EB"/>
        <w:sz w:val="18"/>
        <w:szCs w:val="18"/>
      </w:rPr>
      <w:t xml:space="preserve">   |   Dizi.pe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2026-05-14T02:30:13.746Z</dcterms:created>
  <dcterms:modified xsi:type="dcterms:W3CDTF">2026-05-14T02:30:13.746Z</dcterms:modified>
</cp:coreProperties>
</file>

<file path=docProps/custom.xml><?xml version="1.0" encoding="utf-8"?>
<Properties xmlns="http://schemas.openxmlformats.org/officeDocument/2006/custom-properties" xmlns:vt="http://schemas.openxmlformats.org/officeDocument/2006/docPropsVTypes"/>
</file>