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mbria" w:cs="Cambria" w:eastAsia="Cambria" w:hAnsi="Cambria"/>
          <w:b/>
          <w:bCs/>
          <w:color w:val="0E7C86"/>
          <w:sz w:val="52"/>
          <w:szCs w:val="52"/>
        </w:rPr>
        <w:t xml:space="preserve">dizi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B2733"/>
          <w:sz w:val="30"/>
          <w:szCs w:val="30"/>
        </w:rPr>
        <w:t xml:space="preserve">La idea y el modelo de negocio</w:t>
      </w:r>
    </w:p>
    <w:p>
      <w:pPr>
        <w:spacing w:after="200"/>
      </w:pPr>
      <w:r>
        <w:rPr>
          <w:i/>
          <w:iCs/>
          <w:color w:val="5A6B7A"/>
          <w:sz w:val="20"/>
          <w:szCs w:val="20"/>
        </w:rPr>
        <w:t xml:space="preserve">Catálogos digitales para MYPEs · Resumen ejecutivo con motor de crecimiento PLG</w:t>
      </w:r>
    </w:p>
    <w:p>
      <w:pPr>
        <w:pStyle w:val="Heading2"/>
      </w:pPr>
      <w:r>
        <w:rPr>
          <w:color w:val="0E7C86"/>
        </w:rPr>
        <w:t xml:space="preserve">1. El problema</w:t>
      </w:r>
    </w:p>
    <w:p>
      <w:pPr>
        <w:spacing w:after="120"/>
      </w:pPr>
      <w:r>
        <w:rPr>
          <w:b w:val="false"/>
          <w:bCs w:val="false"/>
          <w:color w:val="333333"/>
        </w:rPr>
        <w:t xml:space="preserve">Perú tiene </w:t>
      </w:r>
      <w:r>
        <w:rPr>
          <w:b/>
          <w:bCs/>
          <w:color w:val="1B2733"/>
        </w:rPr>
        <w:t xml:space="preserve">2.7 millones de MYPEs</w:t>
      </w:r>
      <w:r>
        <w:rPr>
          <w:b w:val="false"/>
          <w:bCs w:val="false"/>
          <w:color w:val="333333"/>
        </w:rPr>
        <w:t xml:space="preserve"> y solo el </w:t>
      </w:r>
      <w:r>
        <w:rPr>
          <w:b/>
          <w:bCs/>
          <w:color w:val="1B2733"/>
        </w:rPr>
        <w:t xml:space="preserve">28% tiene presencia digital estructurada</w:t>
      </w:r>
      <w:r>
        <w:rPr>
          <w:b w:val="false"/>
          <w:bCs w:val="false"/>
          <w:color w:val="333333"/>
        </w:rPr>
        <w:t xml:space="preserve">. El 72% restante vende por WhatsApp e Instagram, pero no tiene forma ordenada de mostrar sus productos: manda fotos sueltas, PDFs que se ven mal en celular y responde el mismo “cuánto cuesta” decenas de veces al día. Shopify y Tiendanube son caros y complejos; OlaClick solo sirve a restaurantes.</w:t>
      </w:r>
    </w:p>
    <w:p>
      <w:pPr>
        <w:pStyle w:val="Heading2"/>
      </w:pPr>
      <w:r>
        <w:rPr>
          <w:color w:val="0E7C86"/>
        </w:rPr>
        <w:t xml:space="preserve">2. La solución</w:t>
      </w:r>
    </w:p>
    <w:p>
      <w:pPr>
        <w:spacing w:after="120"/>
      </w:pPr>
      <w:r>
        <w:rPr>
          <w:b/>
          <w:bCs/>
          <w:color w:val="1B2733"/>
        </w:rPr>
        <w:t xml:space="preserve">Dizi</w:t>
      </w:r>
      <w:r>
        <w:rPr>
          <w:b w:val="false"/>
          <w:bCs w:val="false"/>
          <w:color w:val="333333"/>
        </w:rPr>
        <w:t xml:space="preserve"> es la herramienta más simple y completa para que una MYPE tenga presencia digital profesional en menos de 30 minutos, sin diseñador y desde S/9.90/mes. Resuelve tres cosas en un solo enlace compartible: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Catálogo digital: </w:t>
      </w:r>
      <w:r>
        <w:rPr>
          <w:color w:val="333333"/>
        </w:rPr>
        <w:t xml:space="preserve">productos con fotos, precios y categorías en un enlace que se pone en la bio y se manda por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Bio-Link: </w:t>
      </w:r>
      <w:r>
        <w:rPr>
          <w:color w:val="333333"/>
        </w:rPr>
        <w:t xml:space="preserve">perfil del negocio con botón de WhatsApp directo, links y ubicación.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Libro de Reclamaciones: </w:t>
      </w:r>
      <w:r>
        <w:rPr>
          <w:color w:val="333333"/>
        </w:rPr>
        <w:t xml:space="preserve">digital e integrado, cumpliendo la normativa INDECOPI.</w:t>
      </w:r>
    </w:p>
    <w:p>
      <w:pPr>
        <w:pStyle w:val="Heading2"/>
      </w:pPr>
      <w:r>
        <w:rPr>
          <w:color w:val="0E7C86"/>
        </w:rPr>
        <w:t xml:space="preserve">3. Modelo de ingresos — suscripción recurrente (MRR)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2733" w:sz="1"/>
              <w:left w:val="single" w:color="1B2733" w:sz="1"/>
              <w:bottom w:val="single" w:color="1B2733" w:sz="1"/>
              <w:right w:val="single" w:color="1B2733" w:sz="1"/>
            </w:tcBorders>
            <w:shd w:fill="1B273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1B2733" w:sz="1"/>
              <w:left w:val="single" w:color="1B2733" w:sz="1"/>
              <w:bottom w:val="single" w:color="1B2733" w:sz="1"/>
              <w:right w:val="single" w:color="1B2733" w:sz="1"/>
            </w:tcBorders>
            <w:shd w:fill="1B273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 / mes</w:t>
            </w:r>
          </w:p>
        </w:tc>
        <w:tc>
          <w:tcPr>
            <w:tcW w:type="dxa" w:w="2340"/>
            <w:tcBorders>
              <w:top w:val="single" w:color="1B2733" w:sz="1"/>
              <w:left w:val="single" w:color="1B2733" w:sz="1"/>
              <w:bottom w:val="single" w:color="1B2733" w:sz="1"/>
              <w:right w:val="single" w:color="1B2733" w:sz="1"/>
            </w:tcBorders>
            <w:shd w:fill="1B273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Límite productos</w:t>
            </w:r>
          </w:p>
        </w:tc>
        <w:tc>
          <w:tcPr>
            <w:tcW w:type="dxa" w:w="2340"/>
            <w:tcBorders>
              <w:top w:val="single" w:color="1B2733" w:sz="1"/>
              <w:left w:val="single" w:color="1B2733" w:sz="1"/>
              <w:bottom w:val="single" w:color="1B2733" w:sz="1"/>
              <w:right w:val="single" w:color="1B2733" w:sz="1"/>
            </w:tcBorders>
            <w:shd w:fill="1B273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B2733"/>
                <w:sz w:val="20"/>
                <w:szCs w:val="20"/>
              </w:rPr>
              <w:t xml:space="preserve">Semilla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S/0 (gratis)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 leads</w:t>
            </w:r>
          </w:p>
        </w:tc>
      </w:tr>
      <w:tr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B2733"/>
                <w:sz w:val="20"/>
                <w:szCs w:val="20"/>
              </w:rPr>
              <w:t xml:space="preserve">Emprendedor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S/9.90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Entrada</w:t>
            </w:r>
          </w:p>
        </w:tc>
      </w:tr>
      <w:tr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B2733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S/14.90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 modelos premium</w:t>
            </w:r>
          </w:p>
        </w:tc>
      </w:tr>
      <w:tr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B2733"/>
                <w:sz w:val="20"/>
                <w:szCs w:val="20"/>
              </w:rPr>
              <w:t xml:space="preserve">Ilimitado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S/34.90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  <w:tc>
          <w:tcPr>
            <w:tcW w:type="dxa" w:w="2340"/>
            <w:tcBorders>
              <w:top w:val="single" w:color="DDE3E8" w:sz="1"/>
              <w:left w:val="single" w:color="DDE3E8" w:sz="1"/>
              <w:bottom w:val="single" w:color="DDE3E8" w:sz="1"/>
              <w:right w:val="single" w:color="DDE3E8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Todo incluido</w:t>
            </w:r>
          </w:p>
        </w:tc>
      </w:tr>
    </w:tbl>
    <w:p>
      <w:pPr>
        <w:spacing w:after="120"/>
      </w:pPr>
      <w:r>
        <w:rPr>
          <w:b/>
          <w:bCs/>
          <w:color w:val="1B2733"/>
        </w:rPr>
        <w:t xml:space="preserve">Nota: </w:t>
      </w:r>
      <w:r>
        <w:rPr>
          <w:b w:val="false"/>
          <w:bCs w:val="false"/>
          <w:color w:val="333333"/>
        </w:rPr>
        <w:t xml:space="preserve">hoy el cobro se coordina por WhatsApp, sin pasarela todavía. El precio es informativo y para el cálculo de renovación. Meta Fase 3: 100 clientes = ~S/1,500 MRR.</w:t>
      </w:r>
    </w:p>
    <w:p>
      <w:pPr>
        <w:pStyle w:val="Heading2"/>
      </w:pPr>
      <w:r>
        <w:rPr>
          <w:color w:val="0E7C86"/>
        </w:rPr>
        <w:t xml:space="preserve">4. Motor de crecimiento — PLG (Product-Led Growth)</w:t>
      </w:r>
    </w:p>
    <w:p>
      <w:pPr>
        <w:spacing w:after="120"/>
      </w:pPr>
      <w:r>
        <w:rPr>
          <w:color w:val="333333"/>
        </w:rPr>
        <w:t xml:space="preserve">Desde la versión 1.4, Dizi crece principalmente a través del propio producto, no solo de publicidad pagada. Cada catálogo activo se convierte en un canal de adquisición: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Anuncio nativo + posventa: </w:t>
      </w:r>
      <w:r>
        <w:rPr>
          <w:color w:val="333333"/>
        </w:rPr>
        <w:t xml:space="preserve">cada catálogo público muestra un anuncio nativo de Dizi y, al cerrar una venta, una tarjeta posventa con el enlace de registro del comercio (?ref=slug).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Referidos por tiempo: </w:t>
      </w:r>
      <w:r>
        <w:rPr>
          <w:color w:val="333333"/>
        </w:rPr>
        <w:t xml:space="preserve">el negocio referido recibe 30 días premium gratis; quien lo invitó también recibe 30 días (upgrade automático si está en Semilla, o prórroga si ya paga). El incentivo es tiempo, no efectivo — antes era crédito en soles y se eliminó.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Loop autoalimentado: </w:t>
      </w:r>
      <w:r>
        <w:rPr>
          <w:color w:val="333333"/>
        </w:rPr>
        <w:t xml:space="preserve">más tiendas, más catálogos circulando, más compradores expuestos, más registros. Cada ciclo baja el costo de adquisición.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Operación: </w:t>
      </w:r>
      <w:r>
        <w:rPr>
          <w:color w:val="333333"/>
        </w:rPr>
        <w:t xml:space="preserve">todo gestionable desde el panel /super/referidos: auditoría de referidos y extensión manual de días premium con un clic.</w:t>
      </w:r>
    </w:p>
    <w:p>
      <w:pPr>
        <w:pStyle w:val="Heading2"/>
      </w:pPr>
      <w:r>
        <w:rPr>
          <w:color w:val="0E7C86"/>
        </w:rPr>
        <w:t xml:space="preserve">5. Por qué ahora y por qué Dizi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Mercado: </w:t>
      </w:r>
      <w:r>
        <w:rPr>
          <w:color w:val="333333"/>
        </w:rPr>
        <w:t xml:space="preserve">72% de MYPEs sin herramientas digitales y 39,895 restaurantes solo en Lima = mercado inicial enorme.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Diferenciación: </w:t>
      </w:r>
      <w:r>
        <w:rPr>
          <w:color w:val="333333"/>
        </w:rPr>
        <w:t xml:space="preserve">catálogo + Bio-Link + Libro de Reclamaciones en una sola herramienta, desde S/9.90 — ningún competidor peruano ofrece ese paquete a ese precio.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Tracción: </w:t>
      </w:r>
      <w:r>
        <w:rPr>
          <w:color w:val="333333"/>
        </w:rPr>
        <w:t xml:space="preserve">producto funcional con clientes pagando, stack moderno (React + Supabase) que escala, y loop viral ya operativo.</w:t>
      </w:r>
    </w:p>
    <w:p>
      <w:pPr>
        <w:pStyle w:val="Heading2"/>
      </w:pPr>
      <w:r>
        <w:rPr>
          <w:color w:val="0E7C86"/>
        </w:rPr>
        <w:t xml:space="preserve">6. Próximos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Crecimiento: </w:t>
      </w:r>
      <w:r>
        <w:rPr>
          <w:color w:val="333333"/>
        </w:rPr>
        <w:t xml:space="preserve">medir el coeficiente viral (K) del loop de referidos y optimizar la tarjeta posventa.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Monetización: </w:t>
      </w:r>
      <w:r>
        <w:rPr>
          <w:color w:val="333333"/>
        </w:rPr>
        <w:t xml:space="preserve">integrar Mercado Pago para renovación automática y reducir la gestión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733"/>
        </w:rPr>
        <w:t xml:space="preserve">Operación: </w:t>
      </w:r>
      <w:r>
        <w:rPr>
          <w:color w:val="333333"/>
        </w:rPr>
        <w:t xml:space="preserve">ordenar el panel superadmin para gestionar tiendas a volumen (ver informe de diagnóstico).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A"/>
        <w:sz w:val="16"/>
        <w:szCs w:val="16"/>
      </w:rPr>
      <w:t xml:space="preserve">Dizi · dizi.idenza.site · Catálogos digitales para MYPEs peruanas · Junio 2026 (v1.4)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mbria" w:cs="Cambria" w:eastAsia="Cambria" w:hAnsi="Cambr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2026-06-30T03:13:01.223Z</dcterms:created>
  <dcterms:modified xsi:type="dcterms:W3CDTF">2026-06-30T03:13:01.224Z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