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7B2CBF"/>
          <w:sz w:val="80"/>
          <w:szCs w:val="80"/>
        </w:rPr>
        <w:t xml:space="preserve">IDENZA</w:t>
      </w:r>
    </w:p>
    <w:p>
      <w:pPr>
        <w:spacing w:after="80" w:before="80"/>
        <w:jc w:val="center"/>
      </w:pPr>
      <w:r>
        <w:rPr>
          <w:rFonts w:ascii="Arial" w:cs="Arial" w:eastAsia="Arial" w:hAnsi="Arial"/>
          <w:b/>
          <w:bCs/>
          <w:color w:val="000000"/>
          <w:sz w:val="40"/>
          <w:szCs w:val="40"/>
        </w:rPr>
        <w:t xml:space="preserve">Documento Maestro</w:t>
      </w:r>
    </w:p>
    <w:p>
      <w:pPr>
        <w:spacing w:before="160"/>
        <w:jc w:val="center"/>
      </w:pPr>
      <w:r>
        <w:rPr>
          <w:rFonts w:ascii="Arial" w:cs="Arial" w:eastAsia="Arial" w:hAnsi="Arial"/>
          <w:color w:val="555555"/>
          <w:sz w:val="24"/>
          <w:szCs w:val="24"/>
        </w:rPr>
        <w:t xml:space="preserve">Visión · Productos · Arquitectura Técnica · Modelo de Negocio</w:t>
      </w:r>
    </w:p>
    <w:p>
      <w:r>
        <w:t xml:space="preserve"/>
      </w:r>
    </w:p>
    <w:p>
      <w:pPr>
        <w:spacing w:before="200"/>
        <w:jc w:val="center"/>
      </w:pPr>
      <w:r>
        <w:rPr>
          <w:rFonts w:ascii="Arial" w:cs="Arial" w:eastAsia="Arial" w:hAnsi="Arial"/>
          <w:b/>
          <w:bCs/>
          <w:color w:val="7B2CBF"/>
          <w:sz w:val="22"/>
          <w:szCs w:val="22"/>
        </w:rPr>
        <w:t xml:space="preserve">idenza.site</w:t>
      </w:r>
    </w:p>
    <w:p>
      <w:r>
        <w:t xml:space="preserve"/>
      </w:r>
    </w:p>
    <w:p>
      <w:pPr>
        <w:jc w:val="center"/>
      </w:pPr>
      <w:r>
        <w:rPr>
          <w:rFonts w:ascii="Arial" w:cs="Arial" w:eastAsia="Arial" w:hAnsi="Arial"/>
          <w:color w:val="CCCCCC"/>
          <w:sz w:val="18"/>
          <w:szCs w:val="18"/>
        </w:rPr>
        <w:t xml:space="preserve">Confidencial — Solo uso interno</w:t>
      </w:r>
    </w:p>
    <w:p>
      <w:r>
        <w:br w:type="page"/>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7B2CBF"/>
          <w:sz w:val="36"/>
          <w:szCs w:val="36"/>
        </w:rPr>
        <w:t xml:space="preserve">I. Visión y Misión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B2CBF" w:val="clear"/>
            <w:tcMar>
              <w:top w:type="dxa" w:w="200"/>
              <w:left w:type="dxa" w:w="240"/>
              <w:bottom w:type="dxa" w:w="200"/>
              <w:right w:type="dxa" w:w="240"/>
            </w:tcMar>
          </w:tcPr>
          <w:p>
            <w:r>
              <w:rPr>
                <w:rFonts w:ascii="Arial" w:cs="Arial" w:eastAsia="Arial" w:hAnsi="Arial"/>
                <w:b/>
                <w:bCs/>
                <w:color w:val="CCFF00"/>
                <w:sz w:val="18"/>
                <w:szCs w:val="18"/>
              </w:rPr>
              <w:t xml:space="preserve">VISIÓN</w:t>
            </w:r>
          </w:p>
          <w:p>
            <w:pPr>
              <w:spacing w:before="80"/>
            </w:pPr>
            <w:r>
              <w:rPr>
                <w:rFonts w:ascii="Arial" w:cs="Arial" w:eastAsia="Arial" w:hAnsi="Arial"/>
                <w:color w:val="FFFFFF"/>
                <w:sz w:val="22"/>
                <w:szCs w:val="22"/>
              </w:rPr>
              <w:t xml:space="preserve">Ser el sistema operativo digital de referencia para PYMEs de habla hispana que quieren escalar sin fricción tecnológica.</w:t>
            </w:r>
          </w:p>
        </w:tc>
        <w:tc>
          <w:tcPr>
            <w:tcW w:type="dxa" w:w="4680"/>
            <w:tcBorders>
              <w:top w:val="single" w:color="CCCCCC" w:sz="1"/>
              <w:left w:val="single" w:color="CCCCCC" w:sz="1"/>
              <w:bottom w:val="single" w:color="CCCCCC" w:sz="1"/>
              <w:right w:val="single" w:color="CCCCCC" w:sz="1"/>
            </w:tcBorders>
            <w:shd w:fill="111111" w:val="clear"/>
            <w:tcMar>
              <w:top w:type="dxa" w:w="200"/>
              <w:left w:type="dxa" w:w="240"/>
              <w:bottom w:type="dxa" w:w="200"/>
              <w:right w:type="dxa" w:w="240"/>
            </w:tcMar>
          </w:tcPr>
          <w:p>
            <w:r>
              <w:rPr>
                <w:rFonts w:ascii="Arial" w:cs="Arial" w:eastAsia="Arial" w:hAnsi="Arial"/>
                <w:b/>
                <w:bCs/>
                <w:color w:val="CCFF00"/>
                <w:sz w:val="18"/>
                <w:szCs w:val="18"/>
              </w:rPr>
              <w:t xml:space="preserve">MISIÓN</w:t>
            </w:r>
          </w:p>
          <w:p>
            <w:pPr>
              <w:spacing w:before="80"/>
            </w:pPr>
            <w:r>
              <w:rPr>
                <w:rFonts w:ascii="Arial" w:cs="Arial" w:eastAsia="Arial" w:hAnsi="Arial"/>
                <w:color w:val="FFFFFF"/>
                <w:sz w:val="22"/>
                <w:szCs w:val="22"/>
              </w:rPr>
              <w:t xml:space="preserve">Construir infraestructura digital de alto rendimiento que captura clientes automáticamente y entrega inteligencia de negocio en tiempo real.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E0FF" w:val="clear"/>
            <w:tcMar>
              <w:top w:type="dxa" w:w="100"/>
              <w:left w:type="dxa" w:w="160"/>
              <w:bottom w:type="dxa" w:w="100"/>
              <w:right w:type="dxa" w:w="160"/>
            </w:tcMar>
          </w:tcPr>
          <w:p>
            <w:r>
              <w:rPr>
                <w:rFonts w:ascii="Arial" w:cs="Arial" w:eastAsia="Arial" w:hAnsi="Arial"/>
                <w:b/>
                <w:bCs/>
                <w:color w:val="7B2CBF"/>
                <w:sz w:val="20"/>
                <w:szCs w:val="20"/>
              </w:rPr>
              <w:t xml:space="preserve">Promesa técnica</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Carga &lt; 120ms. Core Web Vitals &gt; 99. Tiempo de instalación del tracker &lt; 1 minuto.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E0FF" w:val="clear"/>
            <w:tcMar>
              <w:top w:type="dxa" w:w="100"/>
              <w:left w:type="dxa" w:w="160"/>
              <w:bottom w:type="dxa" w:w="100"/>
              <w:right w:type="dxa" w:w="160"/>
            </w:tcMar>
          </w:tcPr>
          <w:p>
            <w:r>
              <w:rPr>
                <w:rFonts w:ascii="Arial" w:cs="Arial" w:eastAsia="Arial" w:hAnsi="Arial"/>
                <w:b/>
                <w:bCs/>
                <w:color w:val="7B2CBF"/>
                <w:sz w:val="20"/>
                <w:szCs w:val="20"/>
              </w:rPr>
              <w:t xml:space="preserve">Promesa de negocio</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Tu sitio trabaja mientras duermes: captura leads, analiza visitantes y recibe recomendaciones de IA contextualizadas.</w:t>
            </w:r>
          </w:p>
        </w:tc>
      </w:tr>
    </w:tbl>
    <w:p>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7B2CBF"/>
          <w:sz w:val="36"/>
          <w:szCs w:val="36"/>
        </w:rPr>
        <w:t xml:space="preserve">II. Ecosistema de Productos</w:t>
      </w:r>
    </w:p>
    <w:p>
      <w:pPr>
        <w:spacing w:after="80" w:before="80"/>
      </w:pPr>
      <w:r>
        <w:rPr>
          <w:rFonts w:ascii="Arial" w:cs="Arial" w:eastAsia="Arial" w:hAnsi="Arial"/>
          <w:color w:val="555555"/>
          <w:sz w:val="22"/>
          <w:szCs w:val="22"/>
        </w:rPr>
        <w:t xml:space="preserve">Idenza opera como un ecosistema donde cada producto alimenta al siguiente. La web genera tráfico, el tracker captura datos, el Hub convierte esos datos en inteligencia, la IA convierte esa inteligencia en acción.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Producto</w:t>
            </w:r>
          </w:p>
        </w:tc>
        <w:tc>
          <w:tcPr>
            <w:tcW w:type="dxa" w:w="20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Revenue</w:t>
            </w:r>
          </w:p>
        </w:tc>
        <w:tc>
          <w:tcPr>
            <w:tcW w:type="dxa" w:w="516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 en el ecosistema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Web Lanzamiento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$149 one-time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Punto de entrada al ecosistema. Genera el sitio donde el tracker se instala.</w:t>
            </w:r>
          </w:p>
        </w:tc>
      </w:tr>
      <w:tr>
        <w:tc>
          <w:tcPr>
            <w:tcW w:type="dxa" w:w="2200"/>
            <w:tcBorders>
              <w:top w:val="single" w:color="CCCCCC" w:sz="1"/>
              <w:left w:val="single" w:color="CCCCCC" w:sz="1"/>
              <w:bottom w:val="single" w:color="CCCCCC" w:sz="1"/>
              <w:right w:val="single" w:color="CCCCCC" w:sz="1"/>
            </w:tcBorders>
            <w:shd w:fill="EDE0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Web Crecimiento ★</w:t>
            </w:r>
          </w:p>
        </w:tc>
        <w:tc>
          <w:tcPr>
            <w:tcW w:type="dxa" w:w="2000"/>
            <w:tcBorders>
              <w:top w:val="single" w:color="CCCCCC" w:sz="1"/>
              <w:left w:val="single" w:color="CCCCCC" w:sz="1"/>
              <w:bottom w:val="single" w:color="CCCCCC" w:sz="1"/>
              <w:right w:val="single" w:color="CCCCCC" w:sz="1"/>
            </w:tcBorders>
            <w:shd w:fill="EDE0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$349 one-time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Plan principal. Mayor complejidad = mayor oportunidad de upsell a Hub + consultoría.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Web Dominio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$999 one-time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Clientes enterprise. Relación a largo plazo. Hub incluido en propuesta.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Idenza 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$21/mes recurrente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Motor de retención. Una vez activo, el cliente tiene sus datos históricos aquí. Alta fricción de salida.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Comunidad / Foro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Orgánico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Posicionamiento como referente. Genera leads entrantes sin paid media.</w:t>
            </w:r>
          </w:p>
        </w:tc>
      </w:tr>
    </w:tbl>
    <w:p>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7B2CBF"/>
          <w:sz w:val="36"/>
          <w:szCs w:val="36"/>
        </w:rPr>
        <w:t xml:space="preserve">III. Cómo Está Construido</w:t>
      </w:r>
    </w:p>
    <w:p>
      <w:pPr>
        <w:pStyle w:val="Heading2"/>
        <w:spacing w:after="120" w:before="300"/>
      </w:pPr>
      <w:r>
        <w:rPr>
          <w:rFonts w:ascii="Arial" w:cs="Arial" w:eastAsia="Arial" w:hAnsi="Arial"/>
          <w:b/>
          <w:bCs/>
          <w:color w:val="000000"/>
          <w:sz w:val="28"/>
          <w:szCs w:val="28"/>
        </w:rPr>
        <w:t xml:space="preserve">3.1 Stack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w:t>
            </w:r>
          </w:p>
        </w:tc>
        <w:tc>
          <w:tcPr>
            <w:tcW w:type="dxa" w:w="308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w:t>
            </w:r>
          </w:p>
        </w:tc>
        <w:tc>
          <w:tcPr>
            <w:tcW w:type="dxa" w:w="408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Decisión estratégica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UI</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React 18 + TypeScript + Vite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Velocidad de desarrollo + tipado = menos bugs en producción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Estilos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Tailwind CSS v4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Zero runtime CSS = no impacto en Core Web Vitals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Backend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Supabase (PostgreSQL + RLS)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Multi-tenancy sin servidores propios. Escala sin 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IA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Google Gemini 2.5 Flash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Velocidad + costo óptimo. 250 palabras por respuesta = control de tokens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Deploy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Vercel (Edge Network)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CDN global, CI/CD automático, &lt; 50ms TTFB desde cualquier continente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Tracker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Vanilla JS (~5-10kb)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Sin frameworks = máxima compatibilidad con sitios de clientes de cualquier tech</w:t>
            </w:r>
          </w:p>
        </w:tc>
      </w:tr>
    </w:tbl>
    <w:p>
      <w:r>
        <w:t xml:space="preserve"/>
      </w:r>
    </w:p>
    <w:p>
      <w:pPr>
        <w:pStyle w:val="Heading2"/>
        <w:spacing w:after="120" w:before="300"/>
      </w:pPr>
      <w:r>
        <w:rPr>
          <w:rFonts w:ascii="Arial" w:cs="Arial" w:eastAsia="Arial" w:hAnsi="Arial"/>
          <w:b/>
          <w:bCs/>
          <w:color w:val="000000"/>
          <w:sz w:val="28"/>
          <w:szCs w:val="28"/>
        </w:rPr>
        <w:t xml:space="preserve">3.2 Arquitectura del Hub</w:t>
      </w:r>
    </w:p>
    <w:p>
      <w:pPr>
        <w:spacing w:after="80" w:before="80"/>
      </w:pPr>
      <w:r>
        <w:rPr>
          <w:rFonts w:ascii="Arial" w:cs="Arial" w:eastAsia="Arial" w:hAnsi="Arial"/>
          <w:color w:val="555555"/>
          <w:sz w:val="22"/>
          <w:szCs w:val="22"/>
        </w:rPr>
        <w:t xml:space="preserve">Sistema SaaS multi-tenant. Cada cliente tiene una organización con datos completamente aislados por Row-Level Security en Supabase.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w:t>
            </w:r>
          </w:p>
        </w:tc>
        <w:tc>
          <w:tcPr>
            <w:tcW w:type="dxa" w:w="736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Funcionamiento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Autenticación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Supabase Auth (email/password). Admin detectado por lista de emails. ProtectedRoute redirige automáticamente.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Multi-tenancy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Tabla organization_members vincula user ↔ org. RLS en PostgreSQL garantiza que ningún cliente vea datos de otro.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Tracker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Script JS instalado en el sitio del cliente → envía eventos a POST /v1/track → persiste en tables leads + events + site_snapshots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IA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Gemini 2.5 Flash recibe contexto completo (leads, visitas, brief, snapshots) y responde en español con datos reales del cliente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AdminHub (solo admin) crea orgs vía RPC create_organization(), genera tokens, gestiona clientes, modera contenido</w:t>
            </w:r>
          </w:p>
        </w:tc>
      </w:tr>
    </w:tbl>
    <w:p>
      <w:r>
        <w:t xml:space="preserve"/>
      </w:r>
    </w:p>
    <w:p>
      <w:pPr>
        <w:pStyle w:val="Heading2"/>
        <w:spacing w:after="120" w:before="300"/>
      </w:pPr>
      <w:r>
        <w:rPr>
          <w:rFonts w:ascii="Arial" w:cs="Arial" w:eastAsia="Arial" w:hAnsi="Arial"/>
          <w:b/>
          <w:bCs/>
          <w:color w:val="000000"/>
          <w:sz w:val="28"/>
          <w:szCs w:val="28"/>
        </w:rPr>
        <w:t xml:space="preserve">3.3 Optimización de Rendimiento</w:t>
      </w:r>
    </w:p>
    <w:p>
      <w:pPr>
        <w:pStyle w:val="ListParagraph"/>
        <w:numPr>
          <w:ilvl w:val="0"/>
          <w:numId w:val="2"/>
        </w:numPr>
        <w:spacing w:after="40" w:before="40"/>
      </w:pPr>
      <w:r>
        <w:rPr>
          <w:rFonts w:ascii="Arial" w:cs="Arial" w:eastAsia="Arial" w:hAnsi="Arial"/>
          <w:b w:val="false"/>
          <w:bCs w:val="false"/>
          <w:color w:val="555555"/>
          <w:sz w:val="22"/>
          <w:szCs w:val="22"/>
        </w:rPr>
        <w:t xml:space="preserve">6 chunks de vendor separados: react, motion, charts, supabase, radix, query — cache estable entre deploys</w:t>
      </w:r>
    </w:p>
    <w:p>
      <w:pPr>
        <w:pStyle w:val="ListParagraph"/>
        <w:numPr>
          <w:ilvl w:val="0"/>
          <w:numId w:val="2"/>
        </w:numPr>
        <w:spacing w:after="40" w:before="40"/>
      </w:pPr>
      <w:r>
        <w:rPr>
          <w:rFonts w:ascii="Arial" w:cs="Arial" w:eastAsia="Arial" w:hAnsi="Arial"/>
          <w:b w:val="false"/>
          <w:bCs w:val="false"/>
          <w:color w:val="555555"/>
          <w:sz w:val="22"/>
          <w:szCs w:val="22"/>
        </w:rPr>
        <w:t xml:space="preserve">Fuentes no-bloqueantes: &lt;link media="print"&gt; en lugar de @import CSS — ahorra ~100ms en FCP</w:t>
      </w:r>
    </w:p>
    <w:p>
      <w:pPr>
        <w:pStyle w:val="ListParagraph"/>
        <w:numPr>
          <w:ilvl w:val="0"/>
          <w:numId w:val="2"/>
        </w:numPr>
        <w:spacing w:after="40" w:before="40"/>
      </w:pPr>
      <w:r>
        <w:rPr>
          <w:rFonts w:ascii="Arial" w:cs="Arial" w:eastAsia="Arial" w:hAnsi="Arial"/>
          <w:b w:val="false"/>
          <w:bCs w:val="false"/>
          <w:color w:val="555555"/>
          <w:sz w:val="22"/>
          <w:szCs w:val="22"/>
        </w:rPr>
        <w:t xml:space="preserve">SpotlightBackground lazy, solo en rutas de marketing — no consume GPU en dashboards</w:t>
      </w:r>
    </w:p>
    <w:p>
      <w:pPr>
        <w:pStyle w:val="ListParagraph"/>
        <w:numPr>
          <w:ilvl w:val="0"/>
          <w:numId w:val="2"/>
        </w:numPr>
        <w:spacing w:after="40" w:before="40"/>
      </w:pPr>
      <w:r>
        <w:rPr>
          <w:rFonts w:ascii="Arial" w:cs="Arial" w:eastAsia="Arial" w:hAnsi="Arial"/>
          <w:b w:val="false"/>
          <w:bCs w:val="false"/>
          <w:color w:val="555555"/>
          <w:sz w:val="22"/>
          <w:szCs w:val="22"/>
        </w:rPr>
        <w:t xml:space="preserve">PageLoader sin framer-motion — bundle principal no carga la librería de animaciones</w:t>
      </w:r>
    </w:p>
    <w:p>
      <w:pPr>
        <w:pStyle w:val="ListParagraph"/>
        <w:numPr>
          <w:ilvl w:val="0"/>
          <w:numId w:val="2"/>
        </w:numPr>
        <w:spacing w:after="40" w:before="40"/>
      </w:pPr>
      <w:r>
        <w:rPr>
          <w:rFonts w:ascii="Arial" w:cs="Arial" w:eastAsia="Arial" w:hAnsi="Arial"/>
          <w:b w:val="false"/>
          <w:bCs w:val="false"/>
          <w:color w:val="555555"/>
          <w:sz w:val="22"/>
          <w:szCs w:val="22"/>
        </w:rPr>
        <w:t xml:space="preserve">Index.tsx: HeroSection eager (LCP), 10 secciones below-fold con lazy() + Suspense individual</w:t>
      </w:r>
    </w:p>
    <w:p>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7B2CBF"/>
          <w:sz w:val="36"/>
          <w:szCs w:val="36"/>
        </w:rPr>
        <w:t xml:space="preserve">IV. Cómo Se Vende</w:t>
      </w:r>
    </w:p>
    <w:p>
      <w:pPr>
        <w:pStyle w:val="Heading2"/>
        <w:spacing w:after="120" w:before="300"/>
      </w:pPr>
      <w:r>
        <w:rPr>
          <w:rFonts w:ascii="Arial" w:cs="Arial" w:eastAsia="Arial" w:hAnsi="Arial"/>
          <w:b/>
          <w:bCs/>
          <w:color w:val="000000"/>
          <w:sz w:val="28"/>
          <w:szCs w:val="28"/>
        </w:rPr>
        <w:t xml:space="preserve">4.1 Canal Principal: WhatsApp Directo</w:t>
      </w:r>
    </w:p>
    <w:p>
      <w:pPr>
        <w:spacing w:after="80" w:before="80"/>
      </w:pPr>
      <w:r>
        <w:rPr>
          <w:rFonts w:ascii="Arial" w:cs="Arial" w:eastAsia="Arial" w:hAnsi="Arial"/>
          <w:color w:val="555555"/>
          <w:sz w:val="22"/>
          <w:szCs w:val="22"/>
        </w:rPr>
        <w:t xml:space="preserve">El CTA principal en toda la web (botón flotante + CTAs en hero y planes) abre WhatsApp con mensaje prefijado. El cliente llega calificado — ya vio el precio y el producto.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E0FF" w:val="clear"/>
            <w:tcMar>
              <w:top w:type="dxa" w:w="100"/>
              <w:left w:type="dxa" w:w="160"/>
              <w:bottom w:type="dxa" w:w="100"/>
              <w:right w:type="dxa" w:w="160"/>
            </w:tcMar>
          </w:tcPr>
          <w:p>
            <w:r>
              <w:rPr>
                <w:rFonts w:ascii="Arial" w:cs="Arial" w:eastAsia="Arial" w:hAnsi="Arial"/>
                <w:b/>
                <w:bCs/>
                <w:color w:val="7B2CBF"/>
                <w:sz w:val="20"/>
                <w:szCs w:val="20"/>
              </w:rPr>
              <w:t xml:space="preserve">Número</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+51 921 585 977 (Perú)</w:t>
            </w:r>
          </w:p>
        </w:tc>
      </w:tr>
    </w:tbl>
    <w:p>
      <w:r>
        <w:t xml:space="preserve"/>
      </w:r>
    </w:p>
    <w:p>
      <w:pPr>
        <w:pStyle w:val="Heading2"/>
        <w:spacing w:after="120" w:before="300"/>
      </w:pPr>
      <w:r>
        <w:rPr>
          <w:rFonts w:ascii="Arial" w:cs="Arial" w:eastAsia="Arial" w:hAnsi="Arial"/>
          <w:b/>
          <w:bCs/>
          <w:color w:val="000000"/>
          <w:sz w:val="28"/>
          <w:szCs w:val="28"/>
        </w:rPr>
        <w:t xml:space="preserve">4.2 Embudo de Conversión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Etapa</w:t>
            </w:r>
          </w:p>
        </w:tc>
        <w:tc>
          <w:tcPr>
            <w:tcW w:type="dxa" w:w="30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Touchpoint</w:t>
            </w:r>
          </w:p>
        </w:tc>
        <w:tc>
          <w:tcPr>
            <w:tcW w:type="dxa" w:w="496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Mecánica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1. Atracción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/comunidad, portafolio, referidos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Contenido editorial + casos de éxito con métricas reales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2. Consideración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/planes + /proyectos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Comparativa de planes + portfolio. Cupón IDENZA10 visible.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3. Urgencia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Cupón IDEN20ZA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20% descuento con timer de 10 minutos. Activa escasez percibida.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4. Cierre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WhatsApp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Conversación directa. Sin carrito. Sin fricción de pago.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5. Activación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AdminHub → Hub onboarding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Admin crea org, genera token, envía credenciales. Cliente en el Hub en &lt; 1 día.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6. Retención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Dashboard diario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El cliente ve sus leads cada día. El Hub se convierte en rutina de trabajo.</w:t>
            </w:r>
          </w:p>
        </w:tc>
      </w:tr>
    </w:tbl>
    <w:p>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7B2CBF"/>
          <w:sz w:val="36"/>
          <w:szCs w:val="36"/>
        </w:rPr>
        <w:t xml:space="preserve">V. El Flywheel de Idenza</w:t>
      </w:r>
    </w:p>
    <w:p>
      <w:pPr>
        <w:spacing w:after="80" w:before="80"/>
      </w:pPr>
      <w:r>
        <w:rPr>
          <w:rFonts w:ascii="Arial" w:cs="Arial" w:eastAsia="Arial" w:hAnsi="Arial"/>
          <w:color w:val="555555"/>
          <w:sz w:val="22"/>
          <w:szCs w:val="22"/>
        </w:rPr>
        <w:t xml:space="preserve">Cada elemento del negocio refuerza a los demás. Este es el efecto volante que genera crecimiento compuesto sin incremento proporcional de costos: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6860"/>
      </w:tblGrid>
      <w:tr>
        <w:tc>
          <w:tcPr>
            <w:tcW w:type="dxa" w:w="300"/>
            <w:tcBorders>
              <w:top w:val="none" w:color="FFFFFF" w:sz="0"/>
              <w:left w:val="none" w:color="FFFFFF" w:sz="0"/>
              <w:bottom w:val="none" w:color="FFFFFF" w:sz="0"/>
              <w:right w:val="none" w:color="FFFFFF" w:sz="0"/>
            </w:tcBorders>
          </w:tcPr>
          <w:p>
            <w:r>
              <w:t xml:space="preserve"/>
            </w:r>
          </w:p>
        </w:tc>
        <w:tc>
          <w:tcPr>
            <w:tcW w:type="dxa" w:w="2200"/>
            <w:tcBorders>
              <w:top w:val="single" w:color="CCCCCC" w:sz="1"/>
              <w:left w:val="single" w:color="CCCCCC" w:sz="1"/>
              <w:bottom w:val="single" w:color="CCCCCC" w:sz="1"/>
              <w:right w:val="single" w:color="CCCCCC" w:sz="1"/>
            </w:tcBorders>
            <w:shd w:fill="7B2CBF" w:val="clear"/>
            <w:tcMar>
              <w:top w:type="dxa" w:w="100"/>
              <w:left w:type="dxa" w:w="160"/>
              <w:bottom w:type="dxa" w:w="100"/>
              <w:right w:type="dxa" w:w="160"/>
            </w:tcMar>
          </w:tcPr>
          <w:p>
            <w:r>
              <w:rPr>
                <w:rFonts w:ascii="Arial" w:cs="Arial" w:eastAsia="Arial" w:hAnsi="Arial"/>
                <w:b/>
                <w:bCs/>
                <w:color w:val="FFFFFF"/>
                <w:sz w:val="20"/>
                <w:szCs w:val="20"/>
              </w:rPr>
              <w:t xml:space="preserve">Web entregada</w:t>
            </w:r>
          </w:p>
        </w:tc>
        <w:tc>
          <w:tcPr>
            <w:tcW w:type="dxa" w:w="6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El cliente tiene un sitio de alto rendimiento. Empieza a atraer tráfico.</w:t>
            </w:r>
          </w:p>
        </w:tc>
      </w:tr>
      <w:tr>
        <w:tc>
          <w:tcPr>
            <w:tcW w:type="dxa" w:w="300"/>
            <w:tcBorders>
              <w:top w:val="none" w:color="FFFFFF" w:sz="0"/>
              <w:left w:val="none" w:color="FFFFFF" w:sz="0"/>
              <w:bottom w:val="none" w:color="FFFFFF" w:sz="0"/>
              <w:right w:val="none" w:color="FFFFFF" w:sz="0"/>
            </w:tcBorders>
          </w:tcPr>
          <w:p>
            <w:r>
              <w:t xml:space="preserve"/>
            </w:r>
          </w:p>
        </w:tc>
        <w:tc>
          <w:tcPr>
            <w:tcW w:type="dxa" w:w="2200"/>
            <w:tcBorders>
              <w:top w:val="single" w:color="CCCCCC" w:sz="1"/>
              <w:left w:val="single" w:color="CCCCCC" w:sz="1"/>
              <w:bottom w:val="single" w:color="CCCCCC" w:sz="1"/>
              <w:right w:val="single" w:color="CCCCCC" w:sz="1"/>
            </w:tcBorders>
            <w:shd w:fill="2A2A2A" w:val="clear"/>
            <w:tcMar>
              <w:top w:type="dxa" w:w="100"/>
              <w:left w:type="dxa" w:w="160"/>
              <w:bottom w:type="dxa" w:w="100"/>
              <w:right w:type="dxa" w:w="160"/>
            </w:tcMar>
          </w:tcPr>
          <w:p>
            <w:r>
              <w:rPr>
                <w:rFonts w:ascii="Arial" w:cs="Arial" w:eastAsia="Arial" w:hAnsi="Arial"/>
                <w:b/>
                <w:bCs/>
                <w:color w:val="FFFFFF"/>
                <w:sz w:val="20"/>
                <w:szCs w:val="20"/>
              </w:rPr>
              <w:t xml:space="preserve">Tracker activo</w:t>
            </w:r>
          </w:p>
        </w:tc>
        <w:tc>
          <w:tcPr>
            <w:tcW w:type="dxa" w:w="6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Los visitantes se convierten en leads automáticamente. Sin formularios manuales.</w:t>
            </w:r>
          </w:p>
        </w:tc>
      </w:tr>
      <w:tr>
        <w:tc>
          <w:tcPr>
            <w:tcW w:type="dxa" w:w="300"/>
            <w:tcBorders>
              <w:top w:val="none" w:color="FFFFFF" w:sz="0"/>
              <w:left w:val="none" w:color="FFFFFF" w:sz="0"/>
              <w:bottom w:val="none" w:color="FFFFFF" w:sz="0"/>
              <w:right w:val="none" w:color="FFFFFF" w:sz="0"/>
            </w:tcBorders>
          </w:tcPr>
          <w:p>
            <w:r>
              <w:t xml:space="preserve"/>
            </w:r>
          </w:p>
        </w:tc>
        <w:tc>
          <w:tcPr>
            <w:tcW w:type="dxa" w:w="2200"/>
            <w:tcBorders>
              <w:top w:val="single" w:color="CCCCCC" w:sz="1"/>
              <w:left w:val="single" w:color="CCCCCC" w:sz="1"/>
              <w:bottom w:val="single" w:color="CCCCCC" w:sz="1"/>
              <w:right w:val="single" w:color="CCCCCC" w:sz="1"/>
            </w:tcBorders>
            <w:shd w:fill="2A2A2A" w:val="clear"/>
            <w:tcMar>
              <w:top w:type="dxa" w:w="100"/>
              <w:left w:type="dxa" w:w="160"/>
              <w:bottom w:type="dxa" w:w="100"/>
              <w:right w:type="dxa" w:w="160"/>
            </w:tcMar>
          </w:tcPr>
          <w:p>
            <w:r>
              <w:rPr>
                <w:rFonts w:ascii="Arial" w:cs="Arial" w:eastAsia="Arial" w:hAnsi="Arial"/>
                <w:b/>
                <w:bCs/>
                <w:color w:val="FFFFFF"/>
                <w:sz w:val="20"/>
                <w:szCs w:val="20"/>
              </w:rPr>
              <w:t xml:space="preserve">Hub con datos reales</w:t>
            </w:r>
          </w:p>
        </w:tc>
        <w:tc>
          <w:tcPr>
            <w:tcW w:type="dxa" w:w="6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El cliente ve leads, ciudades, páginas. Revisa el dashboard diariamente.</w:t>
            </w:r>
          </w:p>
        </w:tc>
      </w:tr>
      <w:tr>
        <w:tc>
          <w:tcPr>
            <w:tcW w:type="dxa" w:w="300"/>
            <w:tcBorders>
              <w:top w:val="none" w:color="FFFFFF" w:sz="0"/>
              <w:left w:val="none" w:color="FFFFFF" w:sz="0"/>
              <w:bottom w:val="none" w:color="FFFFFF" w:sz="0"/>
              <w:right w:val="none" w:color="FFFFFF" w:sz="0"/>
            </w:tcBorders>
          </w:tcPr>
          <w:p>
            <w:r>
              <w:t xml:space="preserve"/>
            </w:r>
          </w:p>
        </w:tc>
        <w:tc>
          <w:tcPr>
            <w:tcW w:type="dxa" w:w="2200"/>
            <w:tcBorders>
              <w:top w:val="single" w:color="CCCCCC" w:sz="1"/>
              <w:left w:val="single" w:color="CCCCCC" w:sz="1"/>
              <w:bottom w:val="single" w:color="CCCCCC" w:sz="1"/>
              <w:right w:val="single" w:color="CCCCCC" w:sz="1"/>
            </w:tcBorders>
            <w:shd w:fill="3D3D3D" w:val="clear"/>
            <w:tcMar>
              <w:top w:type="dxa" w:w="100"/>
              <w:left w:type="dxa" w:w="160"/>
              <w:bottom w:type="dxa" w:w="100"/>
              <w:right w:type="dxa" w:w="160"/>
            </w:tcMar>
          </w:tcPr>
          <w:p>
            <w:r>
              <w:rPr>
                <w:rFonts w:ascii="Arial" w:cs="Arial" w:eastAsia="Arial" w:hAnsi="Arial"/>
                <w:b/>
                <w:bCs/>
                <w:color w:val="CCFF00"/>
                <w:sz w:val="20"/>
                <w:szCs w:val="20"/>
              </w:rPr>
              <w:t xml:space="preserve">IA con contexto</w:t>
            </w:r>
          </w:p>
        </w:tc>
        <w:tc>
          <w:tcPr>
            <w:tcW w:type="dxa" w:w="68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El asesor IA recomienda mejoras reales: "tu página /servicios convierte 3x más que /inicio".</w:t>
            </w:r>
          </w:p>
        </w:tc>
      </w:tr>
      <w:tr>
        <w:tc>
          <w:tcPr>
            <w:tcW w:type="dxa" w:w="300"/>
            <w:tcBorders>
              <w:top w:val="none" w:color="FFFFFF" w:sz="0"/>
              <w:left w:val="none" w:color="FFFFFF" w:sz="0"/>
              <w:bottom w:val="none" w:color="FFFFFF" w:sz="0"/>
              <w:right w:val="none" w:color="FFFFFF" w:sz="0"/>
            </w:tcBorders>
          </w:tcPr>
          <w:p>
            <w:r>
              <w:t xml:space="preserve"/>
            </w:r>
          </w:p>
        </w:tc>
        <w:tc>
          <w:tcPr>
            <w:tcW w:type="dxa" w:w="2200"/>
            <w:tcBorders>
              <w:top w:val="single" w:color="CCCCCC" w:sz="1"/>
              <w:left w:val="single" w:color="CCCCCC" w:sz="1"/>
              <w:bottom w:val="single" w:color="CCCCCC" w:sz="1"/>
              <w:right w:val="single" w:color="CCCCCC" w:sz="1"/>
            </w:tcBorders>
            <w:shd w:fill="7B2CBF" w:val="clear"/>
            <w:tcMar>
              <w:top w:type="dxa" w:w="100"/>
              <w:left w:type="dxa" w:w="160"/>
              <w:bottom w:type="dxa" w:w="100"/>
              <w:right w:type="dxa" w:w="160"/>
            </w:tcMar>
          </w:tcPr>
          <w:p>
            <w:r>
              <w:rPr>
                <w:rFonts w:ascii="Arial" w:cs="Arial" w:eastAsia="Arial" w:hAnsi="Arial"/>
                <w:b/>
                <w:bCs/>
                <w:color w:val="FFFFFF"/>
                <w:sz w:val="20"/>
                <w:szCs w:val="20"/>
              </w:rPr>
              <w:t xml:space="preserve">Nuevo proyecto</w:t>
            </w:r>
          </w:p>
        </w:tc>
        <w:tc>
          <w:tcPr>
            <w:tcW w:type="dxa" w:w="6860"/>
            <w:tcBorders>
              <w:top w:val="single" w:color="CCCCCC" w:sz="1"/>
              <w:left w:val="single" w:color="CCCCCC" w:sz="1"/>
              <w:bottom w:val="single" w:color="CCCCCC" w:sz="1"/>
              <w:right w:val="single" w:color="CCCCCC" w:sz="1"/>
            </w:tcBorders>
            <w:shd w:fill="EDE0FF" w:val="clear"/>
            <w:tcMar>
              <w:top w:type="dxa" w:w="100"/>
              <w:left w:type="dxa" w:w="160"/>
              <w:bottom w:type="dxa" w:w="100"/>
              <w:right w:type="dxa" w:w="160"/>
            </w:tcMar>
          </w:tcPr>
          <w:p>
            <w:r>
              <w:rPr>
                <w:rFonts w:ascii="Arial" w:cs="Arial" w:eastAsia="Arial" w:hAnsi="Arial"/>
                <w:b/>
                <w:bCs/>
                <w:color w:val="7B2CBF"/>
                <w:sz w:val="20"/>
                <w:szCs w:val="20"/>
              </w:rPr>
              <w:t xml:space="preserve">El cliente contrata mejoras. El ciclo se reinicia con más datos y más revenue.</w:t>
            </w:r>
          </w:p>
        </w:tc>
      </w:tr>
    </w:tbl>
    <w:p>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7B2CBF"/>
          <w:sz w:val="36"/>
          <w:szCs w:val="36"/>
        </w:rPr>
        <w:t xml:space="preserve">VI. Operaciones del Sistema</w:t>
      </w:r>
    </w:p>
    <w:p>
      <w:pPr>
        <w:pStyle w:val="Heading2"/>
        <w:spacing w:after="120" w:before="300"/>
      </w:pPr>
      <w:r>
        <w:rPr>
          <w:rFonts w:ascii="Arial" w:cs="Arial" w:eastAsia="Arial" w:hAnsi="Arial"/>
          <w:b/>
          <w:bCs/>
          <w:color w:val="000000"/>
          <w:sz w:val="28"/>
          <w:szCs w:val="28"/>
        </w:rPr>
        <w:t xml:space="preserve">6.1 Admin — Flujo Diario</w:t>
      </w:r>
    </w:p>
    <w:p>
      <w:pPr>
        <w:pStyle w:val="ListParagraph"/>
        <w:numPr>
          <w:ilvl w:val="0"/>
          <w:numId w:val="2"/>
        </w:numPr>
        <w:spacing w:after="40" w:before="40"/>
      </w:pPr>
      <w:r>
        <w:rPr>
          <w:rFonts w:ascii="Arial" w:cs="Arial" w:eastAsia="Arial" w:hAnsi="Arial"/>
          <w:b w:val="false"/>
          <w:bCs w:val="false"/>
          <w:color w:val="555555"/>
          <w:sz w:val="22"/>
          <w:szCs w:val="22"/>
        </w:rPr>
        <w:t xml:space="preserve">Revisar AdminHub: nuevos leads globales, proyectos activos, clientes recientes</w:t>
      </w:r>
    </w:p>
    <w:p>
      <w:pPr>
        <w:pStyle w:val="ListParagraph"/>
        <w:numPr>
          <w:ilvl w:val="0"/>
          <w:numId w:val="2"/>
        </w:numPr>
        <w:spacing w:after="40" w:before="40"/>
      </w:pPr>
      <w:r>
        <w:rPr>
          <w:rFonts w:ascii="Arial" w:cs="Arial" w:eastAsia="Arial" w:hAnsi="Arial"/>
          <w:b w:val="false"/>
          <w:bCs w:val="false"/>
          <w:color w:val="555555"/>
          <w:sz w:val="22"/>
          <w:szCs w:val="22"/>
        </w:rPr>
        <w:t xml:space="preserve">Crear/gestionar orgs cuando llega un cliente nuevo</w:t>
      </w:r>
    </w:p>
    <w:p>
      <w:pPr>
        <w:pStyle w:val="ListParagraph"/>
        <w:numPr>
          <w:ilvl w:val="0"/>
          <w:numId w:val="2"/>
        </w:numPr>
        <w:spacing w:after="40" w:before="40"/>
      </w:pPr>
      <w:r>
        <w:rPr>
          <w:rFonts w:ascii="Arial" w:cs="Arial" w:eastAsia="Arial" w:hAnsi="Arial"/>
          <w:b w:val="false"/>
          <w:bCs w:val="false"/>
          <w:color w:val="555555"/>
          <w:sz w:val="22"/>
          <w:szCs w:val="22"/>
        </w:rPr>
        <w:t xml:space="preserve">Moderar contenido de /comunidad y responder posts relevantes</w:t>
      </w:r>
    </w:p>
    <w:p>
      <w:pPr>
        <w:pStyle w:val="ListParagraph"/>
        <w:numPr>
          <w:ilvl w:val="0"/>
          <w:numId w:val="2"/>
        </w:numPr>
        <w:spacing w:after="40" w:before="40"/>
      </w:pPr>
      <w:r>
        <w:rPr>
          <w:rFonts w:ascii="Arial" w:cs="Arial" w:eastAsia="Arial" w:hAnsi="Arial"/>
          <w:b w:val="false"/>
          <w:bCs w:val="false"/>
          <w:color w:val="555555"/>
          <w:sz w:val="22"/>
          <w:szCs w:val="22"/>
        </w:rPr>
        <w:t xml:space="preserve">Monitorear eventos_count por org — si una org tiene 0 eventos pasada 1 semana, el tracker puede no estar instalado</w:t>
      </w:r>
    </w:p>
    <w:p>
      <w:r>
        <w:t xml:space="preserve"/>
      </w:r>
    </w:p>
    <w:p>
      <w:pPr>
        <w:pStyle w:val="Heading2"/>
        <w:spacing w:after="120" w:before="300"/>
      </w:pPr>
      <w:r>
        <w:rPr>
          <w:rFonts w:ascii="Arial" w:cs="Arial" w:eastAsia="Arial" w:hAnsi="Arial"/>
          <w:b/>
          <w:bCs/>
          <w:color w:val="000000"/>
          <w:sz w:val="28"/>
          <w:szCs w:val="28"/>
        </w:rPr>
        <w:t xml:space="preserve">6.2 Cliente — Flujo Ideal</w:t>
      </w:r>
    </w:p>
    <w:p>
      <w:pPr>
        <w:pStyle w:val="ListParagraph"/>
        <w:numPr>
          <w:ilvl w:val="0"/>
          <w:numId w:val="2"/>
        </w:numPr>
        <w:spacing w:after="40" w:before="40"/>
      </w:pPr>
      <w:r>
        <w:rPr>
          <w:rFonts w:ascii="Arial" w:cs="Arial" w:eastAsia="Arial" w:hAnsi="Arial"/>
          <w:b w:val="false"/>
          <w:bCs w:val="false"/>
          <w:color w:val="555555"/>
          <w:sz w:val="22"/>
          <w:szCs w:val="22"/>
        </w:rPr>
        <w:t xml:space="preserve">Accede al Hub en /hub/login con sus credenciales</w:t>
      </w:r>
    </w:p>
    <w:p>
      <w:pPr>
        <w:pStyle w:val="ListParagraph"/>
        <w:numPr>
          <w:ilvl w:val="0"/>
          <w:numId w:val="2"/>
        </w:numPr>
        <w:spacing w:after="40" w:before="40"/>
      </w:pPr>
      <w:r>
        <w:rPr>
          <w:rFonts w:ascii="Arial" w:cs="Arial" w:eastAsia="Arial" w:hAnsi="Arial"/>
          <w:b w:val="false"/>
          <w:bCs w:val="false"/>
          <w:color w:val="555555"/>
          <w:sz w:val="22"/>
          <w:szCs w:val="22"/>
        </w:rPr>
        <w:t xml:space="preserve">Revisa leads nuevos (tab "leads") y actualiza estados (new → contacted → closed)</w:t>
      </w:r>
    </w:p>
    <w:p>
      <w:pPr>
        <w:pStyle w:val="ListParagraph"/>
        <w:numPr>
          <w:ilvl w:val="0"/>
          <w:numId w:val="2"/>
        </w:numPr>
        <w:spacing w:after="40" w:before="40"/>
      </w:pPr>
      <w:r>
        <w:rPr>
          <w:rFonts w:ascii="Arial" w:cs="Arial" w:eastAsia="Arial" w:hAnsi="Arial"/>
          <w:b w:val="false"/>
          <w:bCs w:val="false"/>
          <w:color w:val="555555"/>
          <w:sz w:val="22"/>
          <w:szCs w:val="22"/>
        </w:rPr>
        <w:t xml:space="preserve">Consulta al asesor IA si tiene dudas estratégicas</w:t>
      </w:r>
    </w:p>
    <w:p>
      <w:pPr>
        <w:pStyle w:val="ListParagraph"/>
        <w:numPr>
          <w:ilvl w:val="0"/>
          <w:numId w:val="2"/>
        </w:numPr>
        <w:spacing w:after="40" w:before="40"/>
      </w:pPr>
      <w:r>
        <w:rPr>
          <w:rFonts w:ascii="Arial" w:cs="Arial" w:eastAsia="Arial" w:hAnsi="Arial"/>
          <w:b w:val="false"/>
          <w:bCs w:val="false"/>
          <w:color w:val="555555"/>
          <w:sz w:val="22"/>
          <w:szCs w:val="22"/>
        </w:rPr>
        <w:t xml:space="preserve">Rellena o actualiza el Business Brief para mejorar las respuestas de la IA</w:t>
      </w:r>
    </w:p>
    <w:p>
      <w:pPr>
        <w:pStyle w:val="ListParagraph"/>
        <w:numPr>
          <w:ilvl w:val="0"/>
          <w:numId w:val="2"/>
        </w:numPr>
        <w:spacing w:after="40" w:before="40"/>
      </w:pPr>
      <w:r>
        <w:rPr>
          <w:rFonts w:ascii="Arial" w:cs="Arial" w:eastAsia="Arial" w:hAnsi="Arial"/>
          <w:b w:val="false"/>
          <w:bCs w:val="false"/>
          <w:color w:val="555555"/>
          <w:sz w:val="22"/>
          <w:szCs w:val="22"/>
        </w:rPr>
        <w:t xml:space="preserve">Corre un Web Audit periódico para identificar mejoras en su sitio</w:t>
      </w:r>
    </w:p>
    <w:p>
      <w:r>
        <w:t xml:space="preserve"/>
      </w:r>
    </w:p>
    <w:p>
      <w:pPr>
        <w:pStyle w:val="Heading2"/>
        <w:spacing w:after="120" w:before="300"/>
      </w:pPr>
      <w:r>
        <w:rPr>
          <w:rFonts w:ascii="Arial" w:cs="Arial" w:eastAsia="Arial" w:hAnsi="Arial"/>
          <w:b/>
          <w:bCs/>
          <w:color w:val="000000"/>
          <w:sz w:val="28"/>
          <w:szCs w:val="28"/>
        </w:rPr>
        <w:t xml:space="preserve">6.3 Seguridad Operativa</w:t>
      </w:r>
    </w:p>
    <w:p>
      <w:pPr>
        <w:pStyle w:val="ListParagraph"/>
        <w:numPr>
          <w:ilvl w:val="0"/>
          <w:numId w:val="2"/>
        </w:numPr>
        <w:spacing w:after="40" w:before="40"/>
      </w:pPr>
      <w:r>
        <w:rPr>
          <w:rFonts w:ascii="Arial" w:cs="Arial" w:eastAsia="Arial" w:hAnsi="Arial"/>
          <w:b w:val="false"/>
          <w:bCs w:val="false"/>
          <w:color w:val="555555"/>
          <w:sz w:val="22"/>
          <w:szCs w:val="22"/>
        </w:rPr>
        <w:t xml:space="preserve">ADMIN_SECRET rotarlo cada 90 días — está en todas las RPCs de escritura</w:t>
      </w:r>
    </w:p>
    <w:p>
      <w:pPr>
        <w:pStyle w:val="ListParagraph"/>
        <w:numPr>
          <w:ilvl w:val="0"/>
          <w:numId w:val="2"/>
        </w:numPr>
        <w:spacing w:after="40" w:before="40"/>
      </w:pPr>
      <w:r>
        <w:rPr>
          <w:rFonts w:ascii="Arial" w:cs="Arial" w:eastAsia="Arial" w:hAnsi="Arial"/>
          <w:b w:val="false"/>
          <w:bCs w:val="false"/>
          <w:color w:val="555555"/>
          <w:sz w:val="22"/>
          <w:szCs w:val="22"/>
        </w:rPr>
        <w:t xml:space="preserve">GEMINI_KEY: migrar a Vercel Edge Function cuando el uso supere ~10.000 peticiones/mes</w:t>
      </w:r>
    </w:p>
    <w:p>
      <w:pPr>
        <w:pStyle w:val="ListParagraph"/>
        <w:numPr>
          <w:ilvl w:val="0"/>
          <w:numId w:val="2"/>
        </w:numPr>
        <w:spacing w:after="40" w:before="40"/>
      </w:pPr>
      <w:r>
        <w:rPr>
          <w:rFonts w:ascii="Arial" w:cs="Arial" w:eastAsia="Arial" w:hAnsi="Arial"/>
          <w:b w:val="false"/>
          <w:bCs w:val="false"/>
          <w:color w:val="555555"/>
          <w:sz w:val="22"/>
          <w:szCs w:val="22"/>
        </w:rPr>
        <w:t xml:space="preserve">SERVICE_ROLE_KEY: nunca exponer en código del cliente — solo en AdminHub</w:t>
      </w:r>
    </w:p>
    <w:p>
      <w:pPr>
        <w:pStyle w:val="ListParagraph"/>
        <w:numPr>
          <w:ilvl w:val="0"/>
          <w:numId w:val="2"/>
        </w:numPr>
        <w:spacing w:after="40" w:before="40"/>
      </w:pPr>
      <w:r>
        <w:rPr>
          <w:rFonts w:ascii="Arial" w:cs="Arial" w:eastAsia="Arial" w:hAnsi="Arial"/>
          <w:b w:val="false"/>
          <w:bCs w:val="false"/>
          <w:color w:val="555555"/>
          <w:sz w:val="22"/>
          <w:szCs w:val="22"/>
        </w:rPr>
        <w:t xml:space="preserve">Backup automático de Supabase: configurar point-in-time recovery en el dashboard</w:t>
      </w:r>
    </w:p>
    <w:p>
      <w:r>
        <w:t xml:space="preserve"/>
      </w:r>
    </w:p>
    <w:p>
      <w:pPr>
        <w:pBdr>
          <w:bottom w:val="single" w:color="CCCCCC" w:sz="4"/>
        </w:pBdr>
        <w:spacing w:after="200" w:before="200"/>
      </w:pPr>
      <w:r>
        <w:t xml:space="preserve"/>
      </w:r>
    </w:p>
    <w:p>
      <w:pPr>
        <w:pStyle w:val="Heading1"/>
        <w:spacing w:after="200" w:before="400"/>
      </w:pPr>
      <w:r>
        <w:rPr>
          <w:rFonts w:ascii="Arial" w:cs="Arial" w:eastAsia="Arial" w:hAnsi="Arial"/>
          <w:b/>
          <w:bCs/>
          <w:color w:val="7B2CBF"/>
          <w:sz w:val="36"/>
          <w:szCs w:val="36"/>
        </w:rPr>
        <w:t xml:space="preserve">VII. Próximos Pasos Sugeridos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c>
          <w:tcPr>
            <w:tcW w:type="dxa" w:w="240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Iniciativa</w:t>
            </w:r>
          </w:p>
        </w:tc>
        <w:tc>
          <w:tcPr>
            <w:tcW w:type="dxa" w:w="5760"/>
            <w:tcBorders>
              <w:top w:val="single" w:color="CCCCCC" w:sz="1"/>
              <w:left w:val="single" w:color="CCCCCC" w:sz="1"/>
              <w:bottom w:val="single" w:color="CCCCCC" w:sz="1"/>
              <w:right w:val="single" w:color="CCCCCC" w:sz="1"/>
            </w:tcBorders>
            <w:shd w:fill="7B2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 esperado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Rotar ADMIN_SECRET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Seguridad crítica — credencial hardcodeada en código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Migrar GEMINI_KEY a Edge Function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Elimina exposición de API key en frontend a cualquier usuario que inspeccione la red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Sistema de alertas de leads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Notificación por email/WhatsApp cuando llega un nuevo lead → reduce tiempo de respuesta del cliente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Dashboard Idenza propio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Métricas de negocio de Idenza: MRR, clientes activos, ARR — visibilidad interna del crecimiento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Plan Hub anual con descuento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$21/mes × 12 = $252 vs $200/año (21% descuento) → mejora retención y cash flow anticipado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Multi-proyecto por cliente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Clientes grandes con múltiples sitios — permite escalar ticket promedio sin adquirir nuevos clientes</w:t>
            </w:r>
          </w:p>
        </w:tc>
      </w:tr>
    </w:tbl>
    <w:p>
      <w:r>
        <w:t xml:space="preserve"/>
      </w:r>
    </w:p>
    <w:p>
      <w:r>
        <w:t xml:space="preserve"/>
      </w:r>
    </w:p>
    <w:p>
      <w:pPr>
        <w:spacing w:before="400"/>
        <w:jc w:val="center"/>
      </w:pPr>
      <w:r>
        <w:rPr>
          <w:rFonts w:ascii="Arial" w:cs="Arial" w:eastAsia="Arial" w:hAnsi="Arial"/>
          <w:i/>
          <w:iCs/>
          <w:color w:val="CCCCCC"/>
          <w:sz w:val="20"/>
          <w:szCs w:val="20"/>
        </w:rPr>
        <w:t xml:space="preserve">— Documento Maestro — idenza.site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555555"/>
        <w:sz w:val="16"/>
        <w:szCs w:val="16"/>
      </w:rPr>
      <w:t xml:space="preserve">idenza.site  |  Confidencial</w:t>
    </w:r>
    <w:r>
      <w:rPr>
        <w:rFonts w:ascii="Arial" w:cs="Arial" w:eastAsia="Arial" w:hAnsi="Arial"/>
        <w:color w:val="555555"/>
        <w:sz w:val="16"/>
        <w:szCs w:val="16"/>
      </w:rPr>
      <w:t xml:space="preserve">     Pág.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CBF" w:sz="4"/>
      </w:pBdr>
    </w:pPr>
    <w:r>
      <w:rPr>
        <w:rFonts w:ascii="Arial" w:cs="Arial" w:eastAsia="Arial" w:hAnsi="Arial"/>
        <w:b/>
        <w:bCs/>
        <w:color w:val="7B2CBF"/>
        <w:sz w:val="18"/>
        <w:szCs w:val="18"/>
      </w:rPr>
      <w:t xml:space="preserve">IDENZA</w:t>
    </w:r>
    <w:r>
      <w:rPr>
        <w:rFonts w:ascii="Arial" w:cs="Arial" w:eastAsia="Arial" w:hAnsi="Arial"/>
        <w:color w:val="555555"/>
        <w:sz w:val="18"/>
        <w:szCs w:val="18"/>
      </w:rPr>
      <w:t xml:space="preserve">  |  Documento Maestro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B2CB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2026-04-15T20:24:50.829Z</dcterms:created>
  <dcterms:modified xsi:type="dcterms:W3CDTF">2026-04-15T20:24:50.829Z</dcterms:modified>
</cp:coreProperties>
</file>

<file path=docProps/custom.xml><?xml version="1.0" encoding="utf-8"?>
<Properties xmlns="http://schemas.openxmlformats.org/officeDocument/2006/custom-properties" xmlns:vt="http://schemas.openxmlformats.org/officeDocument/2006/docPropsVTypes"/>
</file>