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750F8">
      <w:pPr>
        <w:ind w:firstLine="42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代码采用</w:t>
      </w:r>
      <w:r>
        <w:rPr>
          <w:rFonts w:ascii="宋体" w:hAnsi="宋体" w:eastAsia="宋体" w:cs="宋体"/>
          <w:sz w:val="24"/>
          <w:szCs w:val="24"/>
        </w:rPr>
        <w:t>基于YOLOv11姿态估计模型，实现人体弯腰动作的自动识别。系统首先对输入视频逐帧进行解析，利用YOLOv11 Pose模型检测人体17个关键点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</w:t>
      </w:r>
      <w:r>
        <w:rPr>
          <w:rFonts w:ascii="宋体" w:hAnsi="宋体" w:eastAsia="宋体" w:cs="宋体"/>
          <w:sz w:val="24"/>
          <w:szCs w:val="24"/>
        </w:rPr>
        <w:t>选取左右肩与左右髋关节，分别计算其中心点位置，并构建人体躯干向量。通过计算该向量与垂直方向之间的夹角，作为人体姿态的核心特征量。当人体处于直立状态时，躯干角度接近0度；当人体发生弯腰动作时，该角度显著增大。</w:t>
      </w:r>
    </w:p>
    <w:p w14:paraId="26014796">
      <w:pPr>
        <w:pStyle w:val="2"/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为了提高鲁棒性，系统引入连续帧判定机制，仅当角度连续超过阈值30度超过5帧时，才判定为弯腰动作开始，从而有效避免由于检测抖动造成的误识别。同时，当角度持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续低于恢复阈值20度时，判定弯腰动作结束。</w:t>
      </w:r>
    </w:p>
    <w:p w14:paraId="033A227D">
      <w:pPr>
        <w:pStyle w:val="2"/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系统还结合时间戳记录机制，根据视频帧率计算动作发生的具体时间点，实现弯腰动作的起止时间标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注。此外，系统支持多人场景，通过对每个人的关键点独立计算，实现多目标动作识别。</w:t>
      </w:r>
    </w:p>
    <w:p w14:paraId="26C3FD74">
      <w:pPr>
        <w:pStyle w:val="2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在可视化方面，系统在原始视频中叠加人体骨架、角度数值以及“B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ending和当前时间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”状态标识，并输出最终标注视频文件。</w:t>
      </w:r>
    </w:p>
    <w:p w14:paraId="1FDC08DF">
      <w:pPr>
        <w:pStyle w:val="2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该方法无需额外训练动作分类网络，仅依赖姿态估计与几何特征计算即可实现动作识别，具有实现简单、实时性强和可扩展性高等优点。</w:t>
      </w:r>
    </w:p>
    <w:p w14:paraId="784115DC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3C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2026-06-22T09:10:38Z</dcterms:created>
  <dc:creator>Administrator</dc:creator>
  <cp:lastModifiedBy>Administrator</cp:lastModifiedBy>
  <dcterms:modified xsi:type="dcterms:W3CDTF">2026-06-22T09:24:33Z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2052-12.1.0.26880</vt:lpwstr>
  </property>
  <property fmtid="{D5CDD505-2E9C-101B-9397-08002B2CF9AE}" pid="3" name="KSOTemplateDocerSaveRecord">
    <vt:lpwstr>eyJoZGlkIjoiMWFlMzQwZDg4YjYzNDA3NDMxODQxOGY5ZGVlYzU4OGUifQ==</vt:lpwstr>
  </property>
  <property fmtid="{D5CDD505-2E9C-101B-9397-08002B2CF9AE}" pid="4" name="ICV">
    <vt:lpwstr>61CE9538C93B477E9AC3899C6E042AF5_12</vt:lpwstr>
  </property>
</Properties>
</file>