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丰收家通道配置说明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0" w:beforeAutospacing="0" w:after="210" w:afterAutospacing="0" w:line="18" w:lineRule="atLeast"/>
        <w:ind w:left="0" w:right="0"/>
        <w:rPr>
          <w:rFonts w:hint="default" w:ascii="Arial" w:hAnsi="Arial" w:eastAsia="Arial" w:cs="Arial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bdr w:val="none" w:color="auto" w:sz="0" w:space="0"/>
          <w:shd w:val="clear" w:fill="FFFFFF"/>
        </w:rPr>
        <w:t>监控设置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95800" cy="3200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signkey 123456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卡号填写丰收家的卡号后4位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回调地址填写 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"http://xn--6qqv7i2xdt95b/Pay_FengSJ_notifyurl.html"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http://你的域名/Pay_FengSJ_notifyurl.html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10" w:afterAutospacing="0" w:line="18" w:lineRule="atLeast"/>
        <w:ind w:left="0" w:right="0"/>
        <w:rPr>
          <w:rFonts w:hint="default" w:ascii="Arial" w:hAnsi="Arial" w:eastAsia="Arial" w:cs="Arial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bdr w:val="none" w:color="auto" w:sz="0" w:space="0"/>
          <w:shd w:val="clear" w:fill="FFFFFF"/>
        </w:rPr>
        <w:t>操作步骤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 先打开监控，点击程序配置 配置所有参数，卡号就是收款的号绑定的卡号（也就是二维码对应的收款银行卡号）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 再打开丰收家商户APP ，然后切换到监控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 监控上输入 丰收家hook成功字样表示成功hook，可以点击 开启查询任务 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10" w:afterAutospacing="0" w:line="18" w:lineRule="atLeast"/>
        <w:ind w:left="0" w:right="0"/>
        <w:rPr>
          <w:rFonts w:hint="default" w:ascii="Arial" w:hAnsi="Arial" w:eastAsia="Arial" w:cs="Arial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bdr w:val="none" w:color="auto" w:sz="0" w:space="0"/>
          <w:shd w:val="clear" w:fill="FFFFFF"/>
        </w:rPr>
        <w:t>后台设置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1、通道编码 FengSJ 自己添加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29125" cy="43053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382000" cy="16573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2.子账号设置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81700" cy="72009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D65D1"/>
    <w:rsid w:val="768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2019-09-03T11:50:00Z</dcterms:created>
  <dc:creator>Administrator</dc:creator>
  <cp:lastModifiedBy>Administrator</cp:lastModifiedBy>
  <dcterms:modified xsi:type="dcterms:W3CDTF">2019-09-03T11:51:22Z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