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LongLive2.0 稀疏注意力实验结果</w:t>
      </w:r>
    </w:p>
    <w:p>
      <w:pPr>
        <w:jc w:val="center"/>
      </w:pPr>
      <w:r>
        <w:rPr>
          <w:rFonts w:ascii="Microsoft YaHei" w:hAnsi="Microsoft YaHei" w:eastAsia="微软雅黑"/>
          <w:color w:val="555555"/>
          <w:sz w:val="26"/>
        </w:rPr>
        <w:t>性能数据与 VBench 质量数据汇总</w:t>
      </w:r>
    </w:p>
    <w:p>
      <w:pPr>
        <w:spacing w:after="80" w:line="276" w:lineRule="auto"/>
      </w:pPr>
      <w:r>
        <w:rPr>
          <w:rFonts w:ascii="Microsoft YaHei" w:hAnsi="Microsoft YaHei" w:eastAsia="微软雅黑"/>
          <w:b w:val="0"/>
          <w:sz w:val="19"/>
        </w:rPr>
        <w:t>报告日期：2026-08-14    设备平台：昇腾 NPU    计算精度：BF16</w:t>
      </w:r>
    </w:p>
    <w:p>
      <w:pPr>
        <w:spacing w:after="80" w:line="276" w:lineRule="auto"/>
      </w:pPr>
      <w:r>
        <w:rPr>
          <w:rFonts w:ascii="Microsoft YaHei" w:hAnsi="Microsoft YaHei" w:eastAsia="微软雅黑"/>
          <w:b w:val="0"/>
          <w:sz w:val="19"/>
        </w:rPr>
        <w:t>说明：红色粗体表示关键最优值、关键退化或需要重点解释的结果。</w:t>
      </w:r>
    </w:p>
    <w:p>
      <w:pPr>
        <w:pStyle w:val="Heading1"/>
      </w:pPr>
      <w:r>
        <w:t>第一部分  性能结果</w:t>
      </w:r>
    </w:p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  性能实验配置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771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配置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模型与权重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LongLive2.0-5B 基础权重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稀疏后端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MindIE-SD RainFusion（推理）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方法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dense / hsa_cag / sla_cag / hsa_sla_cag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视频长度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5 s / 32 s / 64 s（125 / 765 / 1533 pixel frames）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并行布局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SP1×DP1 或 SP4×DP1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统计口径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无 profiler；预热后 3 次有效测量；报告 p50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异步 VAE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1 张专用 NPU；DiT 与分块 VAE 解码流水重叠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2  DiT-only 延迟与相对 dense 加速比（SP1，p50）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5 s 延迟 / 加速比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32 s 延迟 / 加速比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64 s 延迟 / 加速比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18.372 s / 1.000×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133.382 s / 1.000×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271.492 s / 1.000×</w:t>
            </w:r>
          </w:p>
        </w:tc>
      </w:tr>
      <w:tr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15.741 s / 1.167×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100.933 s / 1.321×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204.017 s / 1.331×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13.890 s / 1.323×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85.927 s / 1.552×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172.847 s / 1.571×</w:t>
            </w:r>
          </w:p>
        </w:tc>
      </w:tr>
      <w:tr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13.703 s / 1.341×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84.056 s / 1.587×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169.577 s / 1.601×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3  DiT-only 延迟与相对 dense 加速比（SP4，p50）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5 s 延迟 / 加速比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32 s 延迟 / 加速比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64 s 延迟 / 加速比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7.195 s / 1.000×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49.192 s / 1.000×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99.713 s / 1.000×</w:t>
            </w:r>
          </w:p>
        </w:tc>
      </w:tr>
      <w:tr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6.519 s / 1.104×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40.421 s / 1.217×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80.971 s / 1.231×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6.230 s / 1.155×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38.799 s / 1.268×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78.735 s / 1.266×</w:t>
            </w:r>
          </w:p>
        </w:tc>
      </w:tr>
      <w:tr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6.123 s / 1.175×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38.135 s / 1.290×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76.040 s / 1.311×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4  32 s DiT-only 的 SP1→SP4 扩展效率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SP1 p50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SP4 p50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扩展加速比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4 卡并行效率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133.382 s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49.192 s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2.711×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67.78%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100.933 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40.421 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2.497×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62.42%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85.927 s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38.799 s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2.215×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55.37%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84.056 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38.135 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2.204×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55.11%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5  异步 VAE 完整视频端到端延迟（p50）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并行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5 s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32 s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64 s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64 s 相对 dense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SP1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23.304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138.555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280.811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1.000×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SP1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22.833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120.053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238.627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1.177×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SP1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22.822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122.264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236.810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1.186×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SP1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22.890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121.757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237.568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1.182×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SP4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21.004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119.962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239.501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1.000×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SP4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21.334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124.013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239.654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0.999×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SP4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21.528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120.728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240.105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0.997×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SP4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21.389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120.533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241.495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0.992×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6  SP4 异步 VAE 阶段分解（3 次均值）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长度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端到端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AR loop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VAE decode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VAE drain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32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120.054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104.640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114.557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11.360 s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32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123.497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58.584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116.729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59.677 s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32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121.511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57.384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116.159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60.246 s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32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121.775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57.284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116.044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60.241 s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241.419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219.532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229.463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11.369 s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240.230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114.780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230.866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117.594 s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64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240.759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114.719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230.868 s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117.642 s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241.125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114.614 s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230.719 s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117.606 s</w:t>
            </w:r>
          </w:p>
        </w:tc>
      </w:tr>
    </w:tbl>
    <w:p>
      <w:pPr>
        <w:pStyle w:val="Heading2"/>
      </w:pPr>
      <w:r>
        <w:t>性能结论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/>
          <w:color w:val="C00000"/>
          <w:sz w:val="19"/>
        </w:rPr>
        <w:t>稀疏注意力在 DiT-only 上有效：SP1、64 s 下 SLA+CAG 达到 1.601×，HSA+SLA+CAG 达到 1.571×。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sz w:val="19"/>
        </w:rPr>
        <w:t>SP4 下 DiT 收益仍存在，但并行效率下降；64 s SLA+CAG 的 DiT 加速比为 1.311×。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/>
          <w:color w:val="C00000"/>
          <w:sz w:val="19"/>
        </w:rPr>
        <w:t>异步 VAE 端到端被 VAE 解码和 drain 主导；SP4、64 s 下 SLA+CAG 反而为 0.992×，不能用算子或 DiT-only 加速比代表整链路收益。</w:t>
      </w:r>
    </w:p>
    <w:p>
      <w:r>
        <w:br w:type="page"/>
      </w:r>
    </w:p>
    <w:p>
      <w:pPr>
        <w:pStyle w:val="Heading1"/>
      </w:pPr>
      <w:r>
        <w:t>第二部分  VBench 质量结果</w:t>
      </w:r>
    </w:p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7  质量实验配置与比较约束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771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配置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评测集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LongLive2.0 标准 VBench 5% 子集，125 pixel frames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基础权重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longlive2_merged_generator.pt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微调权重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SLA+CAG 200-step；HSA+SLA+CAG 200-step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训练范围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两者统一为主干 LoRA + 原始 sla_linear</w:t>
            </w:r>
          </w:p>
        </w:tc>
      </w:tr>
      <w:tr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报告指标</w:t>
            </w:r>
          </w:p>
        </w:tc>
        <w:tc>
          <w:tcPr>
            <w:tcW w:type="dxa" w:w="771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VBench Quality / Semantic / Total 及 16 个子维度</w:t>
            </w:r>
          </w:p>
        </w:tc>
      </w:tr>
      <w:tr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比较原则</w:t>
            </w:r>
          </w:p>
        </w:tc>
        <w:tc>
          <w:tcPr>
            <w:tcW w:type="dxa" w:w="771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7"/>
              </w:rPr>
              <w:t>同一权重内 dense 与匹配稀疏路由优先；跨运行结论需核对 manifest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8  基础权重的稀疏方法质量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推理方法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Semantic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Δ Total vs dense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85.54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71.99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82.83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0.00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hsa_cag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85.43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72.26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82.80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-0.03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80.63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66.43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77.79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-5.04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80.49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66.79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77.75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-5.08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9  200-step 权重 × 推理路由的 2×3 总分矩阵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训练权重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推理路由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Semantic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Total</w:t>
            </w:r>
          </w:p>
        </w:tc>
        <w:tc>
          <w:tcPr>
            <w:tcW w:type="dxa" w:w="2570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相对同权重 dense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SLA+CAG 200-step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85.61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71.29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82.75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0.00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SLA+CAG 200-step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81.73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70.33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79.45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-3.30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SLA+CAG 200-step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81.14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68.93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78.70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-4.05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Hybrid 200-step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dense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85.81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70.88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82.82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0.00</w:t>
            </w:r>
          </w:p>
        </w:tc>
      </w:tr>
      <w:tr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Hybrid 200-step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81.06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68.66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78.58</w:t>
            </w:r>
          </w:p>
        </w:tc>
        <w:tc>
          <w:tcPr>
            <w:tcW w:type="dxa" w:w="25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-4.24</w:t>
            </w:r>
          </w:p>
        </w:tc>
      </w:tr>
      <w:tr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Hybrid 200-step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82.22</w:t>
            </w:r>
          </w:p>
        </w:tc>
        <w:tc>
          <w:tcPr>
            <w:tcW w:type="dxa" w:w="2570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69.65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79.71</w:t>
            </w:r>
          </w:p>
        </w:tc>
        <w:tc>
          <w:tcPr>
            <w:tcW w:type="dxa" w:w="2570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-3.12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10  匹配路由相对同权重 dense 的关键子指标残差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rPr>
          <w:tblHeader w:val="true"/>
        </w:trPr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匹配方案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Subject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Background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Aesthetic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Imaging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Multiple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Spatial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Dynamic</w:t>
            </w:r>
          </w:p>
        </w:tc>
        <w:tc>
          <w:tcPr>
            <w:tcW w:type="dxa" w:w="1542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Total</w:t>
            </w:r>
          </w:p>
        </w:tc>
      </w:tr>
      <w:tr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SLA 权重 + SLA 路由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-5.85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-5.66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-2.10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-3.26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-7.08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  <w:tc>
          <w:tcPr>
            <w:tcW w:type="dxa" w:w="154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-9.03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-6.67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-3.30</w:t>
            </w:r>
          </w:p>
        </w:tc>
      </w:tr>
      <w:tr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Hybrid 权重 + Hybrid 路由</w:t>
            </w:r>
          </w:p>
        </w:tc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-6.18</w:t>
            </w:r>
          </w:p>
        </w:tc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-6.88</w:t>
            </w:r>
          </w:p>
        </w:tc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-1.92</w:t>
            </w:r>
          </w:p>
        </w:tc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-2.06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-12.08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-16.25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-15.41</w:t>
            </w:r>
          </w:p>
        </w:tc>
        <w:tc>
          <w:tcPr>
            <w:tcW w:type="dxa" w:w="1542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  <w:tc>
          <w:tcPr>
            <w:tcW w:type="dxa" w:w="1542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-3.12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11  200-step 微调对基础稀疏质量缺口的恢复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基础权重稀疏 Total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200-step 匹配路由 Total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绝对恢复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归一化恢复率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sla_cag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77.79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79.45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+1.66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34.6%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hsa_sla_cag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77.75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79.71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+1.96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38.6%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12  路由专门化交叉比较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训练权重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SLA 路由 Total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Hybrid 路由 Total</w:t>
            </w:r>
          </w:p>
        </w:tc>
        <w:tc>
          <w:tcPr>
            <w:tcW w:type="dxa" w:w="3855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Hybrid - SLA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SLA+CAG 200-step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79.45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78.70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-0.75</w:t>
            </w:r>
          </w:p>
        </w:tc>
      </w:tr>
      <w:tr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Hybrid 200-step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78.58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79.71</w:t>
            </w:r>
          </w:p>
        </w:tc>
        <w:tc>
          <w:tcPr>
            <w:tcW w:type="dxa" w:w="3855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+1.12</w:t>
            </w:r>
          </w:p>
        </w:tc>
      </w:tr>
      <w:tr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交互效应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—</w:t>
            </w:r>
          </w:p>
        </w:tc>
        <w:tc>
          <w:tcPr>
            <w:tcW w:type="dxa" w:w="385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6"/>
              </w:rPr>
              <w:t>—</w:t>
            </w:r>
          </w:p>
        </w:tc>
        <w:tc>
          <w:tcPr>
            <w:tcW w:type="dxa" w:w="3855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6"/>
              </w:rPr>
              <w:t>1.88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13  SLA+CAG 200-step 权重的 16 个 VBench 子指标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dense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sla_cag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hsa_sla_cag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匹配稀疏 - dense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Subject consistency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95.85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90.00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91.70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-5.85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Background consistency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94.19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88.53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89.75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-5.66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Aesthetic quality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60.72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58.63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58.25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-2.10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Imaging quality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67.20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63.94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63.15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-3.26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Object class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77.08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70.00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78.33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-7.08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Multiple objects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48.44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48.44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49.38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Color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83.31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86.32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80.10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+3.01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Spatial relationship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88.30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79.26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74.66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-9.03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Scene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41.25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41.25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31.56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Temporal style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25.46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25.84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25.80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+0.38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Overall consistency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23.26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23.65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23.81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+0.39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Human action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96.00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96.00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96.00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Temporal flickering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99.59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98.79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98.83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-0.80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Motion smoothness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98.51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98.54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98.61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+0.04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Dynamic degree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93.33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86.67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73.33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-6.67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Appearance style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18.43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19.10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19.21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+0.67</w:t>
            </w:r>
          </w:p>
        </w:tc>
      </w:tr>
    </w:tbl>
    <w:p>
      <w:pPr>
        <w:spacing w:before="100" w:after="60"/>
      </w:pPr>
      <w:r>
        <w:rPr>
          <w:rFonts w:ascii="Microsoft YaHei" w:hAnsi="Microsoft YaHei" w:eastAsia="微软雅黑"/>
          <w:b/>
          <w:sz w:val="20"/>
        </w:rPr>
        <w:t>表 14  HSA+SLA+CAG 200-step 权重的 16 个 VBench 子指标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dense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sla_cag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hsa_sla_cag</w:t>
            </w:r>
          </w:p>
        </w:tc>
        <w:tc>
          <w:tcPr>
            <w:tcW w:type="dxa" w:w="3084"/>
            <w:vAlign w:val="center"/>
            <w:shd w:fill="1F4E78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匹配稀疏 - dense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Subject consistency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96.64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90.83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90.46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-6.18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Background consistency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95.29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88.36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88.41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-6.88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Aesthetic quality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60.30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57.78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58.38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-1.92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Imaging quality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65.65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62.65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63.59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-2.06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Object class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80.42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70.42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68.33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-12.08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Multiple objects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61.25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58.44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45.00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-16.25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Color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82.50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78.57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84.46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+1.96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Spatial relationship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92.75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79.10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77.34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-15.41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Scene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22.81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23.12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41.88</w:t>
            </w:r>
          </w:p>
        </w:tc>
        <w:tc>
          <w:tcPr>
            <w:tcW w:type="dxa" w:w="3084"/>
            <w:vAlign w:val="center"/>
            <w:shd w:fill="D9EAF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C00000"/>
                <w:sz w:val="15"/>
              </w:rPr>
              <w:t>+19.06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Temporal style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25.68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25.89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25.75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+0.07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Overall consistency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22.96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23.36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23.37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+0.41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Human action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92.00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100.00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100.00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+8.00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Temporal flickering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99.74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98.79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98.81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-0.93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Motion smoothness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98.63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98.66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98.55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-0.08</w:t>
            </w:r>
          </w:p>
        </w:tc>
      </w:tr>
      <w:tr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Dynamic degree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93.33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80.00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93.33</w:t>
            </w:r>
          </w:p>
        </w:tc>
        <w:tc>
          <w:tcPr>
            <w:tcW w:type="dxa" w:w="30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0.00</w:t>
            </w:r>
          </w:p>
        </w:tc>
      </w:tr>
      <w:tr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Appearance style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19.34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19.44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18.83</w:t>
            </w:r>
          </w:p>
        </w:tc>
        <w:tc>
          <w:tcPr>
            <w:tcW w:type="dxa" w:w="3084"/>
            <w:vAlign w:val="center"/>
            <w:shd w:fill="F2F2F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sz w:val="15"/>
              </w:rPr>
              <w:t>-0.51</w:t>
            </w:r>
          </w:p>
        </w:tc>
      </w:tr>
    </w:tbl>
    <w:p>
      <w:pPr>
        <w:pStyle w:val="Heading2"/>
      </w:pPr>
      <w:r>
        <w:t>质量结论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/>
          <w:color w:val="C00000"/>
          <w:sz w:val="19"/>
        </w:rPr>
        <w:t>基础权重下 HSA+CAG 几乎保持 dense 质量：Total 82.80，仅下降 0.03；SLA 与混合路由未经适配时均下降约 5 分。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/>
          <w:color w:val="C00000"/>
          <w:sz w:val="19"/>
        </w:rPr>
        <w:t>200-step 微调可恢复部分稀疏质量，但匹配路由相对各自 dense 仍低 3.30（SLA）和 3.12（Hybrid），尚未达到质量等价。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sz w:val="19"/>
        </w:rPr>
        <w:t>交叉实验显示路由专门化：SLA 权重更适合 SLA 路由，Hybrid 权重更适合 Hybrid 路由，交互效应为 1.88 分。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sz w:val="19"/>
        </w:rPr>
        <w:t>主要残差集中在主体/背景一致性、对象类别、多对象与空间关系；5% 子集对离散维度较敏感，正式结论应补充全量 VBench 和重复种子。</w:t>
      </w:r>
    </w:p>
    <w:p>
      <w:pPr>
        <w:pStyle w:val="Heading2"/>
      </w:pPr>
      <w:r>
        <w:t>数据来源与限制</w:t>
      </w:r>
    </w:p>
    <w:p>
      <w:pPr>
        <w:spacing w:after="80" w:line="276" w:lineRule="auto"/>
      </w:pPr>
      <w:r>
        <w:rPr>
          <w:rFonts w:ascii="Microsoft YaHei" w:hAnsi="Microsoft YaHei" w:eastAsia="微软雅黑"/>
          <w:b w:val="0"/>
          <w:sz w:val="19"/>
        </w:rPr>
        <w:t>性能原始记录与计算：docs/experiments/sparse_attention_performance_analysis.md</w:t>
      </w:r>
    </w:p>
    <w:p>
      <w:pPr>
        <w:spacing w:after="80" w:line="276" w:lineRule="auto"/>
      </w:pPr>
      <w:r>
        <w:rPr>
          <w:rFonts w:ascii="Microsoft YaHei" w:hAnsi="Microsoft YaHei" w:eastAsia="微软雅黑"/>
          <w:b w:val="0"/>
          <w:sz w:val="19"/>
        </w:rPr>
        <w:t>质量原始记录与计算：docs/experiments/sparse_attention_quality_analysis.md</w:t>
      </w:r>
    </w:p>
    <w:p>
      <w:pPr>
        <w:spacing w:after="80" w:line="276" w:lineRule="auto"/>
      </w:pPr>
      <w:r>
        <w:rPr>
          <w:rFonts w:ascii="Microsoft YaHei" w:hAnsi="Microsoft YaHei" w:eastAsia="微软雅黑"/>
          <w:b w:val="0"/>
          <w:sz w:val="19"/>
        </w:rPr>
        <w:t>本报告保留关键原始值和派生值。最新服务器运行的完整 manifest 未随本地仓库提供，因此跨运行对比应在发布前再次核对提示词、seed、SP/DP、checkpoint 与采样参数。</w:t>
      </w:r>
    </w:p>
    <w:sectPr w:rsidR="00FC693F" w:rsidRPr="0006063C" w:rsidSect="00034616">
      <w:footerReference w:type="default" r:id="rId9"/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LongLive2.0 稀疏注意力实验报告  | 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LongLive2.0 稀疏注意力实验结果</dc:title>
  <dc:subject>性能数据与 VBench 质量数据汇总</dc:subject>
  <dc:creator>LongLive-oneday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