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94"/>
        <w:gridCol w:w="2253"/>
        <w:gridCol w:w="604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  <w:drawing>
                <wp:anchor distT="0" distB="0" distL="118745" distR="118745" simplePos="0" relativeHeight="251658240" behindDoc="1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7620</wp:posOffset>
                  </wp:positionV>
                  <wp:extent cx="678180" cy="748030"/>
                  <wp:effectExtent l="0" t="0" r="58420" b="0"/>
                  <wp:wrapThrough wrapText="bothSides">
                    <wp:wrapPolygon>
                      <wp:start x="4854" y="0"/>
                      <wp:lineTo x="0" y="4511"/>
                      <wp:lineTo x="0" y="13532"/>
                      <wp:lineTo x="4045" y="18043"/>
                      <wp:lineTo x="5663" y="19546"/>
                      <wp:lineTo x="15371" y="19546"/>
                      <wp:lineTo x="16989" y="18043"/>
                      <wp:lineTo x="21034" y="13532"/>
                      <wp:lineTo x="21034" y="4511"/>
                      <wp:lineTo x="16180" y="0"/>
                      <wp:lineTo x="4854" y="0"/>
                    </wp:wrapPolygon>
                  </wp:wrapThrough>
                  <wp:docPr id="1" name="Picture 1" descr="profile_portrait_circl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rofile_portrait_circl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4"/>
                <w:szCs w:val="24"/>
                <w:lang w:val="en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556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Lead Infrastructure Engineer 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  <w:t>Developer Advocate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color w:val="C01C4E"/>
                <w:sz w:val="20"/>
                <w:szCs w:val="20"/>
              </w:rPr>
            </w:pPr>
            <w:r>
              <w:rPr>
                <w:rFonts w:hint="default" w:ascii="Material Icons" w:hAnsi="Material Icons" w:cs="Material Icons"/>
                <w:sz w:val="20"/>
                <w:szCs w:val="20"/>
                <w:lang w:val="en"/>
              </w:rPr>
              <w:t></w:t>
            </w:r>
            <w:r>
              <w:rPr>
                <w:rFonts w:hint="default" w:ascii="Lato" w:hAnsi="Lato" w:cs="Lato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London, UK</w:t>
            </w:r>
          </w:p>
        </w:tc>
        <w:tc>
          <w:tcPr>
            <w:tcW w:w="3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41 Doughty Street</w:t>
            </w:r>
          </w:p>
          <w:p>
            <w:pPr>
              <w:widowControl w:val="0"/>
              <w:ind w:leftChars="20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London WC1N 2LF</w:t>
            </w:r>
          </w:p>
          <w:p>
            <w:pPr>
              <w:widowControl w:val="0"/>
              <w:jc w:val="both"/>
              <w:rPr>
                <w:rFonts w:hint="default" w:ascii="Material Design Icons" w:hAnsi="Material Design Icons" w:eastAsia="Material Design Icons" w:cs="Material Design Icons"/>
                <w:color w:val="C01C4E"/>
                <w:sz w:val="20"/>
                <w:szCs w:val="20"/>
                <w:lang w:val="en"/>
              </w:rPr>
            </w:pPr>
          </w:p>
          <w:tbl>
            <w:tblPr>
              <w:tblStyle w:val="8"/>
              <w:tblW w:w="300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2"/>
              <w:gridCol w:w="26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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sz w:val="20"/>
                      <w:szCs w:val="20"/>
                      <w:lang w:val="en"/>
                    </w:rPr>
                    <w:t>+44 (0)7785 953757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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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2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  <w:t></w:t>
                  </w:r>
                </w:p>
              </w:tc>
              <w:tc>
                <w:tcPr>
                  <w:tcW w:w="2680" w:type="dxa"/>
                  <w:tcBorders>
                    <w:tl2br w:val="nil"/>
                    <w:tr2bl w:val="nil"/>
                  </w:tcBorders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14" w:type="dxa"/>
        </w:trPr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Profile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 am a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passionate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 have 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cloud infrastructure. I have guided teams as the product manager for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the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web, mobile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REST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product set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 I have championed the use of open source software and the engagement in OSS and DevOps communities. As a partner/director I have helped create a successful Fintech company and experienced its growth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All of this, from day one, has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2602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Infrastructure Architect and Consultant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Design and implementation of i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ise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managed service (private cloud) and public cloud deployments of the 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, replication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.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Technology reviews and upgrades to increase availability, scalability and drive down total cost of ownership.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Supporting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DevOps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practices through the introduction of Ansible automation, Docker, Kubernetes container management and the insertion of Ops into development projects.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Pre-sales support covering infrastructure and product integrations.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Product Manager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2001 - 2019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Product manager responsible for: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w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eb portal for retail &amp;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m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obile app for wealth management clients.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FIGARO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REST API.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Roadmap strategy and technical/UX/UI design governance, client and market research,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Responsible for all internal IT including the design and implementation of LANs, WAN, network security, data centre co-location,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data backup, disaster recovery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email, document management,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Senior 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1991 - 2000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FIGARO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stockbroking and wealth management system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, s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pecialising in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3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rd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-party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systems integration. 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Java, Delphi and RPG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Developer and Consultant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  <w:lang w:val="en"/>
              </w:rPr>
              <w:t>1988 - 1990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JHC Legal Accounting system and JHC FIGARO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 stockbroking and wealth management system.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RPG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SKILLS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Software Architecture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Distributed, complex systems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2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Source control (GIT)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Operating systems (RHEL, CentOS, Ubuntu, MacOS, MS Windows, IBM i)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Kubernetes (RedHat Openshift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, GCP+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Open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S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  <w:lang w:val="en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On-site support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and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>b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EDUCATION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color w:val="767171" w:themeColor="background2" w:themeShade="80"/>
                <w:sz w:val="20"/>
                <w:szCs w:val="20"/>
              </w:rPr>
              <w:t>1984 - 1988</w:t>
            </w:r>
          </w:p>
          <w:p>
            <w:pPr>
              <w:widowControl w:val="0"/>
              <w:jc w:val="both"/>
              <w:rPr>
                <w:rFonts w:hint="default" w:ascii="Open Sans" w:hAnsi="Open Sans" w:cs="Open Sans"/>
                <w:color w:val="767171" w:themeColor="background2" w:themeShade="80"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</w:rPr>
              <w:t>1</w:t>
            </w:r>
            <w:r>
              <w:rPr>
                <w:rFonts w:hint="default" w:ascii="Open Sans" w:hAnsi="Open Sans" w:cs="Open Sans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ascii="Open Sans" w:hAnsi="Open Sans" w:cs="Open Sans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2614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Lato" w:hAnsi="Lato" w:cs="Lato"/>
                <w:b/>
                <w:bCs/>
                <w:caps/>
                <w:smallCaps w:val="0"/>
                <w:color w:val="C01C4E"/>
                <w:sz w:val="28"/>
                <w:szCs w:val="28"/>
              </w:rPr>
              <w:t>PASSIONS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350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Open Source Software (OSS) 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and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16"/>
                <w:szCs w:val="16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Contemporary art</w:t>
            </w: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nil"/>
              <w:left w:val="single" w:color="CFCECE" w:themeColor="background2" w:themeShade="E5" w:sz="4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ascii="Lato" w:hAnsi="Lato" w:cs="Lato"/>
                <w:b/>
                <w:bCs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Lato" w:hAnsi="Lato" w:cs="Lato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aterial Icons">
    <w:panose1 w:val="02000503000000000000"/>
    <w:charset w:val="00"/>
    <w:family w:val="auto"/>
    <w:pitch w:val="default"/>
    <w:sig w:usb0="00000001" w:usb1="12000000" w:usb2="04000000" w:usb3="00000000" w:csb0="00000001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2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135FAC20"/>
    <w:rsid w:val="17D4247B"/>
    <w:rsid w:val="1EFE19C2"/>
    <w:rsid w:val="1F2F6C6A"/>
    <w:rsid w:val="2D1EF784"/>
    <w:rsid w:val="2F751B5B"/>
    <w:rsid w:val="35FB8D56"/>
    <w:rsid w:val="3775E6D7"/>
    <w:rsid w:val="37D52C8E"/>
    <w:rsid w:val="3BFF0767"/>
    <w:rsid w:val="3C7F8819"/>
    <w:rsid w:val="3DFFD0CC"/>
    <w:rsid w:val="3EEDF79C"/>
    <w:rsid w:val="3F73B09D"/>
    <w:rsid w:val="3FCF342F"/>
    <w:rsid w:val="3FDFA954"/>
    <w:rsid w:val="3FF53FEE"/>
    <w:rsid w:val="3FF67ED2"/>
    <w:rsid w:val="45FF0C6B"/>
    <w:rsid w:val="57BA87E3"/>
    <w:rsid w:val="57E4AA08"/>
    <w:rsid w:val="57F8BA75"/>
    <w:rsid w:val="57FDADB9"/>
    <w:rsid w:val="5DFB6A8D"/>
    <w:rsid w:val="5E7F4C02"/>
    <w:rsid w:val="5EAF1491"/>
    <w:rsid w:val="5EDB86AE"/>
    <w:rsid w:val="5FDF3B40"/>
    <w:rsid w:val="5FF76143"/>
    <w:rsid w:val="65EFF5FB"/>
    <w:rsid w:val="67EB924E"/>
    <w:rsid w:val="67FE42A1"/>
    <w:rsid w:val="69CB04D5"/>
    <w:rsid w:val="6B2EA53C"/>
    <w:rsid w:val="6BF5C5BA"/>
    <w:rsid w:val="6BFF85E8"/>
    <w:rsid w:val="6DC3EB58"/>
    <w:rsid w:val="6E5FE28B"/>
    <w:rsid w:val="6F4F9512"/>
    <w:rsid w:val="6F7ABD90"/>
    <w:rsid w:val="6FD6D3BE"/>
    <w:rsid w:val="73BDACD0"/>
    <w:rsid w:val="74FF3D8E"/>
    <w:rsid w:val="75B51964"/>
    <w:rsid w:val="75EF0A9A"/>
    <w:rsid w:val="767723E3"/>
    <w:rsid w:val="76FDB644"/>
    <w:rsid w:val="775F9D87"/>
    <w:rsid w:val="7777F359"/>
    <w:rsid w:val="77F63BED"/>
    <w:rsid w:val="77FE4116"/>
    <w:rsid w:val="77FFED1A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EEA287"/>
    <w:rsid w:val="7BFE02F5"/>
    <w:rsid w:val="7C0BFCF5"/>
    <w:rsid w:val="7C7F1083"/>
    <w:rsid w:val="7CD7B0BF"/>
    <w:rsid w:val="7D6DAEB2"/>
    <w:rsid w:val="7D6F9D2A"/>
    <w:rsid w:val="7EDCD561"/>
    <w:rsid w:val="7F97E95A"/>
    <w:rsid w:val="7FAFEA82"/>
    <w:rsid w:val="7FB71857"/>
    <w:rsid w:val="7FBF960E"/>
    <w:rsid w:val="7FCF4006"/>
    <w:rsid w:val="7FD66CE2"/>
    <w:rsid w:val="7FEE2A59"/>
    <w:rsid w:val="7FEE393A"/>
    <w:rsid w:val="7FFD19CE"/>
    <w:rsid w:val="7FFD830A"/>
    <w:rsid w:val="7FFE615A"/>
    <w:rsid w:val="7FFE9B9C"/>
    <w:rsid w:val="7FFF89D9"/>
    <w:rsid w:val="8ABD86F2"/>
    <w:rsid w:val="8B974014"/>
    <w:rsid w:val="8BFB9939"/>
    <w:rsid w:val="8FFA32A5"/>
    <w:rsid w:val="8FFDFB55"/>
    <w:rsid w:val="99F77461"/>
    <w:rsid w:val="9EFCD0B2"/>
    <w:rsid w:val="9FF7D302"/>
    <w:rsid w:val="9FFCF4D4"/>
    <w:rsid w:val="AAE207F6"/>
    <w:rsid w:val="ADFEAD49"/>
    <w:rsid w:val="AFBD5B7A"/>
    <w:rsid w:val="AFFF9EC1"/>
    <w:rsid w:val="B7A3FAE3"/>
    <w:rsid w:val="BF5E8DBE"/>
    <w:rsid w:val="BF5F001A"/>
    <w:rsid w:val="BFEA0DDB"/>
    <w:rsid w:val="BFFFEC92"/>
    <w:rsid w:val="C77CC3DD"/>
    <w:rsid w:val="C7EB5325"/>
    <w:rsid w:val="CDE6B2FC"/>
    <w:rsid w:val="CDFF96DA"/>
    <w:rsid w:val="CFDF0BB5"/>
    <w:rsid w:val="CFFFBBAE"/>
    <w:rsid w:val="D1BD9DD8"/>
    <w:rsid w:val="D5F9D1B5"/>
    <w:rsid w:val="D7753CE7"/>
    <w:rsid w:val="D85F3C74"/>
    <w:rsid w:val="DA7FD4AE"/>
    <w:rsid w:val="DC7F0B1D"/>
    <w:rsid w:val="DCEC2F08"/>
    <w:rsid w:val="DD1A0F75"/>
    <w:rsid w:val="DDD8030E"/>
    <w:rsid w:val="DDDBFEC2"/>
    <w:rsid w:val="DDDF72FF"/>
    <w:rsid w:val="DDE7843A"/>
    <w:rsid w:val="DFF5D5B9"/>
    <w:rsid w:val="E6F18830"/>
    <w:rsid w:val="E779D2BA"/>
    <w:rsid w:val="EB7E228F"/>
    <w:rsid w:val="EBFEFD39"/>
    <w:rsid w:val="EDFC6E65"/>
    <w:rsid w:val="EEFF8416"/>
    <w:rsid w:val="EF7CAFB8"/>
    <w:rsid w:val="EFFBD3B2"/>
    <w:rsid w:val="F317E62F"/>
    <w:rsid w:val="F37F021D"/>
    <w:rsid w:val="F3F7A940"/>
    <w:rsid w:val="F4DB7A56"/>
    <w:rsid w:val="F7FB1298"/>
    <w:rsid w:val="F7FE8333"/>
    <w:rsid w:val="F8DD349A"/>
    <w:rsid w:val="F9DEF18A"/>
    <w:rsid w:val="F9FF2E5E"/>
    <w:rsid w:val="FA5B21C7"/>
    <w:rsid w:val="FAFFDB65"/>
    <w:rsid w:val="FC7FC957"/>
    <w:rsid w:val="FCFE8682"/>
    <w:rsid w:val="FD76126D"/>
    <w:rsid w:val="FD7FD583"/>
    <w:rsid w:val="FDA25B57"/>
    <w:rsid w:val="FDBEF21D"/>
    <w:rsid w:val="FDBFACC6"/>
    <w:rsid w:val="FDF7561D"/>
    <w:rsid w:val="FDF7F67E"/>
    <w:rsid w:val="FEBD36DF"/>
    <w:rsid w:val="FEFF82BE"/>
    <w:rsid w:val="FF3FAEAB"/>
    <w:rsid w:val="FF57DBAB"/>
    <w:rsid w:val="FF77A0FD"/>
    <w:rsid w:val="FF79CF49"/>
    <w:rsid w:val="FF7FEBEB"/>
    <w:rsid w:val="FFAD3E75"/>
    <w:rsid w:val="FFAF5B20"/>
    <w:rsid w:val="FFBB9E19"/>
    <w:rsid w:val="FFBEF897"/>
    <w:rsid w:val="FFEF6A34"/>
    <w:rsid w:val="FFEFAF62"/>
    <w:rsid w:val="FFFF3021"/>
    <w:rsid w:val="FFFF386D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3487</Characters>
  <Lines>0</Lines>
  <Paragraphs>0</Paragraphs>
  <TotalTime>1</TotalTime>
  <ScaleCrop>false</ScaleCrop>
  <LinksUpToDate>false</LinksUpToDate>
  <CharactersWithSpaces>3949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2019-09-03T18:38:00Z</dcterms:created>
  <dc:creator>lovea</dc:creator>
  <cp:lastModifiedBy>James Feighan</cp:lastModifiedBy>
  <dcterms:modified xsi:type="dcterms:W3CDTF">2021-01-12T14:48:43Z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