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80" w:after="120"/>
        <w:ind w:hanging="0"/>
        <w:rPr/>
      </w:pPr>
      <w:r>
        <w:rPr/>
      </w:r>
    </w:p>
    <w:tbl>
      <w:tblPr>
        <w:tblW w:w="5000" w:type="pct"/>
        <w:jc w:val="center"/>
        <w:tblInd w:w="0" w:type="dxa"/>
        <w:tblLayout w:type="fixed"/>
        <w:tblCellMar>
          <w:top w:w="43" w:type="dxa"/>
          <w:left w:w="14" w:type="dxa"/>
          <w:bottom w:w="14" w:type="dxa"/>
          <w:right w:w="14" w:type="dxa"/>
        </w:tblCellMar>
        <w:tblLook w:val="04a0" w:noHBand="0" w:noVBand="1" w:firstColumn="1" w:lastRow="0" w:lastColumn="0" w:firstRow="1"/>
      </w:tblPr>
      <w:tblGrid>
        <w:gridCol w:w="936"/>
        <w:gridCol w:w="936"/>
        <w:gridCol w:w="2383"/>
        <w:gridCol w:w="5998"/>
      </w:tblGrid>
      <w:tr>
        <w:trPr/>
        <w:tc>
          <w:tcPr>
            <w:tcW w:w="936"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936"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2383"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Дата выдачи</w:t>
            </w:r>
          </w:p>
        </w:tc>
        <w:tc>
          <w:tcPr>
            <w:tcW w:w="5998" w:type="dxa"/>
            <w:tcBorders>
              <w:top w:val="single" w:sz="2" w:space="0" w:color="000000"/>
              <w:left w:val="single" w:sz="2" w:space="0" w:color="000000"/>
              <w:bottom w:val="single" w:sz="2" w:space="0" w:color="000000"/>
              <w:right w:val="single" w:sz="2" w:space="0" w:color="000000"/>
            </w:tcBorders>
            <w:shd w:color="auto" w:fill="FFFFFF" w:val="clear"/>
          </w:tcPr>
          <w:p>
            <w:pPr>
              <w:pStyle w:val="Normal"/>
              <w:tabs>
                <w:tab w:val="clear" w:pos="708"/>
                <w:tab w:val="left" w:pos="2028" w:leader="none"/>
              </w:tabs>
              <w:ind w:hanging="0"/>
              <w:rPr>
                <w:lang w:val="en-US"/>
              </w:rPr>
            </w:pPr>
            <w:r>
              <w:rPr>
                <w:lang w:val="en-US"/>
              </w:rPr>
              <w:t>${date}</w:t>
            </w:r>
          </w:p>
        </w:tc>
      </w:tr>
      <w:tr>
        <w:trPr/>
        <w:tc>
          <w:tcPr>
            <w:tcW w:w="936"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r>
          </w:p>
        </w:tc>
        <w:tc>
          <w:tcPr>
            <w:tcW w:w="936"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r>
          </w:p>
        </w:tc>
        <w:tc>
          <w:tcPr>
            <w:tcW w:w="2383"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Номер независимой гарантии</w:t>
            </w:r>
          </w:p>
        </w:tc>
        <w:tc>
          <w:tcPr>
            <w:tcW w:w="5998"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lang w:val="en-US"/>
              </w:rPr>
              <w:t>${id}</w:t>
            </w:r>
          </w:p>
        </w:tc>
      </w:tr>
    </w:tbl>
    <w:p>
      <w:pPr>
        <w:pStyle w:val="Normal"/>
        <w:rPr/>
      </w:pPr>
      <w:r>
        <w:rPr/>
        <w:t> </w:t>
      </w:r>
    </w:p>
    <w:tbl>
      <w:tblPr>
        <w:tblW w:w="5000" w:type="pct"/>
        <w:jc w:val="center"/>
        <w:tblInd w:w="0" w:type="dxa"/>
        <w:tblLayout w:type="fixed"/>
        <w:tblCellMar>
          <w:top w:w="43" w:type="dxa"/>
          <w:left w:w="14" w:type="dxa"/>
          <w:bottom w:w="14" w:type="dxa"/>
          <w:right w:w="14" w:type="dxa"/>
        </w:tblCellMar>
        <w:tblLook w:val="04a0" w:noHBand="0" w:noVBand="1" w:firstColumn="1" w:lastRow="0" w:lastColumn="0" w:firstRow="1"/>
      </w:tblPr>
      <w:tblGrid>
        <w:gridCol w:w="3122"/>
        <w:gridCol w:w="3952"/>
        <w:gridCol w:w="1274"/>
        <w:gridCol w:w="1905"/>
      </w:tblGrid>
      <w:tr>
        <w:trPr/>
        <w:tc>
          <w:tcPr>
            <w:tcW w:w="8348" w:type="dxa"/>
            <w:gridSpan w:val="3"/>
            <w:tcBorders>
              <w:top w:val="single" w:sz="2" w:space="0" w:color="FFFFFF"/>
              <w:left w:val="single" w:sz="2" w:space="0" w:color="FFFFFF"/>
              <w:bottom w:val="single" w:sz="2" w:space="0" w:color="FFFFFF"/>
              <w:right w:val="single" w:sz="2" w:space="0" w:color="FFFFFF"/>
            </w:tcBorders>
          </w:tcPr>
          <w:p>
            <w:pPr>
              <w:pStyle w:val="Normal"/>
              <w:ind w:firstLine="14"/>
              <w:jc w:val="center"/>
              <w:rPr/>
            </w:pPr>
            <w:r>
              <w:rPr>
                <w:b/>
                <w:bCs/>
              </w:rPr>
              <w:t>Информация о гаранте, принципале, бенефициаре</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Коды</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Полное наименование гаранта</w:t>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Публичное акционерное общество "ТРАНСКАПИТАЛБАНК"</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ИНН</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7709129705</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КПП</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770901001</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БИК</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044525388</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Идентификационный код гаранта</w:t>
            </w:r>
          </w:p>
        </w:tc>
        <w:tc>
          <w:tcPr>
            <w:tcW w:w="3952" w:type="dxa"/>
            <w:tcBorders>
              <w:top w:val="single" w:sz="2" w:space="0" w:color="000000"/>
              <w:left w:val="single" w:sz="2" w:space="0" w:color="FFFFFF"/>
              <w:bottom w:val="single" w:sz="2" w:space="0" w:color="FFFFFF"/>
              <w:right w:val="single" w:sz="2" w:space="0" w:color="FFFFFF"/>
            </w:tcBorders>
            <w:shd w:color="auto" w:fill="FFFFFF" w:val="clear"/>
          </w:tcPr>
          <w:p>
            <w:pPr>
              <w:pStyle w:val="Normal"/>
              <w:ind w:firstLine="14"/>
              <w:rPr/>
            </w:pPr>
            <w:r>
              <w:rPr/>
              <w:t>04210445253882</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Место нахождения, телефон, адрес электронной почты гаранта</w:t>
            </w:r>
          </w:p>
        </w:tc>
        <w:tc>
          <w:tcPr>
            <w:tcW w:w="3952" w:type="dxa"/>
            <w:tcBorders>
              <w:top w:val="single" w:sz="2" w:space="0" w:color="000000"/>
              <w:left w:val="single" w:sz="2" w:space="0" w:color="FFFFFF"/>
              <w:bottom w:val="single" w:sz="2" w:space="0" w:color="000000"/>
              <w:right w:val="single" w:sz="2" w:space="0" w:color="FFFFFF"/>
            </w:tcBorders>
            <w:shd w:color="auto" w:fill="FFFFFF" w:val="clear"/>
          </w:tcPr>
          <w:p>
            <w:pPr>
              <w:pStyle w:val="Normal"/>
              <w:ind w:firstLine="14"/>
              <w:rPr/>
            </w:pPr>
            <w:r>
              <w:rPr/>
              <w:t>109147, город Москва, ул. Воронцовская, д. 27/35, info@tkbbank.ru, +7 800 700 54 17</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 ОКТМО</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45381000000</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Полное наименование принципала</w:t>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ИНН</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${innP}</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lang w:val="en-US"/>
              </w:rPr>
              <w:t>ОБЩЕСТВО С ОГРАНИЧЕННОЙ ОТВЕТСТВЕННОСТЬЮ "ВИДЕОКУБИК"</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КПП</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${kppP}</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Место нахождения, телефон, адрес электронной почты принципала</w:t>
            </w:r>
          </w:p>
        </w:tc>
        <w:tc>
          <w:tcPr>
            <w:tcW w:w="3952" w:type="dxa"/>
            <w:tcBorders>
              <w:top w:val="single" w:sz="2" w:space="0" w:color="000000"/>
              <w:left w:val="single" w:sz="2" w:space="0" w:color="FFFFFF"/>
              <w:bottom w:val="single" w:sz="2" w:space="0" w:color="000000"/>
              <w:right w:val="single" w:sz="2" w:space="0" w:color="FFFFFF"/>
            </w:tcBorders>
            <w:shd w:color="auto" w:fill="FFFFFF" w:val="clear"/>
          </w:tcPr>
          <w:p>
            <w:pPr>
              <w:pStyle w:val="Normal"/>
              <w:ind w:firstLine="14"/>
              <w:rPr/>
            </w:pPr>
            <w:r>
              <w:rPr/>
              <w:t> </w:t>
            </w:r>
            <w:r>
              <w:rPr>
                <w:lang w:val="en-US"/>
              </w:rPr>
              <w:t>355044, Россия, Ставропольский край, 26, г Ставрополь, пр-кт Кулакова, 29Б</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 ОКТМО</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${oktP}</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Полное наименование бенефициара</w:t>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lang w:val="en-US"/>
              </w:rPr>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ИНН</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${innB}</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395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lang w:val="en-US"/>
              </w:rPr>
              <w:t>ГОСУДАРСТВЕННОЕ БЮДЖЕТНОЕ УЧРЕЖДЕНИЕ ЗДРАВООХРАНЕНИЯ "КАМЧАТСКИЙ КРАЕВОЙ ЦЕНТР ПО ПРОФИЛАКТИКЕ И БОРЬБЕ СО СПИД И ИНФЕКЦИОННЫМИ ЗАБОЛЕВАНИЯМИ"</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КПП</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${kppB}</w:t>
            </w:r>
          </w:p>
        </w:tc>
      </w:tr>
      <w:tr>
        <w:trPr/>
        <w:tc>
          <w:tcPr>
            <w:tcW w:w="3122"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Место нахождения, телефон, адрес электронной почты бенефициара</w:t>
            </w:r>
          </w:p>
        </w:tc>
        <w:tc>
          <w:tcPr>
            <w:tcW w:w="3952" w:type="dxa"/>
            <w:tcBorders>
              <w:top w:val="single" w:sz="2" w:space="0" w:color="000000"/>
              <w:left w:val="single" w:sz="2" w:space="0" w:color="FFFFFF"/>
              <w:bottom w:val="single" w:sz="2" w:space="0" w:color="000000"/>
              <w:right w:val="single" w:sz="2" w:space="0" w:color="FFFFFF"/>
            </w:tcBorders>
            <w:shd w:color="auto" w:fill="FFFFFF" w:val="clear"/>
          </w:tcPr>
          <w:p>
            <w:pPr>
              <w:pStyle w:val="Normal"/>
              <w:ind w:firstLine="14"/>
              <w:rPr/>
            </w:pPr>
            <w:r>
              <w:rPr/>
              <w:t> </w:t>
            </w:r>
            <w:r>
              <w:rPr>
                <w:lang w:val="en-US"/>
              </w:rPr>
              <w:t>г Петропавловск-Камчатский, ул Ленинградская, д 112/2</w:t>
            </w:r>
          </w:p>
        </w:tc>
        <w:tc>
          <w:tcPr>
            <w:tcW w:w="127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 ОКТМО</w:t>
            </w:r>
          </w:p>
        </w:tc>
        <w:tc>
          <w:tcPr>
            <w:tcW w:w="1905"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lang w:val="en-US"/>
              </w:rPr>
            </w:pPr>
            <w:r>
              <w:rPr>
                <w:lang w:val="en-US"/>
              </w:rPr>
              <w:t>${oktB}</w:t>
            </w:r>
          </w:p>
        </w:tc>
      </w:tr>
    </w:tbl>
    <w:p>
      <w:pPr>
        <w:pStyle w:val="Normal"/>
        <w:rPr/>
      </w:pPr>
      <w:r>
        <w:rPr/>
        <w:t> </w:t>
      </w:r>
    </w:p>
    <w:p>
      <w:pPr>
        <w:pStyle w:val="Normal"/>
        <w:jc w:val="center"/>
        <w:rPr/>
      </w:pPr>
      <w:r>
        <w:rPr>
          <w:b/>
          <w:bCs/>
        </w:rPr>
        <w:t>Информация о закупке, для обеспечения контракта, заключаемого при осуществлении которой, предоставляется независимая гарантия</w:t>
      </w:r>
    </w:p>
    <w:p>
      <w:pPr>
        <w:pStyle w:val="Normal"/>
        <w:rPr/>
      </w:pPr>
      <w:r>
        <w:rPr/>
        <w:t> </w:t>
      </w:r>
    </w:p>
    <w:tbl>
      <w:tblPr>
        <w:tblW w:w="5000" w:type="pct"/>
        <w:jc w:val="center"/>
        <w:tblInd w:w="0" w:type="dxa"/>
        <w:tblLayout w:type="fixed"/>
        <w:tblCellMar>
          <w:top w:w="43" w:type="dxa"/>
          <w:left w:w="14" w:type="dxa"/>
          <w:bottom w:w="14" w:type="dxa"/>
          <w:right w:w="14" w:type="dxa"/>
        </w:tblCellMar>
        <w:tblLook w:val="04a0" w:noHBand="0" w:noVBand="1" w:firstColumn="1" w:lastRow="0" w:lastColumn="0" w:firstRow="1"/>
      </w:tblPr>
      <w:tblGrid>
        <w:gridCol w:w="3547"/>
        <w:gridCol w:w="6706"/>
      </w:tblGrid>
      <w:tr>
        <w:trPr/>
        <w:tc>
          <w:tcPr>
            <w:tcW w:w="3547"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Идентификационный код закупки:</w:t>
            </w:r>
          </w:p>
        </w:tc>
        <w:tc>
          <w:tcPr>
            <w:tcW w:w="6706"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lang w:val="en-US"/>
              </w:rPr>
              <w:t>${zakupNumber}</w:t>
            </w:r>
          </w:p>
        </w:tc>
      </w:tr>
      <w:tr>
        <w:trPr/>
        <w:tc>
          <w:tcPr>
            <w:tcW w:w="3547"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Наименование объекта закупки:</w:t>
            </w:r>
          </w:p>
        </w:tc>
        <w:tc>
          <w:tcPr>
            <w:tcW w:w="6706" w:type="dxa"/>
            <w:tcBorders>
              <w:top w:val="single" w:sz="2" w:space="0" w:color="000000"/>
              <w:left w:val="single" w:sz="2" w:space="0" w:color="FFFFFF"/>
              <w:bottom w:val="single" w:sz="2" w:space="0" w:color="000000"/>
              <w:right w:val="single" w:sz="2" w:space="0" w:color="FFFFFF"/>
            </w:tcBorders>
            <w:shd w:color="auto" w:fill="FFFFFF" w:val="clear"/>
          </w:tcPr>
          <w:p>
            <w:pPr>
              <w:pStyle w:val="Normal"/>
              <w:ind w:firstLine="14"/>
              <w:rPr/>
            </w:pPr>
            <w:r>
              <w:rPr>
                <w:lang w:val="en-US"/>
              </w:rPr>
              <w:t>${zakupName}</w:t>
            </w:r>
          </w:p>
        </w:tc>
      </w:tr>
    </w:tbl>
    <w:p>
      <w:pPr>
        <w:pStyle w:val="Normal"/>
        <w:rPr/>
      </w:pPr>
      <w:r>
        <w:rPr/>
        <w:t> </w:t>
      </w:r>
      <w:r>
        <w:rPr/>
        <w:tab/>
      </w:r>
      <w:bookmarkStart w:id="0" w:name="_GoBack"/>
      <w:bookmarkEnd w:id="0"/>
    </w:p>
    <w:p>
      <w:pPr>
        <w:pStyle w:val="Normal"/>
        <w:jc w:val="center"/>
        <w:rPr/>
      </w:pPr>
      <w:r>
        <w:rPr>
          <w:b/>
          <w:bCs/>
        </w:rPr>
        <w:t>Условия независимой гарантии</w:t>
      </w:r>
    </w:p>
    <w:tbl>
      <w:tblPr>
        <w:tblW w:w="5000" w:type="pct"/>
        <w:jc w:val="center"/>
        <w:tblInd w:w="0" w:type="dxa"/>
        <w:tblLayout w:type="fixed"/>
        <w:tblCellMar>
          <w:top w:w="43" w:type="dxa"/>
          <w:left w:w="14" w:type="dxa"/>
          <w:bottom w:w="14" w:type="dxa"/>
          <w:right w:w="14" w:type="dxa"/>
        </w:tblCellMar>
        <w:tblLook w:val="04a0" w:noHBand="0" w:noVBand="1" w:firstColumn="1" w:lastRow="0" w:lastColumn="0" w:firstRow="1"/>
      </w:tblPr>
      <w:tblGrid>
        <w:gridCol w:w="3954"/>
        <w:gridCol w:w="3873"/>
        <w:gridCol w:w="1385"/>
        <w:gridCol w:w="1041"/>
      </w:tblGrid>
      <w:tr>
        <w:trPr/>
        <w:tc>
          <w:tcPr>
            <w:tcW w:w="395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Сумма независимой гарантии, подлежащая уплате гарантом бенефициару (далее - сумма независимой гарантии)</w:t>
            </w:r>
          </w:p>
        </w:tc>
        <w:tc>
          <w:tcPr>
            <w:tcW w:w="3873"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lang w:val="en-US"/>
              </w:rPr>
            </w:pPr>
            <w:r>
              <w:rPr>
                <w:lang w:val="en-US"/>
              </w:rPr>
              <w:t>${sum}</w:t>
            </w:r>
          </w:p>
        </w:tc>
        <w:tc>
          <w:tcPr>
            <w:tcW w:w="1385"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041"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r>
      <w:tr>
        <w:trPr/>
        <w:tc>
          <w:tcPr>
            <w:tcW w:w="395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Наименование валюты</w:t>
            </w:r>
          </w:p>
        </w:tc>
        <w:tc>
          <w:tcPr>
            <w:tcW w:w="3873" w:type="dxa"/>
            <w:tcBorders>
              <w:top w:val="single" w:sz="2" w:space="0" w:color="000000"/>
              <w:left w:val="single" w:sz="2" w:space="0" w:color="FFFFFF"/>
              <w:bottom w:val="single" w:sz="2" w:space="0" w:color="FFFFFF"/>
              <w:right w:val="single" w:sz="2" w:space="0" w:color="FFFFFF"/>
            </w:tcBorders>
            <w:shd w:color="auto" w:fill="FFFFFF" w:val="clear"/>
          </w:tcPr>
          <w:p>
            <w:pPr>
              <w:pStyle w:val="Normal"/>
              <w:ind w:firstLine="14"/>
              <w:rPr/>
            </w:pPr>
            <w:r>
              <w:rPr/>
              <w:t>Российский рубль</w:t>
            </w:r>
          </w:p>
        </w:tc>
        <w:tc>
          <w:tcPr>
            <w:tcW w:w="1385"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по ОКВ</w:t>
            </w:r>
          </w:p>
        </w:tc>
        <w:tc>
          <w:tcPr>
            <w:tcW w:w="1041" w:type="dxa"/>
            <w:tcBorders>
              <w:top w:val="single" w:sz="2" w:space="0" w:color="000000"/>
              <w:left w:val="single" w:sz="2" w:space="0" w:color="000000"/>
              <w:bottom w:val="single" w:sz="2" w:space="0" w:color="000000"/>
              <w:right w:val="single" w:sz="2" w:space="0" w:color="000000"/>
            </w:tcBorders>
            <w:shd w:color="auto" w:fill="FFFFFF" w:val="clear"/>
          </w:tcPr>
          <w:p>
            <w:pPr>
              <w:pStyle w:val="Normal"/>
              <w:ind w:firstLine="14"/>
              <w:rPr/>
            </w:pPr>
            <w:r>
              <w:rPr/>
              <w:t>643</w:t>
            </w:r>
          </w:p>
        </w:tc>
      </w:tr>
      <w:tr>
        <w:trPr/>
        <w:tc>
          <w:tcPr>
            <w:tcW w:w="395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Срок вступления независимой гарантии в силу</w:t>
            </w:r>
          </w:p>
        </w:tc>
        <w:tc>
          <w:tcPr>
            <w:tcW w:w="3873" w:type="dxa"/>
            <w:tcBorders>
              <w:top w:val="single" w:sz="2" w:space="0" w:color="000000"/>
              <w:left w:val="single" w:sz="2" w:space="0" w:color="FFFFFF"/>
              <w:bottom w:val="single" w:sz="2" w:space="0" w:color="FFFFFF"/>
              <w:right w:val="single" w:sz="2" w:space="0" w:color="FFFFFF"/>
            </w:tcBorders>
            <w:shd w:color="auto" w:fill="FFFFFF" w:val="clear"/>
          </w:tcPr>
          <w:p>
            <w:pPr>
              <w:pStyle w:val="Normal"/>
              <w:ind w:firstLine="14"/>
              <w:rPr>
                <w:lang w:val="en-US"/>
              </w:rPr>
            </w:pPr>
            <w:r>
              <w:rPr>
                <w:lang w:val="en-US"/>
              </w:rPr>
              <w:t>${date}</w:t>
            </w:r>
          </w:p>
        </w:tc>
        <w:tc>
          <w:tcPr>
            <w:tcW w:w="1385"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041" w:type="dxa"/>
            <w:tcBorders>
              <w:top w:val="single" w:sz="2" w:space="0" w:color="000000"/>
              <w:left w:val="single" w:sz="2" w:space="0" w:color="FFFFFF"/>
              <w:bottom w:val="single" w:sz="2" w:space="0" w:color="FFFFFF"/>
              <w:right w:val="single" w:sz="2" w:space="0" w:color="FFFFFF"/>
            </w:tcBorders>
            <w:shd w:color="auto" w:fill="FFFFFF" w:val="clear"/>
          </w:tcPr>
          <w:p>
            <w:pPr>
              <w:pStyle w:val="Normal"/>
              <w:ind w:firstLine="14"/>
              <w:rPr/>
            </w:pPr>
            <w:r>
              <w:rPr/>
            </w:r>
          </w:p>
        </w:tc>
      </w:tr>
      <w:tr>
        <w:trPr/>
        <w:tc>
          <w:tcPr>
            <w:tcW w:w="395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t>Срок действия независимой гарантии</w:t>
            </w:r>
          </w:p>
        </w:tc>
        <w:tc>
          <w:tcPr>
            <w:tcW w:w="3873" w:type="dxa"/>
            <w:tcBorders>
              <w:top w:val="single" w:sz="2" w:space="0" w:color="000000"/>
              <w:left w:val="single" w:sz="2" w:space="0" w:color="FFFFFF"/>
              <w:bottom w:val="single" w:sz="2" w:space="0" w:color="000000"/>
              <w:right w:val="single" w:sz="2" w:space="0" w:color="FFFFFF"/>
            </w:tcBorders>
            <w:shd w:color="auto" w:fill="FFFFFF" w:val="clear"/>
          </w:tcPr>
          <w:p>
            <w:pPr>
              <w:pStyle w:val="Normal"/>
              <w:ind w:firstLine="14"/>
              <w:rPr/>
            </w:pPr>
            <w:r>
              <w:rPr/>
              <w:t xml:space="preserve">до </w:t>
            </w:r>
            <w:r>
              <w:rPr>
                <w:lang w:val="en-US"/>
              </w:rPr>
              <w:t>${endDate}</w:t>
            </w:r>
          </w:p>
        </w:tc>
        <w:tc>
          <w:tcPr>
            <w:tcW w:w="1385"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c>
          <w:tcPr>
            <w:tcW w:w="1041"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pPr>
            <w:r>
              <w:rPr/>
            </w:r>
          </w:p>
        </w:tc>
      </w:tr>
    </w:tbl>
    <w:p>
      <w:pPr>
        <w:pStyle w:val="Normal"/>
        <w:rPr/>
      </w:pPr>
      <w:r>
        <w:rPr/>
        <w:t> </w:t>
      </w:r>
    </w:p>
    <w:p>
      <w:pPr>
        <w:pStyle w:val="Normal"/>
        <w:jc w:val="both"/>
        <w:rPr/>
      </w:pPr>
      <w:r>
        <w:rPr/>
        <w:t>1. Настоящая независимая гарантия обеспечивает исполнение принципалом его обязательств, предусмотренных контрактом, заключенным (заключаемым) с бенефициаром, включающих в том числе обязательства принципала по уплате неустоек (штрафов, пеней).</w:t>
      </w:r>
    </w:p>
    <w:p>
      <w:pPr>
        <w:pStyle w:val="Normal"/>
        <w:jc w:val="both"/>
        <w:rPr/>
      </w:pPr>
      <w:r>
        <w:rPr/>
        <w:t>2. Настоящая независимая гарантия не может быть отозвана гарантом.</w:t>
      </w:r>
    </w:p>
    <w:p>
      <w:pPr>
        <w:pStyle w:val="Normal"/>
        <w:jc w:val="both"/>
        <w:rPr/>
      </w:pPr>
      <w:r>
        <w:rPr/>
        <w:t>3. Бенефициар в случае неисполнения или ненадлежащего исполнения принципалом обязательств, обеспеченных настоящей независимой гарантией, вправе до окончания ее срока действия предъявить требование об уплате денежной суммы по независимой гарантии (далее - требование) в размере цены контракта, уменьшенном на сумму, пропорциональную объему исполненных принципалом обязательств, предусмотренных контрактом и оплаченных бенефициаром, но не превышающем размер обеспечения исполнения контракта и сумму независимой гарантии.</w:t>
      </w:r>
    </w:p>
    <w:p>
      <w:pPr>
        <w:pStyle w:val="Normal"/>
        <w:jc w:val="both"/>
        <w:rPr/>
      </w:pPr>
      <w:r>
        <w:rPr/>
        <w:t>4. Бенефициар вправе направить гаранту требование в письменной форме на бумажном носителе или в форме электронного документа, подписанного усиленной квалифицированной электронной подписью лица, имеющего право действовать от имени бенефициара.</w:t>
      </w:r>
    </w:p>
    <w:p>
      <w:pPr>
        <w:pStyle w:val="Normal"/>
        <w:jc w:val="both"/>
        <w:rPr/>
      </w:pPr>
      <w:r>
        <w:rPr/>
        <w:t>5. Требование в письменной форме на бумажном носителе должно быть направлено (в случае если бенефициар направляет требование гаранту в письменной форме на бумажном носителе) по адресу: 109147, Москва, ул. Воронцовская, 27/35.</w:t>
      </w:r>
    </w:p>
    <w:p>
      <w:pPr>
        <w:pStyle w:val="Normal"/>
        <w:jc w:val="both"/>
        <w:rPr/>
      </w:pPr>
      <w:r>
        <w:rPr/>
        <w:t>6. Требование в форме электронного документа должно быть направлено (в случае если бенефициар направляет требование гаранту в форме электронного документа) по адресу: info@tkbbank.ru.</w:t>
      </w:r>
    </w:p>
    <w:p>
      <w:pPr>
        <w:pStyle w:val="Normal"/>
        <w:jc w:val="both"/>
        <w:rPr/>
      </w:pPr>
      <w:r>
        <w:rPr/>
        <w:t>7. В случае направления требования бенефициар обязан одновременно с таким требованием направить гаранту:</w:t>
      </w:r>
    </w:p>
    <w:p>
      <w:pPr>
        <w:pStyle w:val="Normal"/>
        <w:jc w:val="both"/>
        <w:rPr/>
      </w:pPr>
      <w:r>
        <w:rPr/>
        <w:t>а) расчет суммы, включаемой в требование по настоящей независимой гарантии;</w:t>
      </w:r>
    </w:p>
    <w:p>
      <w:pPr>
        <w:pStyle w:val="Normal"/>
        <w:jc w:val="both"/>
        <w:rPr/>
      </w:pPr>
      <w:r>
        <w:rPr/>
        <w:t>б) платежное поручение, подтверждающее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независимой гарантии, предоставленной в качестве обеспечения исполнения контракта, предъявлено в случае ненадлежащего исполнения принципалом обязательств по возврату аванса);</w:t>
      </w:r>
    </w:p>
    <w:p>
      <w:pPr>
        <w:pStyle w:val="Normal"/>
        <w:jc w:val="both"/>
        <w:rPr/>
      </w:pPr>
      <w:r>
        <w:rPr/>
        <w:t>в) документ, подтверждающий факт наступления гарантийного случая в соответствии с условиями контракта (если требование по настоящей независимой гарантии предъявлено в случае ненадлежащего исполнения принципалом обязательств в период действия гарантийного срока);</w:t>
      </w:r>
    </w:p>
    <w:p>
      <w:pPr>
        <w:pStyle w:val="Normal"/>
        <w:jc w:val="both"/>
        <w:rPr/>
      </w:pPr>
      <w:r>
        <w:rPr/>
        <w:t>г) документ, подтверждающий полномочия лица, подписавшего требование по настоящей независимой гарантии от имени бенефициара (доверенность) (в случае если требование по настоящей независимой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pPr>
        <w:pStyle w:val="Normal"/>
        <w:jc w:val="both"/>
        <w:rPr/>
      </w:pPr>
      <w:r>
        <w:rPr/>
        <w:t>8. В случае направления бенефициаром требования на бумажном носителе представляются оригиналы предусмотренных пунктом 7 настоящей независимой гарантии документов или заверенные бенефициаром их копии. Если копия документа заверена лицом, не указанным в Едином государственном реестре юридических лиц в качестве лица, имеющего право без доверенности действовать от имени бенефициара, также представляется документ, подтверждающий полномочия такого лица на осуществление действий от имени бенефициара. В случае направления требования в форме электронного документа, предусмотренные пунктом 7 настоящей независимой гарантии документы представляются в форме электронных документов или в форме электронных образов бумажных документов, подписанных усиленной квалифицированной электронной подписью лица, имеющего право действовать от имени бенефициара</w:t>
      </w:r>
    </w:p>
    <w:p>
      <w:pPr>
        <w:pStyle w:val="Normal"/>
        <w:jc w:val="both"/>
        <w:rPr/>
      </w:pPr>
      <w:r>
        <w:rPr/>
        <w:t>9. Гарант обязан рассмотреть требование не позднее 5 рабочих дней со дня, следующего за днем получения указанного требования и документов, предусмотренных пунктом 7 настоящей независимой гарантии.</w:t>
      </w:r>
    </w:p>
    <w:p>
      <w:pPr>
        <w:pStyle w:val="Normal"/>
        <w:jc w:val="both"/>
        <w:rPr/>
      </w:pPr>
      <w:r>
        <w:rPr/>
        <w:t>10. Гарант обязан уплатить бенефициару денежную сумму по настоящей независимой гарантии в размере, указанном в требовании, не позднее 10 рабочих дней со дня, следующего за днем получения гарантом требования бенефициара, соответствующего условиям настоящей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pPr>
        <w:pStyle w:val="Normal"/>
        <w:jc w:val="both"/>
        <w:rPr/>
      </w:pPr>
      <w:r>
        <w:rPr/>
        <w:t>11. Обязательство гаранта перед бенефициаром считается исполненным надлежащим образом со дня поступления денежных сумм по настоящей независимой гарантии на счет, на котором в соответствии с законодательством Российской Федерации учитываются операции со средствами, поступающими бенефициару, указанный бенефициаром в требовании.</w:t>
      </w:r>
    </w:p>
    <w:p>
      <w:pPr>
        <w:pStyle w:val="Normal"/>
        <w:jc w:val="both"/>
        <w:rPr/>
      </w:pPr>
      <w:r>
        <w:rPr/>
        <w:t>12. Гарант в случае просрочки исполнения обязательств по настоящей независимой гарантии, требование по которой соответствует условиям настоящей независимой гарантии и предъявлено бенефициаром до окончания срока ее действия, обязан за каждый день просрочки (начиная со дня, следующего за днем истечения установленного настоящей независимой гарантией срока оплаты требования, по день исполнения гарантом требования включительно) уплатить бенефициару неустойку (пени) в размере 0,1 процента денежной суммы, подлежащей уплате по настоящей независимой гарантии.</w:t>
      </w:r>
    </w:p>
    <w:p>
      <w:pPr>
        <w:pStyle w:val="Normal"/>
        <w:jc w:val="both"/>
        <w:rPr/>
      </w:pPr>
      <w:r>
        <w:rPr/>
        <w:t>13. Все расходы, возникающие в связи с перечислением гарантом денежных средств по настоящей независимой гарантии бенефициару, несет Гарант.</w:t>
      </w:r>
    </w:p>
    <w:p>
      <w:pPr>
        <w:pStyle w:val="Normal"/>
        <w:jc w:val="both"/>
        <w:rPr/>
      </w:pPr>
      <w:r>
        <w:rPr/>
        <w:t>14. Споры, возникающие в связи с исполнением обязательств по независимой гарантии, подлежат рассмотрению в Арбитражном суде города Москвы.</w:t>
      </w:r>
    </w:p>
    <w:p>
      <w:pPr>
        <w:pStyle w:val="Normal"/>
        <w:jc w:val="both"/>
        <w:rPr/>
      </w:pPr>
      <w:r>
        <w:rPr/>
        <w:t>15. Настоящая независимая гарантия выдана в пользу бенефициара, и права требования по ней не могут быть переданы третьему лицу без согласия гаранта, за исключением случая перемены заказчика при осуществлении закупки, при котором право требования по независимой гарантии может быть передано новому заказчику с предварительным извещением об этом гаранта.</w:t>
      </w:r>
    </w:p>
    <w:p>
      <w:pPr>
        <w:pStyle w:val="Normal"/>
        <w:jc w:val="both"/>
        <w:rPr/>
      </w:pPr>
      <w:r>
        <w:rPr/>
        <w:t>16. Дополнительные условия:</w:t>
      </w:r>
    </w:p>
    <w:p>
      <w:pPr>
        <w:pStyle w:val="Normal"/>
        <w:jc w:val="both"/>
        <w:rPr/>
      </w:pPr>
      <w:r>
        <w:rPr/>
        <w:t>16.1. Гарантия предоставлена под отлагательным условием, а именно при условии заключения между гарантом и принципалом договора присоединения к правилам предоставления Публичным акционерным обществом «ТРАНСКАПИТАЛБАНК» независимых (банковских) гарантий по обязательствам принципала, возникшим из контракта, в случае предоставления настоящей Гарантии в качестве обеспечения исполнения контракта.</w:t>
      </w:r>
    </w:p>
    <w:p>
      <w:pPr>
        <w:pStyle w:val="Normal"/>
        <w:jc w:val="both"/>
        <w:rPr/>
      </w:pPr>
      <w:r>
        <w:rPr/>
        <w:t>16.2. Настоящая Гарантия может быть изменена гарантом без согласия бенефициара только в части увеличения суммы и/или срока действия настоящей Гарантии путем выпуска дополнения к настоящей Гарантии. Иные изменения настоящей Гарантии допускаются только с письменного согласия бенефициара.</w:t>
      </w:r>
    </w:p>
    <w:p>
      <w:pPr>
        <w:pStyle w:val="Normal"/>
        <w:jc w:val="both"/>
        <w:rPr/>
      </w:pPr>
      <w:r>
        <w:rPr/>
        <w:t>16.3. Сведения о принципале в объеме, определенном статьей 4 Федерального закона от 30 декабря 2004г. №218-ФЗ «О кредитных историях» передаются гарантом в бюро кредитных историй.</w:t>
      </w:r>
    </w:p>
    <w:p>
      <w:pPr>
        <w:pStyle w:val="Normal"/>
        <w:jc w:val="both"/>
        <w:rPr/>
      </w:pPr>
      <w:r>
        <w:rPr/>
        <w:t>16.4. Настоящей Гарантией не обеспечиваются обязательства принципала по возврату авансового платежа.</w:t>
      </w:r>
    </w:p>
    <w:p>
      <w:pPr>
        <w:pStyle w:val="Normal"/>
        <w:rPr/>
      </w:pPr>
      <w:r>
        <w:rPr/>
        <w:t> </w:t>
      </w:r>
    </w:p>
    <w:tbl>
      <w:tblPr>
        <w:tblW w:w="5000" w:type="pct"/>
        <w:jc w:val="center"/>
        <w:tblInd w:w="0" w:type="dxa"/>
        <w:tblLayout w:type="fixed"/>
        <w:tblCellMar>
          <w:top w:w="43" w:type="dxa"/>
          <w:left w:w="14" w:type="dxa"/>
          <w:bottom w:w="14" w:type="dxa"/>
          <w:right w:w="14" w:type="dxa"/>
        </w:tblCellMar>
        <w:tblLook w:val="04a0" w:noHBand="0" w:noVBand="1" w:firstColumn="1" w:lastRow="0" w:lastColumn="0" w:firstRow="1"/>
      </w:tblPr>
      <w:tblGrid>
        <w:gridCol w:w="3690"/>
        <w:gridCol w:w="4240"/>
        <w:gridCol w:w="2324"/>
      </w:tblGrid>
      <w:tr>
        <w:trPr/>
        <w:tc>
          <w:tcPr>
            <w:tcW w:w="3690"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sz w:val="16"/>
                <w:szCs w:val="16"/>
              </w:rPr>
            </w:pPr>
            <w:r>
              <w:rPr>
                <w:sz w:val="16"/>
                <w:szCs w:val="16"/>
              </w:rPr>
              <w:t>Главный специалист Отдела экспресс-гарантий и тендерного финансирования</w:t>
            </w:r>
          </w:p>
        </w:tc>
        <w:tc>
          <w:tcPr>
            <w:tcW w:w="4240"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sz w:val="16"/>
                <w:szCs w:val="16"/>
              </w:rPr>
            </w:pPr>
            <w:r>
              <w:rPr>
                <w:sz w:val="16"/>
                <w:szCs w:val="16"/>
              </w:rPr>
              <w:t>/__________________________________/</w:t>
            </w:r>
          </w:p>
        </w:tc>
        <w:tc>
          <w:tcPr>
            <w:tcW w:w="232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hanging="0"/>
              <w:rPr>
                <w:sz w:val="16"/>
                <w:szCs w:val="16"/>
                <w:lang w:val="en-US"/>
              </w:rPr>
            </w:pPr>
            <w:r>
              <w:rPr>
                <w:lang w:val="en-US"/>
              </w:rPr>
              <w:t>Чуракова Алина Валерьевна</w:t>
            </w:r>
          </w:p>
        </w:tc>
      </w:tr>
      <w:tr>
        <w:trPr/>
        <w:tc>
          <w:tcPr>
            <w:tcW w:w="3690"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sz w:val="16"/>
                <w:szCs w:val="16"/>
              </w:rPr>
            </w:pPr>
            <w:r>
              <w:rPr>
                <w:sz w:val="16"/>
                <w:szCs w:val="16"/>
              </w:rPr>
              <w:t>Представитель Публичное акционерное общество "ТРАНСКАПИТАЛБАНК"</w:t>
            </w:r>
          </w:p>
        </w:tc>
        <w:tc>
          <w:tcPr>
            <w:tcW w:w="4240"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rPr>
                <w:sz w:val="16"/>
                <w:szCs w:val="16"/>
              </w:rPr>
            </w:pPr>
            <w:r>
              <w:rPr>
                <w:sz w:val="16"/>
                <w:szCs w:val="16"/>
              </w:rPr>
              <w:t>(подпись)</w:t>
            </w:r>
          </w:p>
        </w:tc>
        <w:tc>
          <w:tcPr>
            <w:tcW w:w="2324" w:type="dxa"/>
            <w:tcBorders>
              <w:top w:val="single" w:sz="2" w:space="0" w:color="FFFFFF"/>
              <w:left w:val="single" w:sz="2" w:space="0" w:color="FFFFFF"/>
              <w:bottom w:val="single" w:sz="2" w:space="0" w:color="FFFFFF"/>
              <w:right w:val="single" w:sz="2" w:space="0" w:color="FFFFFF"/>
            </w:tcBorders>
            <w:shd w:color="auto" w:fill="FFFFFF" w:val="clear"/>
          </w:tcPr>
          <w:p>
            <w:pPr>
              <w:pStyle w:val="Normal"/>
              <w:ind w:firstLine="14"/>
              <w:jc w:val="center"/>
              <w:rPr>
                <w:sz w:val="16"/>
                <w:szCs w:val="16"/>
              </w:rPr>
            </w:pPr>
            <w:r>
              <w:rPr>
                <w:sz w:val="16"/>
                <w:szCs w:val="16"/>
              </w:rPr>
              <w:t>Ф.И.О.</w:t>
            </w:r>
          </w:p>
        </w:tc>
      </w:tr>
    </w:tbl>
    <w:p>
      <w:pPr>
        <w:pStyle w:val="Normal"/>
        <w:ind w:hanging="0"/>
        <w:rPr/>
      </w:pPr>
      <w:r>
        <w:rPr/>
        <w:t> </w:t>
      </w:r>
    </w:p>
    <w:p>
      <w:pPr>
        <w:pStyle w:val="Normal"/>
        <w:rPr/>
      </w:pPr>
      <w:r>
        <w:rPr/>
        <mc:AlternateContent>
          <mc:Choice Requires="wps">
            <w:drawing>
              <wp:inline distT="0" distB="0" distL="0" distR="0">
                <wp:extent cx="3954780" cy="190500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3954960" cy="19051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50.05pt;width:311.35pt;height:149.95pt;mso-wrap-style:none;v-text-anchor:middle;mso-position-horizontal:left;mso-position-vertical:top" type="_x0000_t75">
                <v:imagedata r:id="rId3" o:detectmouseclick="t"/>
                <v:stroke color="#3465a4" joinstyle="round" endcap="flat"/>
                <w10:wrap type="none"/>
              </v:shape>
            </w:pict>
          </mc:Fallback>
        </mc:AlternateContent>
      </w:r>
    </w:p>
    <w:sectPr>
      <w:type w:val="nextPage"/>
      <w:pgSz w:w="12240" w:h="15840"/>
      <w:pgMar w:left="1137" w:right="849" w:gutter="0" w:header="0" w:top="561" w:footer="0" w:bottom="1440"/>
      <w:pgNumType w:start="1" w:fmt="decimal"/>
      <w:formProt w:val="false"/>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14"/>
        <w:szCs w:val="1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0"/>
      <w:ind w:firstLine="432"/>
      <w:jc w:val="left"/>
    </w:pPr>
    <w:rPr>
      <w:rFonts w:ascii="Times New Roman" w:hAnsi="Times New Roman" w:eastAsia="Times New Roman" w:cs="Times New Roman"/>
      <w:color w:val="auto"/>
      <w:kern w:val="0"/>
      <w:sz w:val="14"/>
      <w:szCs w:val="14"/>
      <w:lang w:val="ru-RU" w:eastAsia="ru-RU" w:bidi="ar-SA"/>
    </w:rPr>
  </w:style>
  <w:style w:type="paragraph" w:styleId="Heading1">
    <w:name w:val="Heading 1"/>
    <w:basedOn w:val="Normal"/>
    <w:qFormat/>
    <w:pPr>
      <w:jc w:val="center"/>
      <w:outlineLvl w:val="0"/>
    </w:pPr>
    <w:rPr>
      <w:b/>
      <w:bCs/>
      <w:sz w:val="32"/>
      <w:szCs w:val="32"/>
    </w:rPr>
  </w:style>
  <w:style w:type="paragraph" w:styleId="Heading2">
    <w:name w:val="Heading 2"/>
    <w:basedOn w:val="Normal"/>
    <w:qFormat/>
    <w:pPr>
      <w:jc w:val="center"/>
      <w:outlineLvl w:val="1"/>
    </w:pPr>
    <w:rPr>
      <w:b/>
      <w:bCs/>
      <w:sz w:val="28"/>
      <w:szCs w:val="28"/>
    </w:rPr>
  </w:style>
  <w:style w:type="paragraph" w:styleId="Heading3">
    <w:name w:val="Heading 3"/>
    <w:basedOn w:val="Normal"/>
    <w:qFormat/>
    <w:pPr>
      <w:jc w:val="center"/>
      <w:outlineLvl w:val="2"/>
    </w:pPr>
    <w:rPr>
      <w:b/>
      <w:bCs/>
      <w:sz w:val="24"/>
      <w:szCs w:val="24"/>
    </w:rPr>
  </w:style>
  <w:style w:type="paragraph" w:styleId="Heading4">
    <w:name w:val="Heading 4"/>
    <w:basedOn w:val="Normal"/>
    <w:qFormat/>
    <w:pPr>
      <w:jc w:val="center"/>
      <w:outlineLvl w:val="3"/>
    </w:pPr>
    <w:rPr>
      <w:b/>
      <w:bCs/>
      <w:sz w:val="20"/>
      <w:szCs w:val="20"/>
    </w:rPr>
  </w:style>
  <w:style w:type="paragraph" w:styleId="Heading5">
    <w:name w:val="Heading 5"/>
    <w:basedOn w:val="Normal"/>
    <w:qFormat/>
    <w:pPr>
      <w:jc w:val="center"/>
      <w:outlineLvl w:val="4"/>
    </w:pPr>
    <w:rPr>
      <w:b/>
      <w:bCs/>
    </w:rPr>
  </w:style>
  <w:style w:type="paragraph" w:styleId="Heading6">
    <w:name w:val="Heading 6"/>
    <w:basedOn w:val="Normal"/>
    <w:qFormat/>
    <w:pPr>
      <w:jc w:val="center"/>
      <w:outlineLvl w:val="5"/>
    </w:pPr>
    <w:rPr>
      <w:b/>
      <w:bCs/>
      <w:sz w:val="12"/>
      <w:szCs w:val="12"/>
    </w:rPr>
  </w:style>
  <w:style w:type="character" w:styleId="DefaultParagraphFont" w:default="1">
    <w:name w:val="Default Paragraph Font"/>
    <w:uiPriority w:val="1"/>
    <w:semiHidden/>
    <w:unhideWhenUsed/>
    <w:qFormat/>
    <w:rPr/>
  </w:style>
  <w:style w:type="character" w:styleId="FootnoteCharacters">
    <w:name w:val="Footnote Characters"/>
    <w:semiHidden/>
    <w:unhideWhenUsed/>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LibreOffice/24.2.3.2$Linux_X86_64 LibreOffice_project/4f88f79086d18691a72ac668802d5bc5b5a88122</Application>
  <AppVersion>15.0000</AppVersion>
  <Pages>2</Pages>
  <Words>1000</Words>
  <Characters>7395</Characters>
  <CharactersWithSpaces>8319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2023-02-22T14:48:00Z</dcterms:created>
  <dc:creator/>
  <dc:description/>
  <dc:language>en-US</dc:language>
  <cp:lastModifiedBy/>
  <dcterms:modified xsi:type="dcterms:W3CDTF">2024-06-03T22:51:07Z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