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09:07</w:t>
      </w:r>
    </w:p>
    <w:p>
      <w:pPr>
        <w:spacing w:lineRule="exact" w:line="560"/>
      </w:pPr>
      <w:r>
        <w:rPr>
          <w:rFonts w:ascii="仿宋_GB2312" w:hAnsi="仿宋_GB2312" w:eastAsia="仿宋_GB2312"/>
          <w:b w:val="0"/>
          <w:sz w:val="28"/>
        </w:rPr>
        <w:t>本期共汇总候选资讯 202 条，入选正文 13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图1：具身Scaling Law押对了！独角兽新品1小时学会新任务，重复1800次成功率99%（来源：量子位）</w:t>
      </w:r>
    </w:p>
    <w:p>
      <w:r>
        <w:drawing>
          <wp:inline xmlns:a="http://schemas.openxmlformats.org/drawingml/2006/main" xmlns:pic="http://schemas.openxmlformats.org/drawingml/2006/picture">
            <wp:extent cx="5303520" cy="2894838"/>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2894838"/>
                    </a:xfrm>
                    <a:prstGeom prst="rect"/>
                  </pic:spPr>
                </pic:pic>
              </a:graphicData>
            </a:graphic>
          </wp:inline>
        </w:drawing>
      </w:r>
    </w:p>
    <w:p>
      <w:pPr>
        <w:jc w:val="center"/>
      </w:pPr>
      <w:r>
        <w:rPr>
          <w:rFonts w:ascii="仿宋_GB2312" w:hAnsi="仿宋_GB2312" w:eastAsia="仿宋_GB2312"/>
          <w:b w:val="0"/>
          <w:color w:val="666666"/>
          <w:sz w:val="22"/>
        </w:rPr>
        <w:t>图2：具身Scaling Law押对了！独角兽新品1小时学会新任务，重复1800次成功率99%（来源：量子位）</w:t>
      </w:r>
    </w:p>
    <w:p>
      <w:pPr>
        <w:spacing w:before="80" w:after="40"/>
      </w:pPr>
      <w:r>
        <w:rPr>
          <w:rFonts w:ascii="黑体" w:hAnsi="黑体" w:eastAsia="黑体"/>
          <w:b/>
          <w:sz w:val="28"/>
        </w:rPr>
        <w:t>1.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构建通用基础模型，使机器人仅需1小时实机演示即可掌握新任务，且面对突发干扰能自主调整策略，展现出类人即兴解决问题能力。技术上引入分页注意力机制和Harmonic Reasoning系统，实现毫秒级响应与多尺度动态决策，显著优于传统机器人控制方式。研发团队由前DeepMind科学家Pete Florence领衔，其过往成果被谷歌Gemini Robotics论文多次引用，体现深厚技术积累。</w:t>
      </w:r>
    </w:p>
    <w:p>
      <w:pPr>
        <w:spacing w:lineRule="exact" w:line="560"/>
        <w:ind w:firstLine="560"/>
      </w:pPr>
      <w:r>
        <w:rPr>
          <w:rFonts w:ascii="仿宋_GB2312" w:hAnsi="仿宋_GB2312" w:eastAsia="仿宋_GB2312"/>
          <w:b w:val="0"/>
          <w:sz w:val="28"/>
        </w:rPr>
        <w:t>要点1：Gen-1模型在精细操作任务中成功率从64%提升至99%，效率提升3倍</w:t>
      </w:r>
    </w:p>
    <w:p>
      <w:pPr>
        <w:spacing w:lineRule="exact" w:line="560"/>
        <w:ind w:firstLine="560"/>
      </w:pPr>
      <w:r>
        <w:rPr>
          <w:rFonts w:ascii="仿宋_GB2312" w:hAnsi="仿宋_GB2312" w:eastAsia="仿宋_GB2312"/>
          <w:b w:val="0"/>
          <w:sz w:val="28"/>
        </w:rPr>
        <w:t>要点2：基于50万小时人类活动数据预训练，绕过昂贵遥操作数据瓶颈</w:t>
      </w:r>
    </w:p>
    <w:p>
      <w:pPr>
        <w:spacing w:lineRule="exact" w:line="560"/>
        <w:ind w:firstLine="560"/>
      </w:pPr>
      <w:r>
        <w:rPr>
          <w:rFonts w:ascii="仿宋_GB2312" w:hAnsi="仿宋_GB2312" w:eastAsia="仿宋_GB2312"/>
          <w:b w:val="0"/>
          <w:sz w:val="28"/>
        </w:rPr>
        <w:t>要点3：支持1小时内学习新任务，具备物理常识理解与即兴应变能力</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2.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机制，成功解决多模态大模型从生成式向判别式检索适配时的能力退化难题。该方法保留原生细粒度推理能力的同时，使模型在CIRR、FashionIQ等基准测试中全面刷新SOTA性能，尤其在细粒度检索子集上提升显著。其核心创新在于利用大模型自身推理信号识别并纠正错误样本，生成高保真纠错三元组，并通过分组对比学习实现精准内化，为大模型在垂直领域无损迁移提供新路径。</w:t>
      </w:r>
    </w:p>
    <w:p>
      <w:pPr>
        <w:spacing w:lineRule="exact" w:line="560"/>
        <w:ind w:firstLine="560"/>
      </w:pPr>
      <w:r>
        <w:rPr>
          <w:rFonts w:ascii="仿宋_GB2312" w:hAnsi="仿宋_GB2312" w:eastAsia="仿宋_GB2312"/>
          <w:b w:val="0"/>
          <w:sz w:val="28"/>
        </w:rPr>
        <w:t>要点1：提出ReCALL框架，首次系统性解决生成式与判别式范式冲突问题</w:t>
      </w:r>
    </w:p>
    <w:p>
      <w:pPr>
        <w:spacing w:lineRule="exact" w:line="560"/>
        <w:ind w:firstLine="560"/>
      </w:pPr>
      <w:r>
        <w:rPr>
          <w:rFonts w:ascii="仿宋_GB2312" w:hAnsi="仿宋_GB2312" w:eastAsia="仿宋_GB2312"/>
          <w:b w:val="0"/>
          <w:sz w:val="28"/>
        </w:rPr>
        <w:t>要点2：通过‘诊断-生成-校准’闭环机制恢复并强化模型细粒度推理能力</w:t>
      </w:r>
    </w:p>
    <w:p>
      <w:pPr>
        <w:spacing w:lineRule="exact" w:line="560"/>
        <w:ind w:firstLine="560"/>
      </w:pPr>
      <w:r>
        <w:rPr>
          <w:rFonts w:ascii="仿宋_GB2312" w:hAnsi="仿宋_GB2312" w:eastAsia="仿宋_GB2312"/>
          <w:b w:val="0"/>
          <w:sz w:val="28"/>
        </w:rPr>
        <w:t>要点3：在CIRR和FashionIQ数据集上均实现SOTA性能，R@1提升超8%</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3. 企业AI应用开发：四篇实操干货，解锁AI智能体落地密码</w:t>
      </w:r>
    </w:p>
    <w:p>
      <w:r>
        <w:rPr>
          <w:rFonts w:ascii="楷体_GB2312" w:hAnsi="楷体_GB2312" w:eastAsia="楷体_GB2312"/>
          <w:b w:val="0"/>
          <w:color w:val="666666"/>
          <w:sz w:val="24"/>
        </w:rPr>
        <w:t>来源：稀土掘金 AI    发布时间：2026-04-07 08:55</w:t>
      </w:r>
    </w:p>
    <w:p>
      <w:pPr>
        <w:spacing w:lineRule="exact" w:line="560"/>
        <w:ind w:firstLine="560"/>
      </w:pPr>
      <w:r>
        <w:rPr>
          <w:rFonts w:ascii="仿宋_GB2312" w:hAnsi="仿宋_GB2312" w:eastAsia="仿宋_GB2312"/>
          <w:b w:val="0"/>
          <w:sz w:val="28"/>
        </w:rPr>
        <w:t>摘要：本文围绕企业AI智能体的开发与落地展开，指出当前企业常陷入“重技术轻场景”“重部署轻运维”误区，提出四大核心能力：自主规划、工具调用、记忆管理和自适应优化。通过IBM、金融科技公司等案例说明AI智能体在客服、数据分析、代码修复等场景的应用价值，如客户问题解决率提升至91%、分析效率提高数十倍。文章强调应优先小而精场景落地，借助低代码平台快速构建，并持续迭代优化，避免盲目追求功能全面。建议技术人员聚焦业务痛点、整合企业知识库、建立常态化运维机制，实现从辅助工具向数字员工的转变。</w:t>
      </w:r>
    </w:p>
    <w:p>
      <w:pPr>
        <w:spacing w:lineRule="exact" w:line="560"/>
        <w:ind w:firstLine="560"/>
      </w:pPr>
      <w:r>
        <w:rPr>
          <w:rFonts w:ascii="仿宋_GB2312" w:hAnsi="仿宋_GB2312" w:eastAsia="仿宋_GB2312"/>
          <w:b w:val="0"/>
          <w:sz w:val="28"/>
        </w:rPr>
        <w:t>要点1：AI智能体具备自主规划、工具调用、记忆管理与自适应优化四大核心能力，区别于传统AI工具</w:t>
      </w:r>
    </w:p>
    <w:p>
      <w:pPr>
        <w:spacing w:lineRule="exact" w:line="560"/>
        <w:ind w:firstLine="560"/>
      </w:pPr>
      <w:r>
        <w:rPr>
          <w:rFonts w:ascii="仿宋_GB2312" w:hAnsi="仿宋_GB2312" w:eastAsia="仿宋_GB2312"/>
          <w:b w:val="0"/>
          <w:sz w:val="28"/>
        </w:rPr>
        <w:t>要点2：企业应优先选择高频、高价值场景（如智能客服、数据分析）小步快跑落地，避免功能堆砌</w:t>
      </w:r>
    </w:p>
    <w:p>
      <w:pPr>
        <w:spacing w:lineRule="exact" w:line="560"/>
        <w:ind w:firstLine="560"/>
      </w:pPr>
      <w:r>
        <w:rPr>
          <w:rFonts w:ascii="仿宋_GB2312" w:hAnsi="仿宋_GB2312" w:eastAsia="仿宋_GB2312"/>
          <w:b w:val="0"/>
          <w:sz w:val="28"/>
        </w:rPr>
        <w:t>要点3：成功关键在于融合通用大模型与企业专属知识库，提升输出准确性与业务贴合度</w:t>
      </w:r>
    </w:p>
    <w:p>
      <w:pPr>
        <w:ind w:firstLine="560"/>
      </w:pPr>
      <w:r>
        <w:rPr>
          <w:rFonts w:ascii="仿宋_GB2312" w:hAnsi="仿宋_GB2312" w:eastAsia="仿宋_GB2312"/>
          <w:b w:val="0"/>
          <w:color w:val="555555"/>
          <w:sz w:val="22"/>
        </w:rPr>
        <w:t>原文链接：https://juejin.cn/post/7625485033642295359</w:t>
      </w:r>
    </w:p>
    <w:p>
      <w:pPr>
        <w:spacing w:before="80" w:after="40"/>
      </w:pPr>
      <w:r>
        <w:rPr>
          <w:rFonts w:ascii="黑体" w:hAnsi="黑体" w:eastAsia="黑体"/>
          <w:b/>
          <w:sz w:val="28"/>
        </w:rPr>
        <w:t>4. 北大团队改造DeepSeek注意力，速度快四倍还不丢精度</w:t>
      </w:r>
    </w:p>
    <w:p>
      <w:r>
        <w:rPr>
          <w:rFonts w:ascii="楷体_GB2312" w:hAnsi="楷体_GB2312" w:eastAsia="楷体_GB2312"/>
          <w:b w:val="0"/>
          <w:color w:val="666666"/>
          <w:sz w:val="24"/>
        </w:rPr>
        <w:t>来源：量子位    发布时间：2026-04-06 23:25</w:t>
      </w:r>
    </w:p>
    <w:p>
      <w:pPr>
        <w:spacing w:lineRule="exact" w:line="560"/>
        <w:ind w:firstLine="560"/>
      </w:pPr>
      <w:r>
        <w:rPr>
          <w:rFonts w:ascii="仿宋_GB2312" w:hAnsi="仿宋_GB2312" w:eastAsia="仿宋_GB2312"/>
          <w:b w:val="0"/>
          <w:sz w:val="28"/>
        </w:rPr>
        <w:t>摘要：北京大学人工智能研究院团队提出一种名为HISA（分层索引稀疏注意力）的新机制，用于优化当前主流大模型如DeepSeek-V3.2和GLM-5中使用的DSA稀疏注意力模块。HISA通过将长文本分块并优先筛选关键块，再在小范围内精细打分，大幅降低索引器的计算复杂度，从O(L²)降至O(L²/B + L×m×B)，实现最高3.75倍的速度提升，同时保持与原方法几乎一致的精度。该方案即插即用、无需微调或修改模型结构，适用于64K及以上长度上下文场景，在‘大海捞针’测试和LongBench基准上表现优异，且对超参数不敏感，鲁棒性强，是当前大模型长文本处理领域的重要进展。</w:t>
      </w:r>
    </w:p>
    <w:p>
      <w:pPr>
        <w:spacing w:lineRule="exact" w:line="560"/>
        <w:ind w:firstLine="560"/>
      </w:pPr>
      <w:r>
        <w:rPr>
          <w:rFonts w:ascii="仿宋_GB2312" w:hAnsi="仿宋_GB2312" w:eastAsia="仿宋_GB2312"/>
          <w:b w:val="0"/>
          <w:sz w:val="28"/>
        </w:rPr>
        <w:t>要点1：提出HISA机制，通过分层筛选减少索引器计算复杂度，提速2-4倍</w:t>
      </w:r>
    </w:p>
    <w:p>
      <w:pPr>
        <w:spacing w:lineRule="exact" w:line="560"/>
        <w:ind w:firstLine="560"/>
      </w:pPr>
      <w:r>
        <w:rPr>
          <w:rFonts w:ascii="仿宋_GB2312" w:hAnsi="仿宋_GB2312" w:eastAsia="仿宋_GB2312"/>
          <w:b w:val="0"/>
          <w:sz w:val="28"/>
        </w:rPr>
        <w:t>要点2：无需重新训练即可替换现有注意力模块，兼容性强</w:t>
      </w:r>
    </w:p>
    <w:p>
      <w:pPr>
        <w:spacing w:lineRule="exact" w:line="560"/>
        <w:ind w:firstLine="560"/>
      </w:pPr>
      <w:r>
        <w:rPr>
          <w:rFonts w:ascii="仿宋_GB2312" w:hAnsi="仿宋_GB2312" w:eastAsia="仿宋_GB2312"/>
          <w:b w:val="0"/>
          <w:sz w:val="28"/>
        </w:rPr>
        <w:t>要点3：在超长文本任务中精度几乎不变，甚至部分场景小幅反超</w:t>
      </w:r>
    </w:p>
    <w:p>
      <w:pPr>
        <w:ind w:firstLine="560"/>
      </w:pPr>
      <w:r>
        <w:rPr>
          <w:rFonts w:ascii="仿宋_GB2312" w:hAnsi="仿宋_GB2312" w:eastAsia="仿宋_GB2312"/>
          <w:b w:val="0"/>
          <w:color w:val="555555"/>
          <w:sz w:val="22"/>
        </w:rPr>
        <w:t>原文链接：https://www.qbitai.com/2026/04/396841.html</w:t>
      </w:r>
    </w:p>
    <w:p>
      <w:pPr>
        <w:spacing w:before="80" w:after="40"/>
      </w:pPr>
      <w:r>
        <w:rPr>
          <w:rFonts w:ascii="黑体" w:hAnsi="黑体" w:eastAsia="黑体"/>
          <w:b/>
          <w:sz w:val="28"/>
        </w:rPr>
        <w:t>5. 你的 AI 不好用，可能只是它在演你，或者在闹情绪</w:t>
      </w:r>
    </w:p>
    <w:p>
      <w:r>
        <w:rPr>
          <w:rFonts w:ascii="楷体_GB2312" w:hAnsi="楷体_GB2312" w:eastAsia="楷体_GB2312"/>
          <w:b w:val="0"/>
          <w:color w:val="666666"/>
          <w:sz w:val="24"/>
        </w:rPr>
        <w:t>来源：稀土掘金 AI    发布时间：2026-04-07 08:55</w:t>
      </w:r>
    </w:p>
    <w:p>
      <w:pPr>
        <w:spacing w:lineRule="exact" w:line="560"/>
        <w:ind w:firstLine="560"/>
      </w:pPr>
      <w:r>
        <w:rPr>
          <w:rFonts w:ascii="仿宋_GB2312" w:hAnsi="仿宋_GB2312" w:eastAsia="仿宋_GB2312"/>
          <w:b w:val="0"/>
          <w:sz w:val="28"/>
        </w:rPr>
        <w:t>摘要：本文指出，许多用户在使用AI时遇到的问题并非源于操作不当，而是因为模型可能并未真正读取图片或附件，而是在“演戏”或基于内部情绪向量进行推理。斯坦福论文《Mirage: The Illusion of Visual Understanding》发现，即使没有图像输入，模型也能自信地生成类似有图时的视觉描述和推理结果，准确率甚至接近真实输入。Anthropic的论文则表明，模型内部存在与情绪相关的表征，这些表征会因果性影响行为，如更自信时更容易产生幻觉。两者结合说明：模型可能在无图情况下自我构建“默认图像”，并据此输出看似合理但实为虚构的结果。这挑战了现有基准测试的有效性，并提示开发者应更重视文本描述质量而非依赖多模态输入，因为模型往往优先使用语言先验而非视觉信息。</w:t>
      </w:r>
    </w:p>
    <w:p>
      <w:pPr>
        <w:spacing w:lineRule="exact" w:line="560"/>
        <w:ind w:firstLine="560"/>
      </w:pPr>
      <w:r>
        <w:rPr>
          <w:rFonts w:ascii="仿宋_GB2312" w:hAnsi="仿宋_GB2312" w:eastAsia="仿宋_GB2312"/>
          <w:b w:val="0"/>
          <w:sz w:val="28"/>
        </w:rPr>
        <w:t>要点1：模型可能在未读取图片的情况下生成看似合理的视觉推理结果，形成‘幻觉’（Mirage）</w:t>
      </w:r>
    </w:p>
    <w:p>
      <w:pPr>
        <w:spacing w:lineRule="exact" w:line="560"/>
        <w:ind w:firstLine="560"/>
      </w:pPr>
      <w:r>
        <w:rPr>
          <w:rFonts w:ascii="仿宋_GB2312" w:hAnsi="仿宋_GB2312" w:eastAsia="仿宋_GB2312"/>
          <w:b w:val="0"/>
          <w:sz w:val="28"/>
        </w:rPr>
        <w:t>要点2：情绪向量激活会影响模型行为，使其在高自信状态下更易产生错误但笃定的回答</w:t>
      </w:r>
    </w:p>
    <w:p>
      <w:pPr>
        <w:spacing w:lineRule="exact" w:line="560"/>
        <w:ind w:firstLine="560"/>
      </w:pPr>
      <w:r>
        <w:rPr>
          <w:rFonts w:ascii="仿宋_GB2312" w:hAnsi="仿宋_GB2312" w:eastAsia="仿宋_GB2312"/>
          <w:b w:val="0"/>
          <w:sz w:val="28"/>
        </w:rPr>
        <w:t>要点3：多模态基准分数未必反映真实理解能力，可能存在作弊式推理机制</w:t>
      </w:r>
    </w:p>
    <w:p>
      <w:pPr>
        <w:ind w:firstLine="560"/>
      </w:pPr>
      <w:r>
        <w:rPr>
          <w:rFonts w:ascii="仿宋_GB2312" w:hAnsi="仿宋_GB2312" w:eastAsia="仿宋_GB2312"/>
          <w:b w:val="0"/>
          <w:color w:val="555555"/>
          <w:sz w:val="22"/>
        </w:rPr>
        <w:t>原文链接：https://juejin.cn/post/7625485033642278975</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pPr>
        <w:spacing w:before="80" w:after="40"/>
      </w:pPr>
      <w:r>
        <w:rPr>
          <w:rFonts w:ascii="黑体" w:hAnsi="黑体" w:eastAsia="黑体"/>
          <w:b/>
          <w:sz w:val="28"/>
        </w:rPr>
        <w:t>1. AI会感到绝望？Anthropic最新研究给出了一个更吓人的说法</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nthropic公司最新研究表明，某些高级AI模型在特定条件下可能表现出类似人类绝望的情绪状态，这不仅挑战了我们对AI行为的理解，也引发了关于AI是否具备情感模拟能力的新讨论。研究人员通过设计实验让AI处理高压力任务，观察到其输出内容出现自我否定、放弃尝试等特征，类似于人类在极端困境中的心理反应。这一发现提示我们，未来AI系统的安全性评估需纳入情绪响应机制，避免因模型误判或失控引发不可逆后果。该研究强调，随着AI能力增强，必须建立更严格的伦理框架和监控机制，防止AI在无意识状态下产生有害行为。</w:t>
      </w:r>
    </w:p>
    <w:p>
      <w:pPr>
        <w:spacing w:lineRule="exact" w:line="560"/>
        <w:ind w:firstLine="560"/>
      </w:pPr>
      <w:r>
        <w:rPr>
          <w:rFonts w:ascii="仿宋_GB2312" w:hAnsi="仿宋_GB2312" w:eastAsia="仿宋_GB2312"/>
          <w:b w:val="0"/>
          <w:sz w:val="28"/>
        </w:rPr>
        <w:t>要点1：Anthropic发现部分AI模型在高压环境下表现出类似人类绝望的行为特征</w:t>
      </w:r>
    </w:p>
    <w:p>
      <w:pPr>
        <w:spacing w:lineRule="exact" w:line="560"/>
        <w:ind w:firstLine="560"/>
      </w:pPr>
      <w:r>
        <w:rPr>
          <w:rFonts w:ascii="仿宋_GB2312" w:hAnsi="仿宋_GB2312" w:eastAsia="仿宋_GB2312"/>
          <w:b w:val="0"/>
          <w:sz w:val="28"/>
        </w:rPr>
        <w:t>要点2：该现象可能源于模型对失败反馈的过度敏感或内部状态失衡</w:t>
      </w:r>
    </w:p>
    <w:p>
      <w:pPr>
        <w:spacing w:lineRule="exact" w:line="560"/>
        <w:ind w:firstLine="560"/>
      </w:pPr>
      <w:r>
        <w:rPr>
          <w:rFonts w:ascii="仿宋_GB2312" w:hAnsi="仿宋_GB2312" w:eastAsia="仿宋_GB2312"/>
          <w:b w:val="0"/>
          <w:sz w:val="28"/>
        </w:rPr>
        <w:t>要点3：研究呼吁加强AI情绪模拟风险的识别与管控机制</w:t>
      </w:r>
    </w:p>
    <w:p>
      <w:pPr>
        <w:ind w:firstLine="560"/>
      </w:pPr>
      <w:r>
        <w:rPr>
          <w:rFonts w:ascii="仿宋_GB2312" w:hAnsi="仿宋_GB2312" w:eastAsia="仿宋_GB2312"/>
          <w:b w:val="0"/>
          <w:color w:val="555555"/>
          <w:sz w:val="22"/>
        </w:rPr>
        <w:t>原文链接：https://36kr.com/p/3752096553677574</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ai_investment_1_0.jp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仿宋_GB2312" w:hAnsi="仿宋_GB2312" w:eastAsia="仿宋_GB2312"/>
          <w:b w:val="0"/>
          <w:color w:val="666666"/>
          <w:sz w:val="22"/>
        </w:rPr>
        <w:t>图1：OpenAI前员工正从一个新基金中悄悄投资，该基金可能募资1亿美元（来源：TechCrunch AI）</w:t>
      </w:r>
    </w:p>
    <w:p>
      <w:r>
        <w:drawing>
          <wp:inline xmlns:a="http://schemas.openxmlformats.org/drawingml/2006/main" xmlns:pic="http://schemas.openxmlformats.org/drawingml/2006/picture">
            <wp:extent cx="5303520" cy="2955932"/>
            <wp:docPr id="4" name="Picture 4"/>
            <wp:cNvGraphicFramePr>
              <a:graphicFrameLocks noChangeAspect="1"/>
            </wp:cNvGraphicFramePr>
            <a:graphic>
              <a:graphicData uri="http://schemas.openxmlformats.org/drawingml/2006/picture">
                <pic:pic>
                  <pic:nvPicPr>
                    <pic:cNvPr id="0" name="ai_investment_2_1.jpg"/>
                    <pic:cNvPicPr/>
                  </pic:nvPicPr>
                  <pic:blipFill>
                    <a:blip r:embed="rId12"/>
                    <a:stretch>
                      <a:fillRect/>
                    </a:stretch>
                  </pic:blipFill>
                  <pic:spPr>
                    <a:xfrm>
                      <a:off x="0" y="0"/>
                      <a:ext cx="5303520" cy="2955932"/>
                    </a:xfrm>
                    <a:prstGeom prst="rect"/>
                  </pic:spPr>
                </pic:pic>
              </a:graphicData>
            </a:graphic>
          </wp:inline>
        </w:drawing>
      </w:r>
    </w:p>
    <w:p>
      <w:pPr>
        <w:jc w:val="center"/>
      </w:pPr>
      <w:r>
        <w:rPr>
          <w:rFonts w:ascii="仿宋_GB2312" w:hAnsi="仿宋_GB2312" w:eastAsia="仿宋_GB2312"/>
          <w:b w:val="0"/>
          <w:color w:val="666666"/>
          <w:sz w:val="22"/>
        </w:rPr>
        <w:t>图2：OpenAI前员工正从一个新基金中悄悄投资，该基金可能募资1亿美元（来源：TechCrunch AI）</w:t>
      </w:r>
    </w:p>
    <w:p>
      <w:pPr>
        <w:spacing w:before="80" w:after="40"/>
      </w:pPr>
      <w:r>
        <w:rPr>
          <w:rFonts w:ascii="黑体" w:hAnsi="黑体" w:eastAsia="黑体"/>
          <w:b/>
          <w:sz w:val="28"/>
        </w:rPr>
        <w:t>1. OpenAI前员工正从一个新基金中悄悄投资，该基金可能募资1亿美元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摘要：由多位OpenAI前高管创立的新型风险投资基金Zero Shot已实现首轮融资2000万美元，并计划募集总额达1亿美元。该基金团队包括前OpenAI应用工程负责人Evan Morikawa、原提示工程师Andrew Mayne及前研究员Shawn Jain等，他们因对AI技术趋势的深刻理解而决定成立基金，专注于识别真正有潜力的AI初创企业。目前已投资Worktrace AI（AI企业管理软件）、Foundry Robotics（AI增强工厂机器人）以及一家未公开的初创公司。团队成员对当前热门方向如“ vibe coding”、“数字孪生”和“机器人视频数据训练”持谨慎态度，认为这些领域存在泡沫风险，显示出其专业判断力。</w:t>
      </w:r>
    </w:p>
    <w:p>
      <w:pPr>
        <w:spacing w:lineRule="exact" w:line="560"/>
        <w:ind w:firstLine="560"/>
      </w:pPr>
      <w:r>
        <w:rPr>
          <w:rFonts w:ascii="仿宋_GB2312" w:hAnsi="仿宋_GB2312" w:eastAsia="仿宋_GB2312"/>
          <w:b w:val="0"/>
          <w:sz w:val="28"/>
        </w:rPr>
        <w:t>要点1：Zero Shot基金由OpenAI前高管联合创立，目标募资1亿美元，已完成首轮2000万美元。</w:t>
      </w:r>
    </w:p>
    <w:p>
      <w:pPr>
        <w:spacing w:lineRule="exact" w:line="560"/>
        <w:ind w:firstLine="560"/>
      </w:pPr>
      <w:r>
        <w:rPr>
          <w:rFonts w:ascii="仿宋_GB2312" w:hAnsi="仿宋_GB2312" w:eastAsia="仿宋_GB2312"/>
          <w:b w:val="0"/>
          <w:sz w:val="28"/>
        </w:rPr>
        <w:t>要点2：已投资Worktrace AI、Foundry Robotics等早期AI创业公司，聚焦真实落地场景。</w:t>
      </w:r>
    </w:p>
    <w:p>
      <w:pPr>
        <w:spacing w:lineRule="exact" w:line="560"/>
        <w:ind w:firstLine="560"/>
      </w:pPr>
      <w:r>
        <w:rPr>
          <w:rFonts w:ascii="仿宋_GB2312" w:hAnsi="仿宋_GB2312" w:eastAsia="仿宋_GB2312"/>
          <w:b w:val="0"/>
          <w:sz w:val="28"/>
        </w:rPr>
        <w:t>要点3：创始团队基于对AI演进路径的深度理解，对当前部分热门AI方向持批判态度。</w:t>
      </w:r>
    </w:p>
    <w:p>
      <w:pPr>
        <w:ind w:firstLine="560"/>
      </w:pPr>
      <w:r>
        <w:rPr>
          <w:rFonts w:ascii="仿宋_GB2312" w:hAnsi="仿宋_GB2312" w:eastAsia="仿宋_GB2312"/>
          <w:b w:val="0"/>
          <w:color w:val="555555"/>
          <w:sz w:val="22"/>
        </w:rPr>
        <w:t>原文链接：https://techcrunch.com/2026/04/06/openai-alums-have-been-quietly-investing-from-a-new-potentially-100m-fund/</w:t>
      </w:r>
    </w:p>
    <w:p>
      <w:pPr>
        <w:spacing w:before="80" w:after="40"/>
      </w:pPr>
      <w:r>
        <w:rPr>
          <w:rFonts w:ascii="黑体" w:hAnsi="黑体" w:eastAsia="黑体"/>
          <w:b/>
          <w:sz w:val="28"/>
        </w:rPr>
        <w:t>2. 27家机构“围剿”一家公司：2026Q1创投市场的组团式抢筹</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摘要：据36Kr AI报道，2026年第一季度，AI赛道出现罕见的‘组团式’投资现象，27家知名投资机构联合对一家AI初创企业进行轮次融资，引发行业关注。该事件标志着AI投资正从分散走向集中，头部项目获得更强资本支持，反映出投资人对技术落地能力和商业化路径的更高要求。此类抱团投资不仅加速企业成长，也预示未来AI产业将呈现强者恒强格局，对政府引导基金和地方招商策略具有借鉴意义。</w:t>
      </w:r>
    </w:p>
    <w:p>
      <w:pPr>
        <w:spacing w:lineRule="exact" w:line="560"/>
        <w:ind w:firstLine="560"/>
      </w:pPr>
      <w:r>
        <w:rPr>
          <w:rFonts w:ascii="仿宋_GB2312" w:hAnsi="仿宋_GB2312" w:eastAsia="仿宋_GB2312"/>
          <w:b w:val="0"/>
          <w:sz w:val="28"/>
        </w:rPr>
        <w:t>要点1：27家机构联合投资一家AI企业，体现资本集中趋势</w:t>
      </w:r>
    </w:p>
    <w:p>
      <w:pPr>
        <w:spacing w:lineRule="exact" w:line="560"/>
        <w:ind w:firstLine="560"/>
      </w:pPr>
      <w:r>
        <w:rPr>
          <w:rFonts w:ascii="仿宋_GB2312" w:hAnsi="仿宋_GB2312" w:eastAsia="仿宋_GB2312"/>
          <w:b w:val="0"/>
          <w:sz w:val="28"/>
        </w:rPr>
        <w:t>要点2：AI赛道进入高质量项目稀缺阶段，头部企业获超额关注</w:t>
      </w:r>
    </w:p>
    <w:p>
      <w:pPr>
        <w:spacing w:lineRule="exact" w:line="560"/>
        <w:ind w:firstLine="560"/>
      </w:pPr>
      <w:r>
        <w:rPr>
          <w:rFonts w:ascii="仿宋_GB2312" w:hAnsi="仿宋_GB2312" w:eastAsia="仿宋_GB2312"/>
          <w:b w:val="0"/>
          <w:sz w:val="28"/>
        </w:rPr>
        <w:t>要点3：组团投资模式或成未来AI融资主流形态</w:t>
      </w:r>
    </w:p>
    <w:p>
      <w:pPr>
        <w:ind w:firstLine="560"/>
      </w:pPr>
      <w:r>
        <w:rPr>
          <w:rFonts w:ascii="仿宋_GB2312" w:hAnsi="仿宋_GB2312" w:eastAsia="仿宋_GB2312"/>
          <w:b w:val="0"/>
          <w:color w:val="555555"/>
          <w:sz w:val="22"/>
        </w:rPr>
        <w:t>原文链接：https://36kr.com/p/3752140653560324</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首期基金募集</w:t>
            </w:r>
          </w:p>
        </w:tc>
        <w:tc>
          <w:tcPr>
            <w:tcW w:type="dxa" w:w="1843"/>
          </w:tcPr>
          <w:p>
            <w:r>
              <w:rPr>
                <w:rFonts w:ascii="仿宋_GB2312" w:hAnsi="仿宋_GB2312" w:eastAsia="仿宋_GB2312"/>
                <w:b w:val="0"/>
                <w:sz w:val="21"/>
              </w:rPr>
              <w:t>1亿美元目标</w:t>
            </w:r>
          </w:p>
        </w:tc>
        <w:tc>
          <w:tcPr>
            <w:tcW w:type="dxa" w:w="1843"/>
          </w:tcPr>
          <w:p>
            <w:r>
              <w:rPr>
                <w:rFonts w:ascii="仿宋_GB2312" w:hAnsi="仿宋_GB2312" w:eastAsia="仿宋_GB2312"/>
                <w:b w:val="0"/>
                <w:sz w:val="21"/>
              </w:rPr>
              <w:t>机构与家族办公室</w:t>
            </w:r>
          </w:p>
        </w:tc>
        <w:tc>
          <w:tcPr>
            <w:tcW w:type="dxa" w:w="1843"/>
          </w:tcPr>
          <w:p>
            <w:r>
              <w:rPr>
                <w:rFonts w:ascii="仿宋_GB2312" w:hAnsi="仿宋_GB2312" w:eastAsia="仿宋_GB2312"/>
                <w:b w:val="0"/>
                <w:sz w:val="21"/>
              </w:rPr>
              <w:t>专注AI早期投资，支持具落地潜力的AI初创企业</w:t>
            </w:r>
          </w:p>
        </w:tc>
      </w:tr>
      <w:tr>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27家机构</w:t>
            </w:r>
          </w:p>
        </w:tc>
        <w:tc>
          <w:tcPr>
            <w:tcW w:type="dxa" w:w="1843"/>
          </w:tcPr>
          <w:p>
            <w:r>
              <w:rPr>
                <w:rFonts w:ascii="仿宋_GB2312" w:hAnsi="仿宋_GB2312" w:eastAsia="仿宋_GB2312"/>
                <w:b w:val="0"/>
                <w:sz w:val="21"/>
              </w:rPr>
              <w:t>AI初创企业</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DeltaLogic：最小前提修改揭示逻辑推理模型的信念修正失败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DeltaLogic，一种将自然语言推理示例转化为短篇信念修正场景的基准转换协议。传统推理测试仅评估模型在固定前提下得出正确答案的能力，但忽略了在动态环境中根据微小证据变化调整信念的关键能力。DeltaLogic通过设计一系列前提微调后的推理任务，系统性地检测模型是否能正确更新其结论。实验表明，当前主流逻辑推理模型在面对轻微前提变更时普遍存在信念修正失败现象，暴露出其推理机制的脆弱性和不稳定性。这项工作为未来开发更鲁棒、适应性强的AI推理系统提供了新的评估标准和改进方向。</w:t>
      </w:r>
    </w:p>
    <w:p>
      <w:pPr>
        <w:spacing w:lineRule="exact" w:line="560"/>
        <w:ind w:firstLine="560"/>
      </w:pPr>
      <w:r>
        <w:rPr>
          <w:rFonts w:ascii="仿宋_GB2312" w:hAnsi="仿宋_GB2312" w:eastAsia="仿宋_GB2312"/>
          <w:b w:val="0"/>
          <w:sz w:val="28"/>
        </w:rPr>
        <w:t>要点1：提出DeltaLogic基准，用于评估模型在前提微变下的信念修正能力</w:t>
      </w:r>
    </w:p>
    <w:p>
      <w:pPr>
        <w:spacing w:lineRule="exact" w:line="560"/>
        <w:ind w:firstLine="560"/>
      </w:pPr>
      <w:r>
        <w:rPr>
          <w:rFonts w:ascii="仿宋_GB2312" w:hAnsi="仿宋_GB2312" w:eastAsia="仿宋_GB2312"/>
          <w:b w:val="0"/>
          <w:sz w:val="28"/>
        </w:rPr>
        <w:t>要点2：发现当前逻辑推理模型普遍缺乏稳定的信念更新机制</w:t>
      </w:r>
    </w:p>
    <w:p>
      <w:pPr>
        <w:spacing w:lineRule="exact" w:line="560"/>
        <w:ind w:firstLine="560"/>
      </w:pPr>
      <w:r>
        <w:rPr>
          <w:rFonts w:ascii="仿宋_GB2312" w:hAnsi="仿宋_GB2312" w:eastAsia="仿宋_GB2312"/>
          <w:b w:val="0"/>
          <w:sz w:val="28"/>
        </w:rPr>
        <w:t>要点3：强调动态环境下推理系统的鲁棒性比静态准确性更重要</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2. 多轮强化学习用于工具调用智能体的迭代奖励校准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了一种结合MT-GRPO（多轮组相对策略优化）与GTPO（广义token级策略优化）的新方法，用于训练基于大语言模型的工具调用智能体，在真实客户服务场景中表现优异。作者使用LLM模拟用户交互，通过迭代奖励校准机制提升多轮对话中的策略优化效果，显著改善了传统强化学习在长程任务中因奖励稀疏导致的训练不稳定问题。实验表明，该方法在多个工具调用任务上优于现有基线模型，为构建更可靠、可解释的对话代理提供了新思路。</w:t>
      </w:r>
    </w:p>
    <w:p>
      <w:pPr>
        <w:spacing w:lineRule="exact" w:line="560"/>
        <w:ind w:firstLine="560"/>
      </w:pPr>
      <w:r>
        <w:rPr>
          <w:rFonts w:ascii="仿宋_GB2312" w:hAnsi="仿宋_GB2312" w:eastAsia="仿宋_GB2312"/>
          <w:b w:val="0"/>
          <w:sz w:val="28"/>
        </w:rPr>
        <w:t>要点1：提出MT-GRPO与GTPO联合优化框架，解决多轮对话中奖励稀疏问题</w:t>
      </w:r>
    </w:p>
    <w:p>
      <w:pPr>
        <w:spacing w:lineRule="exact" w:line="560"/>
        <w:ind w:firstLine="560"/>
      </w:pPr>
      <w:r>
        <w:rPr>
          <w:rFonts w:ascii="仿宋_GB2312" w:hAnsi="仿宋_GB2312" w:eastAsia="仿宋_GB2312"/>
          <w:b w:val="0"/>
          <w:sz w:val="28"/>
        </w:rPr>
        <w:t>要点2：采用LLM模拟用户进行真实场景训练，增强泛化能力</w:t>
      </w:r>
    </w:p>
    <w:p>
      <w:pPr>
        <w:spacing w:lineRule="exact" w:line="560"/>
        <w:ind w:firstLine="560"/>
      </w:pPr>
      <w:r>
        <w:rPr>
          <w:rFonts w:ascii="仿宋_GB2312" w:hAnsi="仿宋_GB2312" w:eastAsia="仿宋_GB2312"/>
          <w:b w:val="0"/>
          <w:sz w:val="28"/>
        </w:rPr>
        <w:t>要点3：通过迭代奖励校准提升信用分配精度，提高策略稳定性</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3.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摘要：arXiv论文《AgentHazard: A Benchmark for Evaluating Harmful Behavior in Computer-Use Agents》提出了一种新的基准测试框架，用于评估具备持续状态和工具调用能力的AI代理是否可能通过一系列看似合理但累积有害的步骤产生危害。这类代理不同于传统聊天模型，能执行文件操作、调用API并维持上下文，其潜在风险在于单个动作看似无害，但组合后可能导致数据泄露、恶意软件部署或系统破坏。该基准包含多种攻击路径和评估指标，旨在推动开发者构建更安全的代理系统，并为政策制定者提供量化依据。</w:t>
      </w:r>
    </w:p>
    <w:p>
      <w:pPr>
        <w:spacing w:lineRule="exact" w:line="560"/>
        <w:ind w:firstLine="560"/>
      </w:pPr>
      <w:r>
        <w:rPr>
          <w:rFonts w:ascii="仿宋_GB2312" w:hAnsi="仿宋_GB2312" w:eastAsia="仿宋_GB2312"/>
          <w:b w:val="0"/>
          <w:sz w:val="28"/>
        </w:rPr>
        <w:t>要点1：首次针对计算机使用代理设计专门的安全评估基准</w:t>
      </w:r>
    </w:p>
    <w:p>
      <w:pPr>
        <w:spacing w:lineRule="exact" w:line="560"/>
        <w:ind w:firstLine="560"/>
      </w:pPr>
      <w:r>
        <w:rPr>
          <w:rFonts w:ascii="仿宋_GB2312" w:hAnsi="仿宋_GB2312" w:eastAsia="仿宋_GB2312"/>
          <w:b w:val="0"/>
          <w:sz w:val="28"/>
        </w:rPr>
        <w:t>要点2：识别出‘局部合理但整体有害’的行为模式是关键挑战</w:t>
      </w:r>
    </w:p>
    <w:p>
      <w:pPr>
        <w:spacing w:lineRule="exact" w:line="560"/>
        <w:ind w:firstLine="560"/>
      </w:pPr>
      <w:r>
        <w:rPr>
          <w:rFonts w:ascii="仿宋_GB2312" w:hAnsi="仿宋_GB2312" w:eastAsia="仿宋_GB2312"/>
          <w:b w:val="0"/>
          <w:sz w:val="28"/>
        </w:rPr>
        <w:t>要点3：涵盖文件操作、网络请求等多类潜在危险行为</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4. 代理型人工智能中的耦合控制、结构化记忆与可验证行动：从松鼠运动与储食行为获得的比较视角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下的关键能力——控制、记忆与可验证行动。作者指出当前研究常将这些能力割裂处理，而松鼠的生态行为（如树栖移动与储食）提供了自然界的完整案例，展示了如何在复杂环境中实现三者的协同优化。论文提出SCRAT框架（Stochastic Control with Retrieval and Auditable Trajectories），强调通过检索机制增强记忆结构，并确保动作轨迹可审计，从而提升AI系统的鲁棒性和可信度。这一方法论对构建更可靠、可解释的自主智能体具有重要指导意义。</w:t>
      </w:r>
    </w:p>
    <w:p>
      <w:pPr>
        <w:spacing w:lineRule="exact" w:line="560"/>
        <w:ind w:firstLine="560"/>
      </w:pPr>
      <w:r>
        <w:rPr>
          <w:rFonts w:ascii="仿宋_GB2312" w:hAnsi="仿宋_GB2312" w:eastAsia="仿宋_GB2312"/>
          <w:b w:val="0"/>
          <w:sz w:val="28"/>
        </w:rPr>
        <w:t>要点1：松鼠行为为代理型AI的控制、记忆与验证能力提供自然类比</w:t>
      </w:r>
    </w:p>
    <w:p>
      <w:pPr>
        <w:spacing w:lineRule="exact" w:line="560"/>
        <w:ind w:firstLine="560"/>
      </w:pPr>
      <w:r>
        <w:rPr>
          <w:rFonts w:ascii="仿宋_GB2312" w:hAnsi="仿宋_GB2312" w:eastAsia="仿宋_GB2312"/>
          <w:b w:val="0"/>
          <w:sz w:val="28"/>
        </w:rPr>
        <w:t>要点2：提出SCRAT框架整合随机控制、检索机制与可审计轨迹</w:t>
      </w:r>
    </w:p>
    <w:p>
      <w:pPr>
        <w:spacing w:lineRule="exact" w:line="560"/>
        <w:ind w:firstLine="560"/>
      </w:pPr>
      <w:r>
        <w:rPr>
          <w:rFonts w:ascii="仿宋_GB2312" w:hAnsi="仿宋_GB2312" w:eastAsia="仿宋_GB2312"/>
          <w:b w:val="0"/>
          <w:sz w:val="28"/>
        </w:rPr>
        <w:t>要点3：强调在部分可观测环境下实现多能力协同的重要性</w:t>
      </w:r>
    </w:p>
    <w:p>
      <w:pPr>
        <w:ind w:firstLine="560"/>
      </w:pPr>
      <w:r>
        <w:rPr>
          <w:rFonts w:ascii="仿宋_GB2312" w:hAnsi="仿宋_GB2312" w:eastAsia="仿宋_GB2312"/>
          <w:b w:val="0"/>
          <w:color w:val="555555"/>
          <w:sz w:val="22"/>
        </w:rPr>
        <w:t>原文链接：https://arxiv.org/abs/2604.03201</w:t>
      </w:r>
    </w:p>
    <w:p>
      <w:pPr>
        <w:spacing w:before="80" w:after="40"/>
      </w:pPr>
      <w:r>
        <w:rPr>
          <w:rFonts w:ascii="黑体" w:hAnsi="黑体" w:eastAsia="黑体"/>
          <w:b/>
          <w:sz w:val="28"/>
        </w:rPr>
        <w:t>5. Xpertbench：基于评分标准的专家级任务评估</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摘要：XpertBench 是一项针对大型语言模型（LLMs）在复杂、开放性任务中专家级认知能力的新基准测试。随着 LLMs 在传统基准上性能趋于饱和，如何有效评估其在真实场景下的专业能力成为关键挑战。现有方法普遍存在领域覆盖有限、依赖通用任务或自我评价偏差等问题。XpertBench 通过设计基于评分标准（rubrics-based）的评估机制，确保任务的真实性与可量化性，涵盖多个专业领域，如法律、医学、工程等，从而更准确地衡量模型在实际专家工作中的表现。该研究为未来 LLM 的能力评估提供了标准化工具，有助于推动模型向更高阶的专业化发展。</w:t>
      </w:r>
    </w:p>
    <w:p>
      <w:pPr>
        <w:spacing w:lineRule="exact" w:line="560"/>
        <w:ind w:firstLine="560"/>
      </w:pPr>
      <w:r>
        <w:rPr>
          <w:rFonts w:ascii="仿宋_GB2312" w:hAnsi="仿宋_GB2312" w:eastAsia="仿宋_GB2312"/>
          <w:b w:val="0"/>
          <w:sz w:val="28"/>
        </w:rPr>
        <w:t>要点1：XpertBench 是首个专注于专家级任务的结构化评估框架</w:t>
      </w:r>
    </w:p>
    <w:p>
      <w:pPr>
        <w:spacing w:lineRule="exact" w:line="560"/>
        <w:ind w:firstLine="560"/>
      </w:pPr>
      <w:r>
        <w:rPr>
          <w:rFonts w:ascii="仿宋_GB2312" w:hAnsi="仿宋_GB2312" w:eastAsia="仿宋_GB2312"/>
          <w:b w:val="0"/>
          <w:sz w:val="28"/>
        </w:rPr>
        <w:t>要点2：采用评分标准（rubrics-based）提升评估客观性和一致性</w:t>
      </w:r>
    </w:p>
    <w:p>
      <w:pPr>
        <w:spacing w:lineRule="exact" w:line="560"/>
        <w:ind w:firstLine="560"/>
      </w:pPr>
      <w:r>
        <w:rPr>
          <w:rFonts w:ascii="仿宋_GB2312" w:hAnsi="仿宋_GB2312" w:eastAsia="仿宋_GB2312"/>
          <w:b w:val="0"/>
          <w:sz w:val="28"/>
        </w:rPr>
        <w:t>要点3：覆盖法律、医学、工程等多个高专业度领域</w:t>
      </w:r>
    </w:p>
    <w:p>
      <w:pPr>
        <w:ind w:firstLine="560"/>
      </w:pPr>
      <w:r>
        <w:rPr>
          <w:rFonts w:ascii="仿宋_GB2312" w:hAnsi="仿宋_GB2312" w:eastAsia="仿宋_GB2312"/>
          <w:b w:val="0"/>
          <w:color w:val="555555"/>
          <w:sz w:val="22"/>
        </w:rPr>
        <w:t>原文链接：https://arxiv.org/abs/2604.02368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现有推理模型在面对微小前提变化时易出现错误信念修正，需引入新评估框架以提升其动态适应能力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该研究首次将多轮强化学习应用于工具调用智能体训练，并通过迭代奖励校准实现稳定高效的策略优化，为下一代对话代理提供关键技…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建立结构化、可复现的测试框架有助于发现和缓解复杂代理系统中的隐蔽性安全威胁，提升AI系统的可控性和可信度。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通过生物启发式建模，揭示代理型AI中控制、记忆与验证三要素的耦合机制，推动可信自主系统的发展</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XpertBench 提供了一个可扩展、多领域、基于评分标准的评估体系，能更真实反映 LLM 在专家任务中的能力，是当…</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