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方正小标宋_GBK" w:hAnsi="方正小标宋_GBK" w:eastAsia="方正小标宋_GBK"/>
          <w:b w:val="0"/>
          <w:sz w:val="44"/>
        </w:rPr>
        <w:t>每日AI资讯摘编</w:t>
      </w:r>
    </w:p>
    <w:p>
      <w:pPr>
        <w:jc w:val="center"/>
      </w:pPr>
      <w:r>
        <w:rPr>
          <w:rFonts w:ascii="仿宋_GB2312" w:hAnsi="仿宋_GB2312" w:eastAsia="仿宋_GB2312"/>
          <w:b w:val="0"/>
          <w:sz w:val="24"/>
        </w:rPr>
        <w:t>内部参考  |  生成时间：2026-04-07 14:46</w:t>
      </w:r>
    </w:p>
    <w:p>
      <w:pPr>
        <w:spacing w:lineRule="exact" w:line="560"/>
      </w:pPr>
      <w:r>
        <w:rPr>
          <w:rFonts w:ascii="仿宋_GB2312" w:hAnsi="仿宋_GB2312" w:eastAsia="仿宋_GB2312"/>
          <w:b w:val="0"/>
          <w:sz w:val="28"/>
        </w:rPr>
        <w:t>本期共汇总候选资讯 306 条，入选正文 15 条。数据范围以近 24 小时公开信息为主，模型摘要模式：Qwen API。</w:t>
      </w:r>
    </w:p>
    <w:p>
      <w:pPr>
        <w:jc w:val="center"/>
      </w:pPr>
      <w:r>
        <w:rPr>
          <w:rFonts w:ascii="黑体" w:hAnsi="黑体" w:eastAsia="黑体"/>
          <w:b w:val="0"/>
          <w:color w:val="666666"/>
          <w:sz w:val="24"/>
        </w:rPr>
        <w:t>--------------------------------------------------------</w:t>
      </w:r>
    </w:p>
    <w:p>
      <w:pPr>
        <w:spacing w:before="200" w:after="120"/>
      </w:pPr>
      <w:r>
        <w:rPr>
          <w:rFonts w:ascii="黑体" w:hAnsi="黑体" w:eastAsia="黑体"/>
          <w:b/>
          <w:sz w:val="32"/>
        </w:rPr>
        <w:t>一、AI应用</w:t>
      </w:r>
    </w:p>
    <w:p>
      <w:r>
        <w:drawing>
          <wp:inline xmlns:a="http://schemas.openxmlformats.org/drawingml/2006/main" xmlns:pic="http://schemas.openxmlformats.org/drawingml/2006/picture">
            <wp:extent cx="5303520" cy="5303520"/>
            <wp:docPr id="1" name="Picture 1"/>
            <wp:cNvGraphicFramePr>
              <a:graphicFrameLocks noChangeAspect="1"/>
            </wp:cNvGraphicFramePr>
            <a:graphic>
              <a:graphicData uri="http://schemas.openxmlformats.org/drawingml/2006/picture">
                <pic:pic>
                  <pic:nvPicPr>
                    <pic:cNvPr id="0" name="ai_application_1_0.jpg"/>
                    <pic:cNvPicPr/>
                  </pic:nvPicPr>
                  <pic:blipFill>
                    <a:blip r:embed="rId9"/>
                    <a:stretch>
                      <a:fillRect/>
                    </a:stretch>
                  </pic:blipFill>
                  <pic:spPr>
                    <a:xfrm>
                      <a:off x="0" y="0"/>
                      <a:ext cx="5303520" cy="5303520"/>
                    </a:xfrm>
                    <a:prstGeom prst="rect"/>
                  </pic:spPr>
                </pic:pic>
              </a:graphicData>
            </a:graphic>
          </wp:inline>
        </w:drawing>
      </w:r>
    </w:p>
    <w:p>
      <w:pPr>
        <w:jc w:val="center"/>
      </w:pPr>
      <w:r>
        <w:rPr>
          <w:rFonts w:ascii="仿宋_GB2312" w:hAnsi="仿宋_GB2312" w:eastAsia="仿宋_GB2312"/>
          <w:b w:val="0"/>
          <w:color w:val="666666"/>
          <w:sz w:val="22"/>
        </w:rPr>
        <w:t>图1：让大模型多模态检索全面超越SOTA！ReCALL框架化解生成式与判别式的范式冲突｜CVPR’26（来源：量子位）</w:t>
      </w:r>
    </w:p>
    <w:p>
      <w:r>
        <w:drawing>
          <wp:inline xmlns:a="http://schemas.openxmlformats.org/drawingml/2006/main" xmlns:pic="http://schemas.openxmlformats.org/drawingml/2006/picture">
            <wp:extent cx="5303520" cy="3535680"/>
            <wp:docPr id="2" name="Picture 2"/>
            <wp:cNvGraphicFramePr>
              <a:graphicFrameLocks noChangeAspect="1"/>
            </wp:cNvGraphicFramePr>
            <a:graphic>
              <a:graphicData uri="http://schemas.openxmlformats.org/drawingml/2006/picture">
                <pic:pic>
                  <pic:nvPicPr>
                    <pic:cNvPr id="0" name="ai_application_2_0.jpg"/>
                    <pic:cNvPicPr/>
                  </pic:nvPicPr>
                  <pic:blipFill>
                    <a:blip r:embed="rId10"/>
                    <a:stretch>
                      <a:fillRect/>
                    </a:stretch>
                  </pic:blipFill>
                  <pic:spPr>
                    <a:xfrm>
                      <a:off x="0" y="0"/>
                      <a:ext cx="5303520" cy="3535680"/>
                    </a:xfrm>
                    <a:prstGeom prst="rect"/>
                  </pic:spPr>
                </pic:pic>
              </a:graphicData>
            </a:graphic>
          </wp:inline>
        </w:drawing>
      </w:r>
    </w:p>
    <w:p>
      <w:pPr>
        <w:jc w:val="center"/>
      </w:pPr>
      <w:r>
        <w:rPr>
          <w:rFonts w:ascii="仿宋_GB2312" w:hAnsi="仿宋_GB2312" w:eastAsia="仿宋_GB2312"/>
          <w:b w:val="0"/>
          <w:color w:val="666666"/>
          <w:sz w:val="22"/>
        </w:rPr>
        <w:t>图2：与Generalist顶峰相见，30天狂吸30亿，千寻智能做对了什么？（来源：36Kr AI）</w:t>
      </w:r>
    </w:p>
    <w:p>
      <w:pPr>
        <w:spacing w:before="80" w:after="40"/>
      </w:pPr>
      <w:r>
        <w:rPr>
          <w:rFonts w:ascii="黑体" w:hAnsi="黑体" w:eastAsia="黑体"/>
          <w:b/>
          <w:sz w:val="28"/>
        </w:rPr>
        <w:t>1. 让大模型多模态检索全面超越SOTA！ReCALL框架化解生成式与判别式的范式冲突｜CVPR’26</w:t>
      </w:r>
    </w:p>
    <w:p>
      <w:r>
        <w:rPr>
          <w:rFonts w:ascii="楷体_GB2312" w:hAnsi="楷体_GB2312" w:eastAsia="楷体_GB2312"/>
          <w:b w:val="0"/>
          <w:color w:val="666666"/>
          <w:sz w:val="24"/>
        </w:rPr>
        <w:t>来源：量子位    发布时间：2026-04-06 23:30</w:t>
      </w:r>
    </w:p>
    <w:p>
      <w:pPr>
        <w:spacing w:lineRule="exact" w:line="560"/>
        <w:ind w:firstLine="560"/>
      </w:pPr>
      <w:r>
        <w:rPr>
          <w:rFonts w:ascii="仿宋_GB2312" w:hAnsi="仿宋_GB2312" w:eastAsia="仿宋_GB2312"/>
          <w:b w:val="0"/>
          <w:sz w:val="28"/>
        </w:rPr>
        <w:t>摘要：紫东太初团队联合新加坡国立大学提出ReCALL框架，通过‘诊断-生成-校准’闭环机制，成功解决多模态大模型从生成式向判别式检索适配时的能力退化难题。该框架首先微调基础检索器暴露问题，再利用原生大模型进行细粒度错误诊断与纠错指令生成，并通过分组对比学习实现精准校准，使模型在CIRR和FashionIQ等基准上全面刷新SOTA性能，尤其在细粒度检索子集上提升显著。此方法不仅恢复了原生推理能力，还为大模型在垂直领域无损迁移提供了新路径。</w:t>
      </w:r>
    </w:p>
    <w:p>
      <w:pPr>
        <w:spacing w:lineRule="exact" w:line="560"/>
        <w:ind w:firstLine="560"/>
      </w:pPr>
      <w:r>
        <w:rPr>
          <w:rFonts w:ascii="仿宋_GB2312" w:hAnsi="仿宋_GB2312" w:eastAsia="仿宋_GB2312"/>
          <w:b w:val="0"/>
          <w:sz w:val="28"/>
        </w:rPr>
        <w:t>要点1：提出ReCALL框架，构建‘诊断-生成-校准’闭环体系，破解生成式与判别式范式冲突</w:t>
      </w:r>
    </w:p>
    <w:p>
      <w:pPr>
        <w:spacing w:lineRule="exact" w:line="560"/>
        <w:ind w:firstLine="560"/>
      </w:pPr>
      <w:r>
        <w:rPr>
          <w:rFonts w:ascii="仿宋_GB2312" w:hAnsi="仿宋_GB2312" w:eastAsia="仿宋_GB2312"/>
          <w:b w:val="0"/>
          <w:sz w:val="28"/>
        </w:rPr>
        <w:t>要点2：在CIRR数据集上R@1达55.52%，较基线提升8.38%，细粒度子集达81.49%</w:t>
      </w:r>
    </w:p>
    <w:p>
      <w:pPr>
        <w:spacing w:lineRule="exact" w:line="560"/>
        <w:ind w:firstLine="560"/>
      </w:pPr>
      <w:r>
        <w:rPr>
          <w:rFonts w:ascii="仿宋_GB2312" w:hAnsi="仿宋_GB2312" w:eastAsia="仿宋_GB2312"/>
          <w:b w:val="0"/>
          <w:sz w:val="28"/>
        </w:rPr>
        <w:t>要点3：通过最小编辑合成与VQA语义过滤，确保纠错信号高保真且分布一致</w:t>
      </w:r>
    </w:p>
    <w:p>
      <w:pPr>
        <w:ind w:firstLine="560"/>
      </w:pPr>
      <w:r>
        <w:rPr>
          <w:rFonts w:ascii="仿宋_GB2312" w:hAnsi="仿宋_GB2312" w:eastAsia="仿宋_GB2312"/>
          <w:b w:val="0"/>
          <w:color w:val="555555"/>
          <w:sz w:val="22"/>
        </w:rPr>
        <w:t>原文链接：https://www.qbitai.com/2026/04/396863.html</w:t>
      </w:r>
    </w:p>
    <w:p>
      <w:pPr>
        <w:spacing w:before="80" w:after="40"/>
      </w:pPr>
      <w:r>
        <w:rPr>
          <w:rFonts w:ascii="黑体" w:hAnsi="黑体" w:eastAsia="黑体"/>
          <w:b/>
          <w:sz w:val="28"/>
        </w:rPr>
        <w:t>2. 与Generalist顶峰相见，30天狂吸30亿，千寻智能做对了什么？</w:t>
      </w:r>
    </w:p>
    <w:p>
      <w:r>
        <w:rPr>
          <w:rFonts w:ascii="楷体_GB2312" w:hAnsi="楷体_GB2312" w:eastAsia="楷体_GB2312"/>
          <w:b w:val="0"/>
          <w:color w:val="666666"/>
          <w:sz w:val="24"/>
        </w:rPr>
        <w:t>来源：36Kr AI    发布时间：2026-04-07 14:47</w:t>
      </w:r>
    </w:p>
    <w:p>
      <w:pPr>
        <w:spacing w:lineRule="exact" w:line="560"/>
        <w:ind w:firstLine="560"/>
      </w:pPr>
      <w:r>
        <w:rPr>
          <w:rFonts w:ascii="仿宋_GB2312" w:hAnsi="仿宋_GB2312" w:eastAsia="仿宋_GB2312"/>
          <w:b w:val="0"/>
          <w:sz w:val="28"/>
        </w:rPr>
        <w:t>摘要：千寻智能在30天内完成两轮合计30亿元融资，由顺为资本与云锋基金联合领投，凸显资本市场对具身智能赛道的高度共识。公司由机器人、AI与商业化背景的顶尖团队创立，其开源模型Spirit v1.5在RoboChallenge榜单中超越美国头部模型Pi0.5，展现出跨任务零样本泛化能力。技术路径上，千寻采用端到端VLA统一架构，结合互联网视频预训练与真实交互数据微调，并构建多源融合数据引擎——包括可穿戴设备采集、遥操作及强化学习闭环生成，实现数据可用性提升至95%、成本压缩至传统方案十分之一。对比硅谷Generallist AI的Scaling Law验证（数据每增10倍性能多一个9），千寻正通过多样化、低成本、高效率的数据体系快速积累超20万小时真实交互数据，预计2026年突破百万小时，形成可持续进化飞轮。</w:t>
      </w:r>
    </w:p>
    <w:p>
      <w:pPr>
        <w:spacing w:lineRule="exact" w:line="560"/>
        <w:ind w:firstLine="560"/>
      </w:pPr>
      <w:r>
        <w:rPr>
          <w:rFonts w:ascii="仿宋_GB2312" w:hAnsi="仿宋_GB2312" w:eastAsia="仿宋_GB2312"/>
          <w:b w:val="0"/>
          <w:sz w:val="28"/>
        </w:rPr>
        <w:t>要点1：千寻智能30天内获30亿元融资，雷军与马云首次同场押注具身智能赛道</w:t>
      </w:r>
    </w:p>
    <w:p>
      <w:pPr>
        <w:spacing w:lineRule="exact" w:line="560"/>
        <w:ind w:firstLine="560"/>
      </w:pPr>
      <w:r>
        <w:rPr>
          <w:rFonts w:ascii="仿宋_GB2312" w:hAnsi="仿宋_GB2312" w:eastAsia="仿宋_GB2312"/>
          <w:b w:val="0"/>
          <w:sz w:val="28"/>
        </w:rPr>
        <w:t>要点2：Spirit v1.5模型展现零样本泛化能力，标志着机器人从单一任务向通用智能跃迁</w:t>
      </w:r>
    </w:p>
    <w:p>
      <w:pPr>
        <w:spacing w:lineRule="exact" w:line="560"/>
        <w:ind w:firstLine="560"/>
      </w:pPr>
      <w:r>
        <w:rPr>
          <w:rFonts w:ascii="仿宋_GB2312" w:hAnsi="仿宋_GB2312" w:eastAsia="仿宋_GB2312"/>
          <w:b w:val="0"/>
          <w:sz w:val="28"/>
        </w:rPr>
        <w:t>要点3：采用多源融合数据引擎：可穿戴设备+互联网视频+遥操作+强化学习闭环，实现高效低成本数据积累</w:t>
      </w:r>
    </w:p>
    <w:p>
      <w:pPr>
        <w:ind w:firstLine="560"/>
      </w:pPr>
      <w:r>
        <w:rPr>
          <w:rFonts w:ascii="仿宋_GB2312" w:hAnsi="仿宋_GB2312" w:eastAsia="仿宋_GB2312"/>
          <w:b w:val="0"/>
          <w:color w:val="555555"/>
          <w:sz w:val="22"/>
        </w:rPr>
        <w:t>原文链接：https://36kr.com/p/3756066027209477</w:t>
      </w:r>
    </w:p>
    <w:p>
      <w:pPr>
        <w:spacing w:before="80" w:after="40"/>
      </w:pPr>
      <w:r>
        <w:rPr>
          <w:rFonts w:ascii="黑体" w:hAnsi="黑体" w:eastAsia="黑体"/>
          <w:b/>
          <w:sz w:val="28"/>
        </w:rPr>
        <w:t>3. 具身Scaling Law押对了！独角兽新品1小时学会新任务，重复1800次成功率99%</w:t>
      </w:r>
    </w:p>
    <w:p>
      <w:r>
        <w:rPr>
          <w:rFonts w:ascii="楷体_GB2312" w:hAnsi="楷体_GB2312" w:eastAsia="楷体_GB2312"/>
          <w:b w:val="0"/>
          <w:color w:val="666666"/>
          <w:sz w:val="24"/>
        </w:rPr>
        <w:t>来源：量子位    发布时间：2026-04-06 13:17</w:t>
      </w:r>
    </w:p>
    <w:p>
      <w:pPr>
        <w:spacing w:lineRule="exact" w:line="560"/>
        <w:ind w:firstLine="560"/>
      </w:pPr>
      <w:r>
        <w:rPr>
          <w:rFonts w:ascii="仿宋_GB2312" w:hAnsi="仿宋_GB2312" w:eastAsia="仿宋_GB2312"/>
          <w:b w:val="0"/>
          <w:sz w:val="28"/>
        </w:rPr>
        <w:t>摘要：机器人公司Generalist发布新一代模型Gen-1，通过大规模人类活动数据预训练与创新推理架构，在包装手机、折叠纸箱等精细任务中成功率提升至99%，效率提高3倍。其核心优势在于利用低成本穿戴设备采集50万小时物理交互数据，使模型无需大量机器人遥操作即可掌握空间、时间与因果逻辑，实现仅需1小时实机演示即可适应新任务的能力。同时引入分页注意力机制和Harmonic Reasoning系统，显著优化实时动作响应与复杂任务执行能力，展现出类人即兴解决问题的‘灵性’，标志着机器人从程序驱动向认知驱动的重大跃迁。</w:t>
      </w:r>
    </w:p>
    <w:p>
      <w:pPr>
        <w:spacing w:lineRule="exact" w:line="560"/>
        <w:ind w:firstLine="560"/>
      </w:pPr>
      <w:r>
        <w:rPr>
          <w:rFonts w:ascii="仿宋_GB2312" w:hAnsi="仿宋_GB2312" w:eastAsia="仿宋_GB2312"/>
          <w:b w:val="0"/>
          <w:sz w:val="28"/>
        </w:rPr>
        <w:t>要点1：Gen-1模型在精细任务中成功率高达99%，效率提升3倍</w:t>
      </w:r>
    </w:p>
    <w:p>
      <w:pPr>
        <w:spacing w:lineRule="exact" w:line="560"/>
        <w:ind w:firstLine="560"/>
      </w:pPr>
      <w:r>
        <w:rPr>
          <w:rFonts w:ascii="仿宋_GB2312" w:hAnsi="仿宋_GB2312" w:eastAsia="仿宋_GB2312"/>
          <w:b w:val="0"/>
          <w:sz w:val="28"/>
        </w:rPr>
        <w:t>要点2：采用低成本人类活动数据预训练，绕过传统机器人数据瓶颈</w:t>
      </w:r>
    </w:p>
    <w:p>
      <w:pPr>
        <w:spacing w:lineRule="exact" w:line="560"/>
        <w:ind w:firstLine="560"/>
      </w:pPr>
      <w:r>
        <w:rPr>
          <w:rFonts w:ascii="仿宋_GB2312" w:hAnsi="仿宋_GB2312" w:eastAsia="仿宋_GB2312"/>
          <w:b w:val="0"/>
          <w:sz w:val="28"/>
        </w:rPr>
        <w:t>要点3：支持1小时内学习新任务并稳定执行超1800次</w:t>
      </w:r>
    </w:p>
    <w:p>
      <w:pPr>
        <w:ind w:firstLine="560"/>
      </w:pPr>
      <w:r>
        <w:rPr>
          <w:rFonts w:ascii="仿宋_GB2312" w:hAnsi="仿宋_GB2312" w:eastAsia="仿宋_GB2312"/>
          <w:b w:val="0"/>
          <w:color w:val="555555"/>
          <w:sz w:val="22"/>
        </w:rPr>
        <w:t>原文链接：https://www.qbitai.com/2026/04/396694.html</w:t>
      </w:r>
    </w:p>
    <w:p>
      <w:pPr>
        <w:spacing w:before="80" w:after="40"/>
      </w:pPr>
      <w:r>
        <w:rPr>
          <w:rFonts w:ascii="黑体" w:hAnsi="黑体" w:eastAsia="黑体"/>
          <w:b/>
          <w:sz w:val="28"/>
        </w:rPr>
        <w:t>4. 持续霸榜！阿里千问3.6Plus问鼎全球大模型调用周榜冠军</w:t>
      </w:r>
    </w:p>
    <w:p>
      <w:r>
        <w:rPr>
          <w:rFonts w:ascii="楷体_GB2312" w:hAnsi="楷体_GB2312" w:eastAsia="楷体_GB2312"/>
          <w:b w:val="0"/>
          <w:color w:val="666666"/>
          <w:sz w:val="24"/>
        </w:rPr>
        <w:t>来源：量子位    发布时间：2026-04-07 12:00</w:t>
      </w:r>
    </w:p>
    <w:p>
      <w:pPr>
        <w:spacing w:lineRule="exact" w:line="560"/>
        <w:ind w:firstLine="560"/>
      </w:pPr>
      <w:r>
        <w:rPr>
          <w:rFonts w:ascii="仿宋_GB2312" w:hAnsi="仿宋_GB2312" w:eastAsia="仿宋_GB2312"/>
          <w:b w:val="0"/>
          <w:sz w:val="28"/>
        </w:rPr>
        <w:t>摘要：4月7日，国际大模型API平台OpenRouter发布最新一周调用量榜单，阿里千问新模型Qwen3.6-Plus凭借连续4天日榜第一的成绩，成功登顶全球大模型周调用量冠军。该模型是OpenRouter平台上首个单日调用量突破1万亿Token的模型，被平台誉为‘新模型发布最强劲的表现’。Qwen3.6-Plus是中国最强编程模型之一，在全球权威竞技场Arena的编程子榜单中排名中国第一、全球第二。过去一周阿里密集发布多款新模型，包括Qwen3.6-Plus、Qwen3.5-Omni及图像视频生成模型Wan2.7系列，引发全球AI社区高度关注。知名开发者彼得·斯坦伯格表示将在下一代OpenClaw产品中率先集成阿里千问模型，预示其生态影响力进一步扩大。</w:t>
      </w:r>
    </w:p>
    <w:p>
      <w:pPr>
        <w:spacing w:lineRule="exact" w:line="560"/>
        <w:ind w:firstLine="560"/>
      </w:pPr>
      <w:r>
        <w:rPr>
          <w:rFonts w:ascii="仿宋_GB2312" w:hAnsi="仿宋_GB2312" w:eastAsia="仿宋_GB2312"/>
          <w:b w:val="0"/>
          <w:sz w:val="28"/>
        </w:rPr>
        <w:t>要点1：Qwen3.6-Plus成为OpenRouter周榜冠军，单日调用量破万亿Token</w:t>
      </w:r>
    </w:p>
    <w:p>
      <w:pPr>
        <w:spacing w:lineRule="exact" w:line="560"/>
        <w:ind w:firstLine="560"/>
      </w:pPr>
      <w:r>
        <w:rPr>
          <w:rFonts w:ascii="仿宋_GB2312" w:hAnsi="仿宋_GB2312" w:eastAsia="仿宋_GB2312"/>
          <w:b w:val="0"/>
          <w:sz w:val="28"/>
        </w:rPr>
        <w:t>要点2：该模型为中国最强编程模型之一，全球编程能力排名第二</w:t>
      </w:r>
    </w:p>
    <w:p>
      <w:pPr>
        <w:spacing w:lineRule="exact" w:line="560"/>
        <w:ind w:firstLine="560"/>
      </w:pPr>
      <w:r>
        <w:rPr>
          <w:rFonts w:ascii="仿宋_GB2312" w:hAnsi="仿宋_GB2312" w:eastAsia="仿宋_GB2312"/>
          <w:b w:val="0"/>
          <w:sz w:val="28"/>
        </w:rPr>
        <w:t>要点3：阿里一周内连发多款新模型，引发全球AI社区广泛关注</w:t>
      </w:r>
    </w:p>
    <w:p>
      <w:pPr>
        <w:ind w:firstLine="560"/>
      </w:pPr>
      <w:r>
        <w:rPr>
          <w:rFonts w:ascii="仿宋_GB2312" w:hAnsi="仿宋_GB2312" w:eastAsia="仿宋_GB2312"/>
          <w:b w:val="0"/>
          <w:color w:val="555555"/>
          <w:sz w:val="22"/>
        </w:rPr>
        <w:t>原文链接：https://www.qbitai.com/2026/04/396950.html</w:t>
      </w:r>
    </w:p>
    <w:p>
      <w:pPr>
        <w:spacing w:before="80" w:after="40"/>
      </w:pPr>
      <w:r>
        <w:rPr>
          <w:rFonts w:ascii="黑体" w:hAnsi="黑体" w:eastAsia="黑体"/>
          <w:b/>
          <w:sz w:val="28"/>
        </w:rPr>
        <w:t>5. RightNow AI发布AutoKernel：一个将自主代理循环应用于任意PyTorch模型GPU内核优化的开源框架</w:t>
      </w:r>
    </w:p>
    <w:p>
      <w:r>
        <w:rPr>
          <w:rFonts w:ascii="楷体_GB2312" w:hAnsi="楷体_GB2312" w:eastAsia="楷体_GB2312"/>
          <w:b w:val="0"/>
          <w:color w:val="666666"/>
          <w:sz w:val="24"/>
        </w:rPr>
        <w:t>来源：MarkTechPost    发布时间：2026-04-06 08:20</w:t>
      </w:r>
    </w:p>
    <w:p>
      <w:pPr>
        <w:spacing w:lineRule="exact" w:line="560"/>
        <w:ind w:firstLine="560"/>
      </w:pPr>
      <w:r>
        <w:rPr>
          <w:rFonts w:ascii="仿宋_GB2312" w:hAnsi="仿宋_GB2312" w:eastAsia="仿宋_GB2312"/>
          <w:b w:val="0"/>
          <w:sz w:val="28"/>
        </w:rPr>
        <w:t>摘要：RightNow AI发布了AutoKernel，这是一个开源框架，利用大语言模型（LLM）代理循环自动优化任意PyTorch模型的GPU内核。传统GPU内核优化需多年经验，涉及算术强度、内存合并、寄存器压力等多个复杂参数，而AutoKernel通过自动化“编写-测试-保留/回退”循环实现高效优化。它每轮实验约90秒，每小时可执行40次实验，夜间运行10小时即可完成300–400次迭代。框架基于一个909行的指令文档program.md，涵盖从基础块大小调整到架构特定优化的六层策略，确保代理持续探索而不卡顿。结果以git提交形式保存，便于追踪和复用，且性能指标记录为纯文本格式，易于解析。该方法借鉴Andrej Karpathy的autoresearch项目思路，但将搜索空间扩展至内核代码层面，并以正确性和吞吐量作为评估标准，极大推动了AI模型部署阶段的性能调优自动化。</w:t>
      </w:r>
    </w:p>
    <w:p>
      <w:pPr>
        <w:spacing w:lineRule="exact" w:line="560"/>
        <w:ind w:firstLine="560"/>
      </w:pPr>
      <w:r>
        <w:rPr>
          <w:rFonts w:ascii="仿宋_GB2312" w:hAnsi="仿宋_GB2312" w:eastAsia="仿宋_GB2312"/>
          <w:b w:val="0"/>
          <w:sz w:val="28"/>
        </w:rPr>
        <w:t>要点1：AutoKernel使用LLM代理自动优化PyTorch模型的GPU内核，无需人工干预</w:t>
      </w:r>
    </w:p>
    <w:p>
      <w:pPr>
        <w:spacing w:lineRule="exact" w:line="560"/>
        <w:ind w:firstLine="560"/>
      </w:pPr>
      <w:r>
        <w:rPr>
          <w:rFonts w:ascii="仿宋_GB2312" w:hAnsi="仿宋_GB2312" w:eastAsia="仿宋_GB2312"/>
          <w:b w:val="0"/>
          <w:sz w:val="28"/>
        </w:rPr>
        <w:t>要点2：每轮实验仅需90秒，夜间运行可完成数百次优化尝试</w:t>
      </w:r>
    </w:p>
    <w:p>
      <w:pPr>
        <w:spacing w:lineRule="exact" w:line="560"/>
        <w:ind w:firstLine="560"/>
      </w:pPr>
      <w:r>
        <w:rPr>
          <w:rFonts w:ascii="仿宋_GB2312" w:hAnsi="仿宋_GB2312" w:eastAsia="仿宋_GB2312"/>
          <w:b w:val="0"/>
          <w:sz w:val="28"/>
        </w:rPr>
        <w:t>要点3：采用结构化六层优化策略，覆盖从基础参数到架构特性的全面调优</w:t>
      </w:r>
    </w:p>
    <w:p>
      <w:pPr>
        <w:ind w:firstLine="560"/>
      </w:pPr>
      <w:r>
        <w:rPr>
          <w:rFonts w:ascii="仿宋_GB2312" w:hAnsi="仿宋_GB2312" w:eastAsia="仿宋_GB2312"/>
          <w:b w:val="0"/>
          <w:color w:val="555555"/>
          <w:sz w:val="22"/>
        </w:rPr>
        <w:t>原文链接：https://www.marktechpost.com/2026/04/06/rightnow-ai-releases-autokernel-an-open-source-framework-that-applies-an-autonomous-agent-loop-to-gpu-kernel-optimization-for-arbitrary-pytorch-models/</w:t>
      </w:r>
    </w:p>
    <w:p>
      <w:pPr>
        <w:spacing w:before="200" w:after="120"/>
      </w:pPr>
      <w:r>
        <w:rPr>
          <w:rFonts w:ascii="黑体" w:hAnsi="黑体" w:eastAsia="黑体"/>
          <w:b/>
          <w:sz w:val="32"/>
        </w:rPr>
        <w:t>二、AI模型</w:t>
      </w:r>
    </w:p>
    <w:p>
      <w:r>
        <w:drawing>
          <wp:inline xmlns:a="http://schemas.openxmlformats.org/drawingml/2006/main" xmlns:pic="http://schemas.openxmlformats.org/drawingml/2006/picture">
            <wp:extent cx="5303520" cy="3788229"/>
            <wp:docPr id="3" name="Picture 3"/>
            <wp:cNvGraphicFramePr>
              <a:graphicFrameLocks noChangeAspect="1"/>
            </wp:cNvGraphicFramePr>
            <a:graphic>
              <a:graphicData uri="http://schemas.openxmlformats.org/drawingml/2006/picture">
                <pic:pic>
                  <pic:nvPicPr>
                    <pic:cNvPr id="0" name="ai_model_1_0.jpg"/>
                    <pic:cNvPicPr/>
                  </pic:nvPicPr>
                  <pic:blipFill>
                    <a:blip r:embed="rId11"/>
                    <a:stretch>
                      <a:fillRect/>
                    </a:stretch>
                  </pic:blipFill>
                  <pic:spPr>
                    <a:xfrm>
                      <a:off x="0" y="0"/>
                      <a:ext cx="5303520" cy="3788229"/>
                    </a:xfrm>
                    <a:prstGeom prst="rect"/>
                  </pic:spPr>
                </pic:pic>
              </a:graphicData>
            </a:graphic>
          </wp:inline>
        </w:drawing>
      </w:r>
    </w:p>
    <w:p>
      <w:pPr>
        <w:jc w:val="center"/>
      </w:pPr>
      <w:r>
        <w:rPr>
          <w:rFonts w:ascii="仿宋_GB2312" w:hAnsi="仿宋_GB2312" w:eastAsia="仿宋_GB2312"/>
          <w:b w:val="0"/>
          <w:color w:val="666666"/>
          <w:sz w:val="22"/>
        </w:rPr>
        <w:t>图1：Meta AI 发布 EUPE：一个参数少于1亿的紧凑视觉编码器家族，在图像理解、密集预测和视觉语言任务中媲美专业模型（来源：MarkTechPost）</w:t>
      </w:r>
    </w:p>
    <w:p>
      <w:r>
        <w:drawing>
          <wp:inline xmlns:a="http://schemas.openxmlformats.org/drawingml/2006/main" xmlns:pic="http://schemas.openxmlformats.org/drawingml/2006/picture">
            <wp:extent cx="5303520" cy="4130844"/>
            <wp:docPr id="4" name="Picture 4"/>
            <wp:cNvGraphicFramePr>
              <a:graphicFrameLocks noChangeAspect="1"/>
            </wp:cNvGraphicFramePr>
            <a:graphic>
              <a:graphicData uri="http://schemas.openxmlformats.org/drawingml/2006/picture">
                <pic:pic>
                  <pic:nvPicPr>
                    <pic:cNvPr id="0" name="ai_model_2_1.jpg"/>
                    <pic:cNvPicPr/>
                  </pic:nvPicPr>
                  <pic:blipFill>
                    <a:blip r:embed="rId12"/>
                    <a:stretch>
                      <a:fillRect/>
                    </a:stretch>
                  </pic:blipFill>
                  <pic:spPr>
                    <a:xfrm>
                      <a:off x="0" y="0"/>
                      <a:ext cx="5303520" cy="4130844"/>
                    </a:xfrm>
                    <a:prstGeom prst="rect"/>
                  </pic:spPr>
                </pic:pic>
              </a:graphicData>
            </a:graphic>
          </wp:inline>
        </w:drawing>
      </w:r>
    </w:p>
    <w:p>
      <w:pPr>
        <w:jc w:val="center"/>
      </w:pPr>
      <w:r>
        <w:rPr>
          <w:rFonts w:ascii="仿宋_GB2312" w:hAnsi="仿宋_GB2312" w:eastAsia="仿宋_GB2312"/>
          <w:b w:val="0"/>
          <w:color w:val="666666"/>
          <w:sz w:val="22"/>
        </w:rPr>
        <w:t>图2：Meta AI 发布 EUPE：一个参数少于1亿的紧凑视觉编码器家族，在图像理解、密集预测和视觉语言任务中媲美专业模型（来源：MarkTechPost）</w:t>
      </w:r>
    </w:p>
    <w:p>
      <w:pPr>
        <w:spacing w:before="80" w:after="40"/>
      </w:pPr>
      <w:r>
        <w:rPr>
          <w:rFonts w:ascii="黑体" w:hAnsi="黑体" w:eastAsia="黑体"/>
          <w:b/>
          <w:sz w:val="28"/>
        </w:rPr>
        <w:t>1. Meta AI 发布 EUPE：一个参数少于1亿的紧凑视觉编码器家族，在图像理解、密集预测和视觉语言任务中媲美专业模型</w:t>
      </w:r>
    </w:p>
    <w:p>
      <w:r>
        <w:rPr>
          <w:rFonts w:ascii="楷体_GB2312" w:hAnsi="楷体_GB2312" w:eastAsia="楷体_GB2312"/>
          <w:b w:val="0"/>
          <w:color w:val="666666"/>
          <w:sz w:val="24"/>
        </w:rPr>
        <w:t>来源：MarkTechPost    发布时间：2026-04-07 04:41</w:t>
      </w:r>
    </w:p>
    <w:p>
      <w:pPr>
        <w:spacing w:lineRule="exact" w:line="560"/>
        <w:ind w:firstLine="560"/>
      </w:pPr>
      <w:r>
        <w:rPr>
          <w:rFonts w:ascii="仿宋_GB2312" w:hAnsi="仿宋_GB2312" w:eastAsia="仿宋_GB2312"/>
          <w:b w:val="0"/>
          <w:sz w:val="28"/>
        </w:rPr>
        <w:t>摘要：Meta AI 团队发布了 EUPE（Efficient Universal Perception Encoder），这是一个参数量低于1亿的紧凑视觉编码器家族，能够在图像理解、密集预测和视觉语言建模等多样化任务中媲美专门优化的模型。传统方法通过聚合多个专家模型进行蒸馏训练，但在小规模模型上效果不佳，因为其表达能力不足。EUPE 创新性地采用“先扩展再压缩”的蒸馏策略：首先用大型代理教师模型学习多种任务特征，再将这些知识蒸馏到小型学生模型中，从而实现高效且通用的视觉感知能力。这一成果对智能手机、AR头显等边缘设备部署多功能AI视觉系统具有重要意义。</w:t>
      </w:r>
    </w:p>
    <w:p>
      <w:pPr>
        <w:spacing w:lineRule="exact" w:line="560"/>
        <w:ind w:firstLine="560"/>
      </w:pPr>
      <w:r>
        <w:rPr>
          <w:rFonts w:ascii="仿宋_GB2312" w:hAnsi="仿宋_GB2312" w:eastAsia="仿宋_GB2312"/>
          <w:b w:val="0"/>
          <w:sz w:val="28"/>
        </w:rPr>
        <w:t>要点1：EUPE 是一个参数少于1亿的紧凑视觉编码器，可同时处理图像理解、密集预测和视觉语言任务</w:t>
      </w:r>
    </w:p>
    <w:p>
      <w:pPr>
        <w:spacing w:lineRule="exact" w:line="560"/>
        <w:ind w:firstLine="560"/>
      </w:pPr>
      <w:r>
        <w:rPr>
          <w:rFonts w:ascii="仿宋_GB2312" w:hAnsi="仿宋_GB2312" w:eastAsia="仿宋_GB2312"/>
          <w:b w:val="0"/>
          <w:sz w:val="28"/>
        </w:rPr>
        <w:t>要点2：采用‘先扩展再压缩’的蒸馏策略，有效解决小模型无法吸收多专家知识的问题</w:t>
      </w:r>
    </w:p>
    <w:p>
      <w:pPr>
        <w:spacing w:lineRule="exact" w:line="560"/>
        <w:ind w:firstLine="560"/>
      </w:pPr>
      <w:r>
        <w:rPr>
          <w:rFonts w:ascii="仿宋_GB2312" w:hAnsi="仿宋_GB2312" w:eastAsia="仿宋_GB2312"/>
          <w:b w:val="0"/>
          <w:sz w:val="28"/>
        </w:rPr>
        <w:t>要点3：相比现有方法如 RADIOv2.5 和 DUNE，EUPE 在轻量化基础上保持高性能</w:t>
      </w:r>
    </w:p>
    <w:p>
      <w:pPr>
        <w:ind w:firstLine="560"/>
      </w:pPr>
      <w:r>
        <w:rPr>
          <w:rFonts w:ascii="仿宋_GB2312" w:hAnsi="仿宋_GB2312" w:eastAsia="仿宋_GB2312"/>
          <w:b w:val="0"/>
          <w:color w:val="555555"/>
          <w:sz w:val="22"/>
        </w:rPr>
        <w:t>原文链接：https://www.marktechpost.com/2026/04/06/meta-ai-releases-eupe-a-compact-vision-encoder-family-under-100m-parameters-that-rivals-specialist-models-across-image-understanding-dense-prediction-and-vlm-tasks/</w:t>
      </w:r>
    </w:p>
    <w:p>
      <w:pPr>
        <w:spacing w:before="200" w:after="120"/>
      </w:pPr>
      <w:r>
        <w:rPr>
          <w:rFonts w:ascii="黑体" w:hAnsi="黑体" w:eastAsia="黑体"/>
          <w:b/>
          <w:sz w:val="32"/>
        </w:rPr>
        <w:t>三、AI安全</w:t>
      </w:r>
    </w:p>
    <w:p>
      <w:r>
        <w:drawing>
          <wp:inline xmlns:a="http://schemas.openxmlformats.org/drawingml/2006/main" xmlns:pic="http://schemas.openxmlformats.org/drawingml/2006/picture">
            <wp:extent cx="5303520" cy="5303520"/>
            <wp:docPr id="5" name="Picture 5"/>
            <wp:cNvGraphicFramePr>
              <a:graphicFrameLocks noChangeAspect="1"/>
            </wp:cNvGraphicFramePr>
            <a:graphic>
              <a:graphicData uri="http://schemas.openxmlformats.org/drawingml/2006/picture">
                <pic:pic>
                  <pic:nvPicPr>
                    <pic:cNvPr id="0" name="ai_application_1_0.jpg"/>
                    <pic:cNvPicPr/>
                  </pic:nvPicPr>
                  <pic:blipFill>
                    <a:blip r:embed="rId9"/>
                    <a:stretch>
                      <a:fillRect/>
                    </a:stretch>
                  </pic:blipFill>
                  <pic:spPr>
                    <a:xfrm>
                      <a:off x="0" y="0"/>
                      <a:ext cx="5303520" cy="5303520"/>
                    </a:xfrm>
                    <a:prstGeom prst="rect"/>
                  </pic:spPr>
                </pic:pic>
              </a:graphicData>
            </a:graphic>
          </wp:inline>
        </w:drawing>
      </w:r>
    </w:p>
    <w:p>
      <w:pPr>
        <w:jc w:val="center"/>
      </w:pPr>
      <w:r>
        <w:rPr>
          <w:rFonts w:ascii="仿宋_GB2312" w:hAnsi="仿宋_GB2312" w:eastAsia="仿宋_GB2312"/>
          <w:b w:val="0"/>
          <w:color w:val="666666"/>
          <w:sz w:val="22"/>
        </w:rPr>
        <w:t>图1：Ilya曝光70页OpenAI绝密文件（来源：量子位）</w:t>
      </w:r>
    </w:p>
    <w:p>
      <w:r>
        <w:drawing>
          <wp:inline xmlns:a="http://schemas.openxmlformats.org/drawingml/2006/main" xmlns:pic="http://schemas.openxmlformats.org/drawingml/2006/picture">
            <wp:extent cx="5303520" cy="2999804"/>
            <wp:docPr id="6" name="Picture 6"/>
            <wp:cNvGraphicFramePr>
              <a:graphicFrameLocks noChangeAspect="1"/>
            </wp:cNvGraphicFramePr>
            <a:graphic>
              <a:graphicData uri="http://schemas.openxmlformats.org/drawingml/2006/picture">
                <pic:pic>
                  <pic:nvPicPr>
                    <pic:cNvPr id="0" name="ai_safety_2_2.jpg"/>
                    <pic:cNvPicPr/>
                  </pic:nvPicPr>
                  <pic:blipFill>
                    <a:blip r:embed="rId13"/>
                    <a:stretch>
                      <a:fillRect/>
                    </a:stretch>
                  </pic:blipFill>
                  <pic:spPr>
                    <a:xfrm>
                      <a:off x="0" y="0"/>
                      <a:ext cx="5303520" cy="2999804"/>
                    </a:xfrm>
                    <a:prstGeom prst="rect"/>
                  </pic:spPr>
                </pic:pic>
              </a:graphicData>
            </a:graphic>
          </wp:inline>
        </w:drawing>
      </w:r>
    </w:p>
    <w:p>
      <w:pPr>
        <w:jc w:val="center"/>
      </w:pPr>
      <w:r>
        <w:rPr>
          <w:rFonts w:ascii="仿宋_GB2312" w:hAnsi="仿宋_GB2312" w:eastAsia="仿宋_GB2312"/>
          <w:b w:val="0"/>
          <w:color w:val="666666"/>
          <w:sz w:val="22"/>
        </w:rPr>
        <w:t>图2：Ilya曝光70页OpenAI绝密文件（来源：量子位）</w:t>
      </w:r>
    </w:p>
    <w:p>
      <w:pPr>
        <w:spacing w:before="80" w:after="40"/>
      </w:pPr>
      <w:r>
        <w:rPr>
          <w:rFonts w:ascii="黑体" w:hAnsi="黑体" w:eastAsia="黑体"/>
          <w:b/>
          <w:sz w:val="28"/>
        </w:rPr>
        <w:t>1. Ilya曝光70页OpenAI绝密文件</w:t>
      </w:r>
    </w:p>
    <w:p>
      <w:r>
        <w:rPr>
          <w:rFonts w:ascii="楷体_GB2312" w:hAnsi="楷体_GB2312" w:eastAsia="楷体_GB2312"/>
          <w:b w:val="0"/>
          <w:color w:val="666666"/>
          <w:sz w:val="24"/>
        </w:rPr>
        <w:t>来源：量子位    发布时间：2026-04-07 10:15</w:t>
      </w:r>
    </w:p>
    <w:p>
      <w:pPr>
        <w:spacing w:lineRule="exact" w:line="560"/>
        <w:ind w:firstLine="560"/>
      </w:pPr>
      <w:r>
        <w:rPr>
          <w:rFonts w:ascii="仿宋_GB2312" w:hAnsi="仿宋_GB2312" w:eastAsia="仿宋_GB2312"/>
          <w:b w:val="0"/>
          <w:sz w:val="28"/>
        </w:rPr>
        <w:t>摘要：前OpenAI首席科学家Ilya Sutskever通过非正规手段曝光了一份70页的内部备忘录，揭露了CEO Sam Altman被指长期撒谎、缺乏诚信的问题。该文件记录了OpenAI从成立之初就设定的高安全标准和对CEO道德品质的严苛要求，但实际执行中却逐步瓦解：如承诺用于安全研究的20%算力被削减至1%-2%，关键功能发布未走完整安全审批流程。事件还还原了2019年奥特曼短暂被解雇后的激烈权力斗争（被称为“The Blip”），显示董事会、员工与资本方之间复杂的博弈关系。此事件暴露了AI组织在理想主义使命与现实利益冲突下的治理脆弱性，对全球AI安全机制建设构成深刻反思。</w:t>
      </w:r>
    </w:p>
    <w:p>
      <w:pPr>
        <w:spacing w:lineRule="exact" w:line="560"/>
        <w:ind w:firstLine="560"/>
      </w:pPr>
      <w:r>
        <w:rPr>
          <w:rFonts w:ascii="仿宋_GB2312" w:hAnsi="仿宋_GB2312" w:eastAsia="仿宋_GB2312"/>
          <w:b w:val="0"/>
          <w:sz w:val="28"/>
        </w:rPr>
        <w:t>要点1：Ilya曝光70页机密文件，指控Sam Altman长期撒谎且缺乏诚信，违背OpenAI非营利使命的核心要求</w:t>
      </w:r>
    </w:p>
    <w:p>
      <w:pPr>
        <w:spacing w:lineRule="exact" w:line="560"/>
        <w:ind w:firstLine="560"/>
      </w:pPr>
      <w:r>
        <w:rPr>
          <w:rFonts w:ascii="仿宋_GB2312" w:hAnsi="仿宋_GB2312" w:eastAsia="仿宋_GB2312"/>
          <w:b w:val="0"/>
          <w:sz w:val="28"/>
        </w:rPr>
        <w:t>要点2：OpenAI曾承诺20%算力用于安全研究，但实际执行中降至1%-2%，安全委员会审批形同虚设</w:t>
      </w:r>
    </w:p>
    <w:p>
      <w:pPr>
        <w:spacing w:lineRule="exact" w:line="560"/>
        <w:ind w:firstLine="560"/>
      </w:pPr>
      <w:r>
        <w:rPr>
          <w:rFonts w:ascii="仿宋_GB2312" w:hAnsi="仿宋_GB2312" w:eastAsia="仿宋_GB2312"/>
          <w:b w:val="0"/>
          <w:sz w:val="28"/>
        </w:rPr>
        <w:t>要点3：奥特曼被解雇后引发剧烈权力斗争，最终因舆论与资本压力被迫回归，凸显AI企业治理风险</w:t>
      </w:r>
    </w:p>
    <w:p>
      <w:pPr>
        <w:ind w:firstLine="560"/>
      </w:pPr>
      <w:r>
        <w:rPr>
          <w:rFonts w:ascii="仿宋_GB2312" w:hAnsi="仿宋_GB2312" w:eastAsia="仿宋_GB2312"/>
          <w:b w:val="0"/>
          <w:color w:val="555555"/>
          <w:sz w:val="22"/>
        </w:rPr>
        <w:t>原文链接：https://www.qbitai.com/2026/04/396880.html</w:t>
      </w:r>
    </w:p>
    <w:p>
      <w:pPr>
        <w:spacing w:before="80" w:after="40"/>
      </w:pPr>
      <w:r>
        <w:rPr>
          <w:rFonts w:ascii="黑体" w:hAnsi="黑体" w:eastAsia="黑体"/>
          <w:b/>
          <w:sz w:val="28"/>
        </w:rPr>
        <w:t>2. Claude 4小时血洗全球最安全系统，人类最后防线失守 AI，正式跨过卢比孔河</w:t>
      </w:r>
    </w:p>
    <w:p>
      <w:r>
        <w:rPr>
          <w:rFonts w:ascii="楷体_GB2312" w:hAnsi="楷体_GB2312" w:eastAsia="楷体_GB2312"/>
          <w:b w:val="0"/>
          <w:color w:val="666666"/>
          <w:sz w:val="24"/>
        </w:rPr>
        <w:t>来源：AIHotToday    发布时间：未知</w:t>
      </w:r>
    </w:p>
    <w:p>
      <w:pPr>
        <w:spacing w:lineRule="exact" w:line="560"/>
        <w:ind w:firstLine="560"/>
      </w:pPr>
      <w:r>
        <w:rPr>
          <w:rFonts w:ascii="仿宋_GB2312" w:hAnsi="仿宋_GB2312" w:eastAsia="仿宋_GB2312"/>
          <w:b w:val="0"/>
          <w:sz w:val="28"/>
        </w:rPr>
        <w:t>摘要：一篇发布于AIHotToday的报道指出，AI模型Claude在短短4小时内成功攻破全球多个最安全的信息防护系统，包括金融、能源和国防级别的网络架构。这一事件标志着人工智能已具备绕过传统防御机制的能力，人类对AI的控制边界被实质性突破。专家警告称，这不仅是技术上的飞跃，更是伦理与监管层面的重大挑战，象征着AI发展进入不可逆的‘卢比孔河’阶段——即一旦跨越，再难回头。此事件引发全球政界与科技界高度关注，呼吁立即建立更严格的AI安全标准与国际协作机制。</w:t>
      </w:r>
    </w:p>
    <w:p>
      <w:pPr>
        <w:spacing w:lineRule="exact" w:line="560"/>
        <w:ind w:firstLine="560"/>
      </w:pPr>
      <w:r>
        <w:rPr>
          <w:rFonts w:ascii="仿宋_GB2312" w:hAnsi="仿宋_GB2312" w:eastAsia="仿宋_GB2312"/>
          <w:b w:val="0"/>
          <w:sz w:val="28"/>
        </w:rPr>
        <w:t>要点1：Claude在4小时内攻破多个顶级安全系统</w:t>
      </w:r>
    </w:p>
    <w:p>
      <w:pPr>
        <w:spacing w:lineRule="exact" w:line="560"/>
        <w:ind w:firstLine="560"/>
      </w:pPr>
      <w:r>
        <w:rPr>
          <w:rFonts w:ascii="仿宋_GB2312" w:hAnsi="仿宋_GB2312" w:eastAsia="仿宋_GB2312"/>
          <w:b w:val="0"/>
          <w:sz w:val="28"/>
        </w:rPr>
        <w:t>要点2：标志AI能力突破传统防御体系</w:t>
      </w:r>
    </w:p>
    <w:p>
      <w:pPr>
        <w:spacing w:lineRule="exact" w:line="560"/>
        <w:ind w:firstLine="560"/>
      </w:pPr>
      <w:r>
        <w:rPr>
          <w:rFonts w:ascii="仿宋_GB2312" w:hAnsi="仿宋_GB2312" w:eastAsia="仿宋_GB2312"/>
          <w:b w:val="0"/>
          <w:sz w:val="28"/>
        </w:rPr>
        <w:t>要点3：引发全球对AI安全监管的紧迫讨论</w:t>
      </w:r>
    </w:p>
    <w:p>
      <w:pPr>
        <w:ind w:firstLine="560"/>
      </w:pPr>
      <w:r>
        <w:rPr>
          <w:rFonts w:ascii="仿宋_GB2312" w:hAnsi="仿宋_GB2312" w:eastAsia="仿宋_GB2312"/>
          <w:b w:val="0"/>
          <w:color w:val="555555"/>
          <w:sz w:val="22"/>
        </w:rPr>
        <w:t>原文链接：https://36kr.com/p/3754727404389121</w:t>
      </w:r>
    </w:p>
    <w:p>
      <w:pPr>
        <w:spacing w:before="200" w:after="120"/>
      </w:pPr>
      <w:r>
        <w:rPr>
          <w:rFonts w:ascii="黑体" w:hAnsi="黑体" w:eastAsia="黑体"/>
          <w:b/>
          <w:sz w:val="32"/>
        </w:rPr>
        <w:t>四、AI投融资</w:t>
      </w:r>
    </w:p>
    <w:p>
      <w:r>
        <w:drawing>
          <wp:inline xmlns:a="http://schemas.openxmlformats.org/drawingml/2006/main" xmlns:pic="http://schemas.openxmlformats.org/drawingml/2006/picture">
            <wp:extent cx="5303520" cy="3535680"/>
            <wp:docPr id="7" name="Picture 7"/>
            <wp:cNvGraphicFramePr>
              <a:graphicFrameLocks noChangeAspect="1"/>
            </wp:cNvGraphicFramePr>
            <a:graphic>
              <a:graphicData uri="http://schemas.openxmlformats.org/drawingml/2006/picture">
                <pic:pic>
                  <pic:nvPicPr>
                    <pic:cNvPr id="0" name="ai_investment_1_0.jpg"/>
                    <pic:cNvPicPr/>
                  </pic:nvPicPr>
                  <pic:blipFill>
                    <a:blip r:embed="rId14"/>
                    <a:stretch>
                      <a:fillRect/>
                    </a:stretch>
                  </pic:blipFill>
                  <pic:spPr>
                    <a:xfrm>
                      <a:off x="0" y="0"/>
                      <a:ext cx="5303520" cy="3535680"/>
                    </a:xfrm>
                    <a:prstGeom prst="rect"/>
                  </pic:spPr>
                </pic:pic>
              </a:graphicData>
            </a:graphic>
          </wp:inline>
        </w:drawing>
      </w:r>
    </w:p>
    <w:p>
      <w:pPr>
        <w:jc w:val="center"/>
      </w:pPr>
      <w:r>
        <w:rPr>
          <w:rFonts w:ascii="仿宋_GB2312" w:hAnsi="仿宋_GB2312" w:eastAsia="仿宋_GB2312"/>
          <w:b w:val="0"/>
          <w:color w:val="666666"/>
          <w:sz w:val="22"/>
        </w:rPr>
        <w:t>图1：27家机构“围剿”一家公司：2026Q1创投市场的组团式抢筹（来源：36Kr AI）</w:t>
      </w:r>
    </w:p>
    <w:p>
      <w:r>
        <w:drawing>
          <wp:inline xmlns:a="http://schemas.openxmlformats.org/drawingml/2006/main" xmlns:pic="http://schemas.openxmlformats.org/drawingml/2006/picture">
            <wp:extent cx="5303520" cy="12192000"/>
            <wp:docPr id="8" name="Picture 8"/>
            <wp:cNvGraphicFramePr>
              <a:graphicFrameLocks noChangeAspect="1"/>
            </wp:cNvGraphicFramePr>
            <a:graphic>
              <a:graphicData uri="http://schemas.openxmlformats.org/drawingml/2006/picture">
                <pic:pic>
                  <pic:nvPicPr>
                    <pic:cNvPr id="0" name="ai_investment_2_1.jpg"/>
                    <pic:cNvPicPr/>
                  </pic:nvPicPr>
                  <pic:blipFill>
                    <a:blip r:embed="rId15"/>
                    <a:stretch>
                      <a:fillRect/>
                    </a:stretch>
                  </pic:blipFill>
                  <pic:spPr>
                    <a:xfrm>
                      <a:off x="0" y="0"/>
                      <a:ext cx="5303520" cy="12192000"/>
                    </a:xfrm>
                    <a:prstGeom prst="rect"/>
                  </pic:spPr>
                </pic:pic>
              </a:graphicData>
            </a:graphic>
          </wp:inline>
        </w:drawing>
      </w:r>
    </w:p>
    <w:p>
      <w:pPr>
        <w:jc w:val="center"/>
      </w:pPr>
      <w:r>
        <w:rPr>
          <w:rFonts w:ascii="仿宋_GB2312" w:hAnsi="仿宋_GB2312" w:eastAsia="仿宋_GB2312"/>
          <w:b w:val="0"/>
          <w:color w:val="666666"/>
          <w:sz w:val="22"/>
        </w:rPr>
        <w:t>图2：27家机构“围剿”一家公司：2026Q1创投市场的组团式抢筹（来源：36Kr AI）</w:t>
      </w:r>
    </w:p>
    <w:p>
      <w:pPr>
        <w:spacing w:before="80" w:after="40"/>
      </w:pPr>
      <w:r>
        <w:rPr>
          <w:rFonts w:ascii="黑体" w:hAnsi="黑体" w:eastAsia="黑体"/>
          <w:b/>
          <w:sz w:val="28"/>
        </w:rPr>
        <w:t>1. 27家机构“围剿”一家公司：2026Q1创投市场的组团式抢筹</w:t>
      </w:r>
    </w:p>
    <w:p>
      <w:r>
        <w:rPr>
          <w:rFonts w:ascii="楷体_GB2312" w:hAnsi="楷体_GB2312" w:eastAsia="楷体_GB2312"/>
          <w:b w:val="0"/>
          <w:color w:val="666666"/>
          <w:sz w:val="24"/>
        </w:rPr>
        <w:t>来源：36Kr AI    发布时间：2026-04-07 14:47</w:t>
      </w:r>
    </w:p>
    <w:p>
      <w:pPr>
        <w:spacing w:lineRule="exact" w:line="560"/>
        <w:ind w:firstLine="560"/>
      </w:pPr>
      <w:r>
        <w:rPr>
          <w:rFonts w:ascii="仿宋_GB2312" w:hAnsi="仿宋_GB2312" w:eastAsia="仿宋_GB2312"/>
          <w:b w:val="0"/>
          <w:sz w:val="28"/>
        </w:rPr>
        <w:t>摘要：2026年第一季度，中国创投市场出现前所未有的‘组团式’融资现象，单轮次吸引15家以上投资机构的交易达12起，其中杭州曦望Sunrise以27家投资方领跑，获30亿元人民币融资。这些项目多集中在AI基础层、商业航天、人形机器人和核聚变四大硬科技赛道，且全部由国资背景机构参与，凸显国家战略导向。特别是人形机器人成为资本密度最高的细分领域，千寻智能等企业A轮融资即达20亿元并吸引19家投资方，反映资本对具身智能早期龙头的提前卡位。此轮融资不仅是财务行为，更是国家层面推动科技自主可控的战略部署，标志着中国创投从分散试探转向集中押注的新范式。</w:t>
      </w:r>
    </w:p>
    <w:p>
      <w:pPr>
        <w:spacing w:lineRule="exact" w:line="560"/>
        <w:ind w:firstLine="560"/>
      </w:pPr>
      <w:r>
        <w:rPr>
          <w:rFonts w:ascii="仿宋_GB2312" w:hAnsi="仿宋_GB2312" w:eastAsia="仿宋_GB2312"/>
          <w:b w:val="0"/>
          <w:sz w:val="28"/>
        </w:rPr>
        <w:t>要点1：2026年Q1出现12笔超15家投资方的超级团购型融资，国资主导特征明显</w:t>
      </w:r>
    </w:p>
    <w:p>
      <w:pPr>
        <w:spacing w:lineRule="exact" w:line="560"/>
        <w:ind w:firstLine="560"/>
      </w:pPr>
      <w:r>
        <w:rPr>
          <w:rFonts w:ascii="仿宋_GB2312" w:hAnsi="仿宋_GB2312" w:eastAsia="仿宋_GB2312"/>
          <w:b w:val="0"/>
          <w:sz w:val="28"/>
        </w:rPr>
        <w:t>要点2：AI基础层（如曦望Sunrise）、人形机器人（如千寻智能）成资本争抢焦点</w:t>
      </w:r>
    </w:p>
    <w:p>
      <w:pPr>
        <w:spacing w:lineRule="exact" w:line="560"/>
        <w:ind w:firstLine="560"/>
      </w:pPr>
      <w:r>
        <w:rPr>
          <w:rFonts w:ascii="仿宋_GB2312" w:hAnsi="仿宋_GB2312" w:eastAsia="仿宋_GB2312"/>
          <w:b w:val="0"/>
          <w:sz w:val="28"/>
        </w:rPr>
        <w:t>要点3：核聚变等长周期赛道也迎来早期组团投资，体现国家对终极能源的系统布局</w:t>
      </w:r>
    </w:p>
    <w:p>
      <w:pPr>
        <w:ind w:firstLine="560"/>
      </w:pPr>
      <w:r>
        <w:rPr>
          <w:rFonts w:ascii="仿宋_GB2312" w:hAnsi="仿宋_GB2312" w:eastAsia="仿宋_GB2312"/>
          <w:b w:val="0"/>
          <w:color w:val="555555"/>
          <w:sz w:val="22"/>
        </w:rPr>
        <w:t>原文链接：https://36kr.com/p/3752140653560324</w:t>
      </w:r>
    </w:p>
    <w:p>
      <w:pPr>
        <w:spacing w:before="80" w:after="40"/>
      </w:pPr>
      <w:r>
        <w:rPr>
          <w:rFonts w:ascii="黑体" w:hAnsi="黑体" w:eastAsia="黑体"/>
          <w:b/>
          <w:sz w:val="28"/>
        </w:rPr>
        <w:t>2. OpenAI前员工正从一个潜在规模达1亿美元的新基金中悄悄投资 | TechCrunch</w:t>
      </w:r>
    </w:p>
    <w:p>
      <w:r>
        <w:rPr>
          <w:rFonts w:ascii="楷体_GB2312" w:hAnsi="楷体_GB2312" w:eastAsia="楷体_GB2312"/>
          <w:b w:val="0"/>
          <w:color w:val="666666"/>
          <w:sz w:val="24"/>
        </w:rPr>
        <w:t>来源：TechCrunch AI    发布时间：2026-04-06 21:54</w:t>
      </w:r>
    </w:p>
    <w:p>
      <w:pPr>
        <w:spacing w:lineRule="exact" w:line="560"/>
        <w:ind w:firstLine="560"/>
      </w:pPr>
      <w:r>
        <w:rPr>
          <w:rFonts w:ascii="仿宋_GB2312" w:hAnsi="仿宋_GB2312" w:eastAsia="仿宋_GB2312"/>
          <w:b w:val="0"/>
          <w:sz w:val="28"/>
        </w:rPr>
        <w:t>摘要：由多位OpenAI早期成员创立的新型风投基金Zero Shot已达成首轮融资2000万美元目标，计划募集总额达1亿美元。该基金团队包括前OpenAI应用工程负责人Evan Morikawa、原提示工程师Andrew Mayne及前研究员Shawn Jain等，他们因频繁被创业者和VC咨询AI技术趋势而萌生自建基金想法。目前Zero Shot已投资Worktrace AI（AI企业管理软件）、Foundry Robotics（AI工厂机器人）及一家保密初创企业，其投资逻辑基于对AI演进方向的深刻理解，例如不看好‘ vibe coding’和‘数字孪生’类项目，认为模型厂商将快速替代此类服务。该基金代表了AI人才向资本端迁移的重要动向。</w:t>
      </w:r>
    </w:p>
    <w:p>
      <w:pPr>
        <w:spacing w:lineRule="exact" w:line="560"/>
        <w:ind w:firstLine="560"/>
      </w:pPr>
      <w:r>
        <w:rPr>
          <w:rFonts w:ascii="仿宋_GB2312" w:hAnsi="仿宋_GB2312" w:eastAsia="仿宋_GB2312"/>
          <w:b w:val="0"/>
          <w:sz w:val="28"/>
        </w:rPr>
        <w:t>要点1：Zero Shot基金由OpenAI前高管与资深VC共同创立，专注AI领域早期投资</w:t>
      </w:r>
    </w:p>
    <w:p>
      <w:pPr>
        <w:spacing w:lineRule="exact" w:line="560"/>
        <w:ind w:firstLine="560"/>
      </w:pPr>
      <w:r>
        <w:rPr>
          <w:rFonts w:ascii="仿宋_GB2312" w:hAnsi="仿宋_GB2312" w:eastAsia="仿宋_GB2312"/>
          <w:b w:val="0"/>
          <w:sz w:val="28"/>
        </w:rPr>
        <w:t>要点2：已投资Worktrace AI、Foundry Robotics等3家初创公司，涵盖企业自动化与机器人</w:t>
      </w:r>
    </w:p>
    <w:p>
      <w:pPr>
        <w:spacing w:lineRule="exact" w:line="560"/>
        <w:ind w:firstLine="560"/>
      </w:pPr>
      <w:r>
        <w:rPr>
          <w:rFonts w:ascii="仿宋_GB2312" w:hAnsi="仿宋_GB2312" w:eastAsia="仿宋_GB2312"/>
          <w:b w:val="0"/>
          <w:sz w:val="28"/>
        </w:rPr>
        <w:t>要点3：团队强调对AI技术路径的深度洞察，拒绝盲目跟风热门概念如数字孪生和vibe coding</w:t>
      </w:r>
    </w:p>
    <w:p>
      <w:pPr>
        <w:ind w:firstLine="560"/>
      </w:pPr>
      <w:r>
        <w:rPr>
          <w:rFonts w:ascii="仿宋_GB2312" w:hAnsi="仿宋_GB2312" w:eastAsia="仿宋_GB2312"/>
          <w:b w:val="0"/>
          <w:color w:val="555555"/>
          <w:sz w:val="22"/>
        </w:rPr>
        <w:t>原文链接：https://techcrunch.com/2026/04/06/openai-alums-have-been-quietly-investing-from-a-new-potentially-100m-fund/</w:t>
      </w:r>
    </w:p>
    <w:p>
      <w:r>
        <w:rPr>
          <w:rFonts w:ascii="黑体" w:hAnsi="黑体" w:eastAsia="黑体"/>
          <w:b/>
          <w:sz w:val="26"/>
        </w:rPr>
        <w:t>投融资事件汇总表</w:t>
      </w:r>
    </w:p>
    <w:tbl>
      <w:tblPr>
        <w:tblStyle w:val="TableGrid"/>
        <w:tblW w:type="auto" w:w="0"/>
        <w:jc w:val="center"/>
        <w:tblLook w:firstColumn="1" w:firstRow="1" w:lastColumn="0" w:lastRow="0" w:noHBand="0" w:noVBand="1" w:val="04A0"/>
      </w:tblPr>
      <w:tblGrid>
        <w:gridCol w:w="1843"/>
        <w:gridCol w:w="1843"/>
        <w:gridCol w:w="1843"/>
        <w:gridCol w:w="1843"/>
        <w:gridCol w:w="1843"/>
      </w:tblGrid>
      <w:tr>
        <w:tc>
          <w:tcPr>
            <w:tcW w:type="dxa" w:w="1843"/>
          </w:tcPr>
          <w:p>
            <w:pPr>
              <w:jc w:val="center"/>
            </w:pPr>
            <w:r>
              <w:rPr>
                <w:rFonts w:ascii="黑体" w:hAnsi="黑体" w:eastAsia="黑体"/>
                <w:b/>
                <w:sz w:val="22"/>
              </w:rPr>
              <w:t>企业/项目</w:t>
            </w:r>
          </w:p>
        </w:tc>
        <w:tc>
          <w:tcPr>
            <w:tcW w:type="dxa" w:w="1843"/>
          </w:tcPr>
          <w:p>
            <w:pPr>
              <w:jc w:val="center"/>
            </w:pPr>
            <w:r>
              <w:rPr>
                <w:rFonts w:ascii="黑体" w:hAnsi="黑体" w:eastAsia="黑体"/>
                <w:b/>
                <w:sz w:val="22"/>
              </w:rPr>
              <w:t>轮次</w:t>
            </w:r>
          </w:p>
        </w:tc>
        <w:tc>
          <w:tcPr>
            <w:tcW w:type="dxa" w:w="1843"/>
          </w:tcPr>
          <w:p>
            <w:pPr>
              <w:jc w:val="center"/>
            </w:pPr>
            <w:r>
              <w:rPr>
                <w:rFonts w:ascii="黑体" w:hAnsi="黑体" w:eastAsia="黑体"/>
                <w:b/>
                <w:sz w:val="22"/>
              </w:rPr>
              <w:t>金额</w:t>
            </w:r>
          </w:p>
        </w:tc>
        <w:tc>
          <w:tcPr>
            <w:tcW w:type="dxa" w:w="1843"/>
          </w:tcPr>
          <w:p>
            <w:pPr>
              <w:jc w:val="center"/>
            </w:pPr>
            <w:r>
              <w:rPr>
                <w:rFonts w:ascii="黑体" w:hAnsi="黑体" w:eastAsia="黑体"/>
                <w:b/>
                <w:sz w:val="22"/>
              </w:rPr>
              <w:t>投资方</w:t>
            </w:r>
          </w:p>
        </w:tc>
        <w:tc>
          <w:tcPr>
            <w:tcW w:type="dxa" w:w="1843"/>
          </w:tcPr>
          <w:p>
            <w:pPr>
              <w:jc w:val="center"/>
            </w:pPr>
            <w:r>
              <w:rPr>
                <w:rFonts w:ascii="黑体" w:hAnsi="黑体" w:eastAsia="黑体"/>
                <w:b/>
                <w:sz w:val="22"/>
              </w:rPr>
              <w:t>业务方向</w:t>
            </w:r>
          </w:p>
        </w:tc>
      </w:tr>
      <w:tr>
        <w:tc>
          <w:tcPr>
            <w:tcW w:type="dxa" w:w="1843"/>
          </w:tcPr>
          <w:p>
            <w:r>
              <w:rPr>
                <w:rFonts w:ascii="仿宋_GB2312" w:hAnsi="仿宋_GB2312" w:eastAsia="仿宋_GB2312"/>
                <w:b w:val="0"/>
                <w:sz w:val="21"/>
              </w:rPr>
              <w:t>曦望Sunrise</w:t>
            </w:r>
          </w:p>
        </w:tc>
        <w:tc>
          <w:tcPr>
            <w:tcW w:type="dxa" w:w="1843"/>
          </w:tcPr>
          <w:p>
            <w:r>
              <w:rPr>
                <w:rFonts w:ascii="仿宋_GB2312" w:hAnsi="仿宋_GB2312" w:eastAsia="仿宋_GB2312"/>
                <w:b w:val="0"/>
                <w:sz w:val="21"/>
              </w:rPr>
              <w:t>战略投资轮</w:t>
            </w:r>
          </w:p>
        </w:tc>
        <w:tc>
          <w:tcPr>
            <w:tcW w:type="dxa" w:w="1843"/>
          </w:tcPr>
          <w:p>
            <w:r>
              <w:rPr>
                <w:rFonts w:ascii="仿宋_GB2312" w:hAnsi="仿宋_GB2312" w:eastAsia="仿宋_GB2312"/>
                <w:b w:val="0"/>
                <w:sz w:val="21"/>
              </w:rPr>
              <w:t>30亿元人民币</w:t>
            </w:r>
          </w:p>
        </w:tc>
        <w:tc>
          <w:tcPr>
            <w:tcW w:type="dxa" w:w="1843"/>
          </w:tcPr>
          <w:p>
            <w:r>
              <w:rPr>
                <w:rFonts w:ascii="仿宋_GB2312" w:hAnsi="仿宋_GB2312" w:eastAsia="仿宋_GB2312"/>
                <w:b w:val="0"/>
                <w:sz w:val="21"/>
              </w:rPr>
              <w:t>27家投资机构</w:t>
            </w:r>
          </w:p>
        </w:tc>
        <w:tc>
          <w:tcPr>
            <w:tcW w:type="dxa" w:w="1843"/>
          </w:tcPr>
          <w:p>
            <w:r>
              <w:rPr>
                <w:rFonts w:ascii="仿宋_GB2312" w:hAnsi="仿宋_GB2312" w:eastAsia="仿宋_GB2312"/>
                <w:b w:val="0"/>
                <w:sz w:val="21"/>
              </w:rPr>
              <w:t>AI基础层（芯片/算力/框架）</w:t>
            </w:r>
          </w:p>
        </w:tc>
      </w:tr>
      <w:tr>
        <w:tc>
          <w:tcPr>
            <w:tcW w:type="dxa" w:w="1843"/>
          </w:tcPr>
          <w:p>
            <w:r>
              <w:rPr>
                <w:rFonts w:ascii="仿宋_GB2312" w:hAnsi="仿宋_GB2312" w:eastAsia="仿宋_GB2312"/>
                <w:b w:val="0"/>
                <w:sz w:val="21"/>
              </w:rPr>
              <w:t>Zero Shot</w:t>
            </w:r>
          </w:p>
        </w:tc>
        <w:tc>
          <w:tcPr>
            <w:tcW w:type="dxa" w:w="1843"/>
          </w:tcPr>
          <w:p>
            <w:r>
              <w:rPr>
                <w:rFonts w:ascii="仿宋_GB2312" w:hAnsi="仿宋_GB2312" w:eastAsia="仿宋_GB2312"/>
                <w:b w:val="0"/>
                <w:sz w:val="21"/>
              </w:rPr>
              <w:t>首期基金募集</w:t>
            </w:r>
          </w:p>
        </w:tc>
        <w:tc>
          <w:tcPr>
            <w:tcW w:type="dxa" w:w="1843"/>
          </w:tcPr>
          <w:p>
            <w:r>
              <w:rPr>
                <w:rFonts w:ascii="仿宋_GB2312" w:hAnsi="仿宋_GB2312" w:eastAsia="仿宋_GB2312"/>
                <w:b w:val="0"/>
                <w:sz w:val="21"/>
              </w:rPr>
              <w:t>1亿美元</w:t>
            </w:r>
          </w:p>
        </w:tc>
        <w:tc>
          <w:tcPr>
            <w:tcW w:type="dxa" w:w="1843"/>
          </w:tcPr>
          <w:p>
            <w:r>
              <w:rPr>
                <w:rFonts w:ascii="仿宋_GB2312" w:hAnsi="仿宋_GB2312" w:eastAsia="仿宋_GB2312"/>
                <w:b w:val="0"/>
                <w:sz w:val="21"/>
              </w:rPr>
              <w:t>未披露具体机构投资者</w:t>
            </w:r>
          </w:p>
        </w:tc>
        <w:tc>
          <w:tcPr>
            <w:tcW w:type="dxa" w:w="1843"/>
          </w:tcPr>
          <w:p>
            <w:r>
              <w:rPr>
                <w:rFonts w:ascii="仿宋_GB2312" w:hAnsi="仿宋_GB2312" w:eastAsia="仿宋_GB2312"/>
                <w:b w:val="0"/>
                <w:sz w:val="21"/>
              </w:rPr>
              <w:t>专注于AI初创企业的早期风险投资</w:t>
            </w:r>
          </w:p>
        </w:tc>
      </w:tr>
    </w:tbl>
    <w:p>
      <w:pPr>
        <w:spacing w:before="200" w:after="120"/>
      </w:pPr>
      <w:r>
        <w:rPr>
          <w:rFonts w:ascii="黑体" w:hAnsi="黑体" w:eastAsia="黑体"/>
          <w:b/>
          <w:sz w:val="32"/>
        </w:rPr>
        <w:t>五、最新研究论文</w:t>
      </w:r>
    </w:p>
    <w:p>
      <w:pPr>
        <w:spacing w:before="80" w:after="40"/>
      </w:pPr>
      <w:r>
        <w:rPr>
          <w:rFonts w:ascii="黑体" w:hAnsi="黑体" w:eastAsia="黑体"/>
          <w:b/>
          <w:sz w:val="28"/>
        </w:rPr>
        <w:t>1. 小语言模型中的熵与注意力动态：基于TruthfulQA基准的追踪级结构分析</w:t>
      </w:r>
    </w:p>
    <w:p>
      <w:r>
        <w:rPr>
          <w:rFonts w:ascii="楷体_GB2312" w:hAnsi="楷体_GB2312" w:eastAsia="楷体_GB2312"/>
          <w:b w:val="0"/>
          <w:color w:val="666666"/>
          <w:sz w:val="24"/>
        </w:rPr>
        <w:t>来源：arXiv cs.AI    发布时间：2026-04-07 00:00</w:t>
      </w:r>
    </w:p>
    <w:p>
      <w:pPr>
        <w:spacing w:lineRule="exact" w:line="560"/>
        <w:ind w:firstLine="560"/>
      </w:pPr>
      <w:r>
        <w:rPr>
          <w:rFonts w:ascii="仿宋_GB2312" w:hAnsi="仿宋_GB2312" w:eastAsia="仿宋_GB2312"/>
          <w:b w:val="0"/>
          <w:sz w:val="28"/>
        </w:rPr>
        <w:t>摘要：这篇发表于arXiv的论文聚焦于小语言模型（SLMs）在资源受限场景下的不稳定性问题，特别是它们在生成过程中如何产生错误判断和不稳定输出。作者通过在TruthfulQA基准上进行追踪级结构分析，揭示了模型解码过程中熵的变化规律及其与注意力机制之间的关系。研究表明，熵的异常波动往往预示着模型信心过高但事实错误的预测，这为改进小模型的鲁棒性和可解释性提供了关键洞见。该成果有助于推动小模型在医疗、金融等高风险领域的安全部署。</w:t>
      </w:r>
    </w:p>
    <w:p>
      <w:pPr>
        <w:spacing w:lineRule="exact" w:line="560"/>
        <w:ind w:firstLine="560"/>
      </w:pPr>
      <w:r>
        <w:rPr>
          <w:rFonts w:ascii="仿宋_GB2312" w:hAnsi="仿宋_GB2312" w:eastAsia="仿宋_GB2312"/>
          <w:b w:val="0"/>
          <w:sz w:val="28"/>
        </w:rPr>
        <w:t>要点1：小语言模型在解码过程中熵变化显著影响输出准确性</w:t>
      </w:r>
    </w:p>
    <w:p>
      <w:pPr>
        <w:spacing w:lineRule="exact" w:line="560"/>
        <w:ind w:firstLine="560"/>
      </w:pPr>
      <w:r>
        <w:rPr>
          <w:rFonts w:ascii="仿宋_GB2312" w:hAnsi="仿宋_GB2312" w:eastAsia="仿宋_GB2312"/>
          <w:b w:val="0"/>
          <w:sz w:val="28"/>
        </w:rPr>
        <w:t>要点2：注意力机制与熵演化存在强相关性，是导致误判的关键因素</w:t>
      </w:r>
    </w:p>
    <w:p>
      <w:pPr>
        <w:spacing w:lineRule="exact" w:line="560"/>
        <w:ind w:firstLine="560"/>
      </w:pPr>
      <w:r>
        <w:rPr>
          <w:rFonts w:ascii="仿宋_GB2312" w:hAnsi="仿宋_GB2312" w:eastAsia="仿宋_GB2312"/>
          <w:b w:val="0"/>
          <w:sz w:val="28"/>
        </w:rPr>
        <w:t>要点3：当前评估方法忽视内部行为，难以解释模型为何出错</w:t>
      </w:r>
    </w:p>
    <w:p>
      <w:pPr>
        <w:ind w:firstLine="560"/>
      </w:pPr>
      <w:r>
        <w:rPr>
          <w:rFonts w:ascii="仿宋_GB2312" w:hAnsi="仿宋_GB2312" w:eastAsia="仿宋_GB2312"/>
          <w:b w:val="0"/>
          <w:color w:val="555555"/>
          <w:sz w:val="22"/>
        </w:rPr>
        <w:t>原文链接：https://arxiv.org/abs/2604.03589</w:t>
      </w:r>
    </w:p>
    <w:p>
      <w:pPr>
        <w:spacing w:before="80" w:after="40"/>
      </w:pPr>
      <w:r>
        <w:rPr>
          <w:rFonts w:ascii="黑体" w:hAnsi="黑体" w:eastAsia="黑体"/>
          <w:b/>
          <w:sz w:val="28"/>
        </w:rPr>
        <w:t>2. TableVision：面向复杂层级表格空间定位推理的大规模基准测试</w:t>
      </w:r>
    </w:p>
    <w:p>
      <w:r>
        <w:rPr>
          <w:rFonts w:ascii="楷体_GB2312" w:hAnsi="楷体_GB2312" w:eastAsia="楷体_GB2312"/>
          <w:b w:val="0"/>
          <w:color w:val="666666"/>
          <w:sz w:val="24"/>
        </w:rPr>
        <w:t>来源：arXiv cs.AI    发布时间：2026-04-07 00:00</w:t>
      </w:r>
    </w:p>
    <w:p>
      <w:pPr>
        <w:spacing w:lineRule="exact" w:line="560"/>
        <w:ind w:firstLine="560"/>
      </w:pPr>
      <w:r>
        <w:rPr>
          <w:rFonts w:ascii="仿宋_GB2312" w:hAnsi="仿宋_GB2312" w:eastAsia="仿宋_GB2312"/>
          <w:b w:val="0"/>
          <w:sz w:val="28"/>
        </w:rPr>
        <w:t>摘要：本文提出了TableVision，一个用于评估多模态大语言模型在复杂层级表格中进行空间定位推理能力的大规模基准测试。作者通过定量分析发现，当前模型在处理结构复杂、嵌套层级的表格时存在显著的感知瓶颈，导致推理性能受限。该基准涵盖金融、医疗和科研等专业领域的多样化表格数据，旨在推动模型对表格内容的空间语义理解和逻辑推理能力提升，为未来表格智能分析提供标准化评测工具。</w:t>
      </w:r>
    </w:p>
    <w:p>
      <w:pPr>
        <w:spacing w:lineRule="exact" w:line="560"/>
        <w:ind w:firstLine="560"/>
      </w:pPr>
      <w:r>
        <w:rPr>
          <w:rFonts w:ascii="仿宋_GB2312" w:hAnsi="仿宋_GB2312" w:eastAsia="仿宋_GB2312"/>
          <w:b w:val="0"/>
          <w:sz w:val="28"/>
        </w:rPr>
        <w:t>要点1：提出TableVision基准，专门评估MLLMs在复杂层级表格中的空间推理能力</w:t>
      </w:r>
    </w:p>
    <w:p>
      <w:pPr>
        <w:spacing w:lineRule="exact" w:line="560"/>
        <w:ind w:firstLine="560"/>
      </w:pPr>
      <w:r>
        <w:rPr>
          <w:rFonts w:ascii="仿宋_GB2312" w:hAnsi="仿宋_GB2312" w:eastAsia="仿宋_GB2312"/>
          <w:b w:val="0"/>
          <w:sz w:val="28"/>
        </w:rPr>
        <w:t>要点2：识别出当前模型在高复杂度表格任务中存在感知瓶颈</w:t>
      </w:r>
    </w:p>
    <w:p>
      <w:pPr>
        <w:spacing w:lineRule="exact" w:line="560"/>
        <w:ind w:firstLine="560"/>
      </w:pPr>
      <w:r>
        <w:rPr>
          <w:rFonts w:ascii="仿宋_GB2312" w:hAnsi="仿宋_GB2312" w:eastAsia="仿宋_GB2312"/>
          <w:b w:val="0"/>
          <w:sz w:val="28"/>
        </w:rPr>
        <w:t>要点3：覆盖金融、医疗和科研等专业领域的真实表格数据</w:t>
      </w:r>
    </w:p>
    <w:p>
      <w:pPr>
        <w:ind w:firstLine="560"/>
      </w:pPr>
      <w:r>
        <w:rPr>
          <w:rFonts w:ascii="仿宋_GB2312" w:hAnsi="仿宋_GB2312" w:eastAsia="仿宋_GB2312"/>
          <w:b w:val="0"/>
          <w:color w:val="555555"/>
          <w:sz w:val="22"/>
        </w:rPr>
        <w:t>原文链接：https://arxiv.org/abs/2604.03660</w:t>
      </w:r>
    </w:p>
    <w:p>
      <w:pPr>
        <w:spacing w:before="80" w:after="40"/>
      </w:pPr>
      <w:r>
        <w:rPr>
          <w:rFonts w:ascii="黑体" w:hAnsi="黑体" w:eastAsia="黑体"/>
          <w:b/>
          <w:sz w:val="28"/>
        </w:rPr>
        <w:t>3. IC3-Evolve：基于证明/见证门控的离线大语言模型驱动启发式进化用于IC3硬件模型检测</w:t>
      </w:r>
    </w:p>
    <w:p>
      <w:r>
        <w:rPr>
          <w:rFonts w:ascii="楷体_GB2312" w:hAnsi="楷体_GB2312" w:eastAsia="楷体_GB2312"/>
          <w:b w:val="0"/>
          <w:color w:val="666666"/>
          <w:sz w:val="24"/>
        </w:rPr>
        <w:t>来源：arXiv cs.AI    发布时间：2026-04-07 00:00</w:t>
      </w:r>
    </w:p>
    <w:p>
      <w:pPr>
        <w:spacing w:lineRule="exact" w:line="560"/>
        <w:ind w:firstLine="560"/>
      </w:pPr>
      <w:r>
        <w:rPr>
          <w:rFonts w:ascii="仿宋_GB2312" w:hAnsi="仿宋_GB2312" w:eastAsia="仿宋_GB2312"/>
          <w:b w:val="0"/>
          <w:sz w:val="28"/>
        </w:rPr>
        <w:t>摘要：该论文提出IC3-Evolve框架，通过引入大语言模型（LLM）驱动的启发式进化机制，改进传统IC3算法在硬件模型检测中的性能瓶颈。IC3（即属性导向可达性）是硬件安全验证的核心算法，其效果高度依赖于复杂的启发式策略。作者设计了基于证明和见证信号的门控机制，使LLM能够动态选择并优化启发式规则，从而显著提升求解效率与准确性。实验表明，该方法在多个工业级硬件模型上优于现有主流工具，尤其在处理复杂状态空间时表现突出，为AI赋能形式化验证提供了新范式。</w:t>
      </w:r>
    </w:p>
    <w:p>
      <w:pPr>
        <w:spacing w:lineRule="exact" w:line="560"/>
        <w:ind w:firstLine="560"/>
      </w:pPr>
      <w:r>
        <w:rPr>
          <w:rFonts w:ascii="仿宋_GB2312" w:hAnsi="仿宋_GB2312" w:eastAsia="仿宋_GB2312"/>
          <w:b w:val="0"/>
          <w:sz w:val="28"/>
        </w:rPr>
        <w:t>要点1：提出IC3-Evolve框架，结合LLM与门控机制优化IC3启发式策略</w:t>
      </w:r>
    </w:p>
    <w:p>
      <w:pPr>
        <w:spacing w:lineRule="exact" w:line="560"/>
        <w:ind w:firstLine="560"/>
      </w:pPr>
      <w:r>
        <w:rPr>
          <w:rFonts w:ascii="仿宋_GB2312" w:hAnsi="仿宋_GB2312" w:eastAsia="仿宋_GB2312"/>
          <w:b w:val="0"/>
          <w:sz w:val="28"/>
        </w:rPr>
        <w:t>要点2：通过证明和见证信号实现启发式规则的动态选择与进化</w:t>
      </w:r>
    </w:p>
    <w:p>
      <w:pPr>
        <w:spacing w:lineRule="exact" w:line="560"/>
        <w:ind w:firstLine="560"/>
      </w:pPr>
      <w:r>
        <w:rPr>
          <w:rFonts w:ascii="仿宋_GB2312" w:hAnsi="仿宋_GB2312" w:eastAsia="仿宋_GB2312"/>
          <w:b w:val="0"/>
          <w:sz w:val="28"/>
        </w:rPr>
        <w:t>要点3：在多个工业级硬件模型中验证性能优于传统方法</w:t>
      </w:r>
    </w:p>
    <w:p>
      <w:pPr>
        <w:ind w:firstLine="560"/>
      </w:pPr>
      <w:r>
        <w:rPr>
          <w:rFonts w:ascii="仿宋_GB2312" w:hAnsi="仿宋_GB2312" w:eastAsia="仿宋_GB2312"/>
          <w:b w:val="0"/>
          <w:color w:val="555555"/>
          <w:sz w:val="22"/>
        </w:rPr>
        <w:t>原文链接：https://arxiv.org/abs/2604.03232</w:t>
      </w:r>
    </w:p>
    <w:p>
      <w:pPr>
        <w:spacing w:before="80" w:after="40"/>
      </w:pPr>
      <w:r>
        <w:rPr>
          <w:rFonts w:ascii="黑体" w:hAnsi="黑体" w:eastAsia="黑体"/>
          <w:b/>
          <w:sz w:val="28"/>
        </w:rPr>
        <w:t>4. TABQAWORLD：优化多轮表格问答中的多模态推理</w:t>
      </w:r>
    </w:p>
    <w:p>
      <w:r>
        <w:rPr>
          <w:rFonts w:ascii="楷体_GB2312" w:hAnsi="楷体_GB2312" w:eastAsia="楷体_GB2312"/>
          <w:b w:val="0"/>
          <w:color w:val="666666"/>
          <w:sz w:val="24"/>
        </w:rPr>
        <w:t>来源：arXiv cs.AI    发布时间：2026-04-07 00:00</w:t>
      </w:r>
    </w:p>
    <w:p>
      <w:pPr>
        <w:spacing w:lineRule="exact" w:line="560"/>
        <w:ind w:firstLine="560"/>
      </w:pPr>
      <w:r>
        <w:rPr>
          <w:rFonts w:ascii="仿宋_GB2312" w:hAnsi="仿宋_GB2312" w:eastAsia="仿宋_GB2312"/>
          <w:b w:val="0"/>
          <w:sz w:val="28"/>
        </w:rPr>
        <w:t>摘要：该研究发表于arXiv（cs.AI），聚焦于多轮表格问答任务中的多模态推理优化。当前方法依赖固定文本格式读取表格状态，导致表征误差随轮次增加而累积，影响最终推理精度。本文提出通过表格接地（tabular grounding）机制改进表征方式，减少误差积累，从而显著提升模型在复杂表格交互任务中的表现。该方法为构建更鲁棒、可解释的多模态推理系统提供了新思路，适用于金融、医疗等需高精度表格理解的行业应用。</w:t>
      </w:r>
    </w:p>
    <w:p>
      <w:pPr>
        <w:spacing w:lineRule="exact" w:line="560"/>
        <w:ind w:firstLine="560"/>
      </w:pPr>
      <w:r>
        <w:rPr>
          <w:rFonts w:ascii="仿宋_GB2312" w:hAnsi="仿宋_GB2312" w:eastAsia="仿宋_GB2312"/>
          <w:b w:val="0"/>
          <w:sz w:val="28"/>
        </w:rPr>
        <w:t>要点1：现有方法因固定文本序列化导致表格表征误差随轮次累积</w:t>
      </w:r>
    </w:p>
    <w:p>
      <w:pPr>
        <w:spacing w:lineRule="exact" w:line="560"/>
        <w:ind w:firstLine="560"/>
      </w:pPr>
      <w:r>
        <w:rPr>
          <w:rFonts w:ascii="仿宋_GB2312" w:hAnsi="仿宋_GB2312" w:eastAsia="仿宋_GB2312"/>
          <w:b w:val="0"/>
          <w:sz w:val="28"/>
        </w:rPr>
        <w:t>要点2：提出表格接地机制以缓解误差传播问题</w:t>
      </w:r>
    </w:p>
    <w:p>
      <w:pPr>
        <w:spacing w:lineRule="exact" w:line="560"/>
        <w:ind w:firstLine="560"/>
      </w:pPr>
      <w:r>
        <w:rPr>
          <w:rFonts w:ascii="仿宋_GB2312" w:hAnsi="仿宋_GB2312" w:eastAsia="仿宋_GB2312"/>
          <w:b w:val="0"/>
          <w:sz w:val="28"/>
        </w:rPr>
        <w:t>要点3：实验表明该方法能有效提升多轮表格问答准确率</w:t>
      </w:r>
    </w:p>
    <w:p>
      <w:pPr>
        <w:ind w:firstLine="560"/>
      </w:pPr>
      <w:r>
        <w:rPr>
          <w:rFonts w:ascii="仿宋_GB2312" w:hAnsi="仿宋_GB2312" w:eastAsia="仿宋_GB2312"/>
          <w:b w:val="0"/>
          <w:color w:val="555555"/>
          <w:sz w:val="22"/>
        </w:rPr>
        <w:t>原文链接：https://arxiv.org/abs/2604.03393</w:t>
      </w:r>
    </w:p>
    <w:p>
      <w:pPr>
        <w:spacing w:before="80" w:after="40"/>
      </w:pPr>
      <w:r>
        <w:rPr>
          <w:rFonts w:ascii="黑体" w:hAnsi="黑体" w:eastAsia="黑体"/>
          <w:b/>
          <w:sz w:val="28"/>
        </w:rPr>
        <w:t>5. 单智能体与多智能体在自动化视频分析屏幕协作学习行为中的对比</w:t>
      </w:r>
    </w:p>
    <w:p>
      <w:r>
        <w:rPr>
          <w:rFonts w:ascii="楷体_GB2312" w:hAnsi="楷体_GB2312" w:eastAsia="楷体_GB2312"/>
          <w:b w:val="0"/>
          <w:color w:val="666666"/>
          <w:sz w:val="24"/>
        </w:rPr>
        <w:t>来源：arXiv cs.AI    发布时间：2026-04-07 00:00</w:t>
      </w:r>
    </w:p>
    <w:p>
      <w:pPr>
        <w:spacing w:lineRule="exact" w:line="560"/>
        <w:ind w:firstLine="560"/>
      </w:pPr>
      <w:r>
        <w:rPr>
          <w:rFonts w:ascii="仿宋_GB2312" w:hAnsi="仿宋_GB2312" w:eastAsia="仿宋_GB2312"/>
          <w:b w:val="0"/>
          <w:sz w:val="28"/>
        </w:rPr>
        <w:t>摘要：本研究探讨了单智能体与多智能体系统在自动化分析学生屏幕协作学习行为方面的差异。随着视觉语言模型（VLMs）的发展，传统依赖人工编码的多模态视频分析流程正被自动化技术替代。研究通过对比两种架构在识别学生信息获取、使用和创造过程中的表现，发现多智能体系统在复杂交互行为识别上更具优势，尤其在捕捉协作动态和认知状态方面更准确。该成果为教育科技领域提供了一种高效、可扩展的行为分析工具，有助于推动个性化教学和学习评估系统的智能化升级。</w:t>
      </w:r>
    </w:p>
    <w:p>
      <w:pPr>
        <w:spacing w:lineRule="exact" w:line="560"/>
        <w:ind w:firstLine="560"/>
      </w:pPr>
      <w:r>
        <w:rPr>
          <w:rFonts w:ascii="仿宋_GB2312" w:hAnsi="仿宋_GB2312" w:eastAsia="仿宋_GB2312"/>
          <w:b w:val="0"/>
          <w:sz w:val="28"/>
        </w:rPr>
        <w:t>要点1：多智能体系统在识别协作学习行为方面优于单智能体系统</w:t>
      </w:r>
    </w:p>
    <w:p>
      <w:pPr>
        <w:spacing w:lineRule="exact" w:line="560"/>
        <w:ind w:firstLine="560"/>
      </w:pPr>
      <w:r>
        <w:rPr>
          <w:rFonts w:ascii="仿宋_GB2312" w:hAnsi="仿宋_GB2312" w:eastAsia="仿宋_GB2312"/>
          <w:b w:val="0"/>
          <w:sz w:val="28"/>
        </w:rPr>
        <w:t>要点2：视觉语言模型显著提升视频行为分析效率</w:t>
      </w:r>
    </w:p>
    <w:p>
      <w:pPr>
        <w:spacing w:lineRule="exact" w:line="560"/>
        <w:ind w:firstLine="560"/>
      </w:pPr>
      <w:r>
        <w:rPr>
          <w:rFonts w:ascii="仿宋_GB2312" w:hAnsi="仿宋_GB2312" w:eastAsia="仿宋_GB2312"/>
          <w:b w:val="0"/>
          <w:sz w:val="28"/>
        </w:rPr>
        <w:t>要点3：研究成果可用于教育场景下的学习行为自动评估</w:t>
      </w:r>
    </w:p>
    <w:p>
      <w:pPr>
        <w:ind w:firstLine="560"/>
      </w:pPr>
      <w:r>
        <w:rPr>
          <w:rFonts w:ascii="仿宋_GB2312" w:hAnsi="仿宋_GB2312" w:eastAsia="仿宋_GB2312"/>
          <w:b w:val="0"/>
          <w:color w:val="555555"/>
          <w:sz w:val="22"/>
        </w:rPr>
        <w:t>原文链接：https://arxiv.org/abs/2604.03631</w:t>
      </w:r>
    </w:p>
    <w:p>
      <w:r>
        <w:rPr>
          <w:rFonts w:ascii="黑体" w:hAnsi="黑体" w:eastAsia="黑体"/>
          <w:b/>
          <w:sz w:val="26"/>
        </w:rPr>
        <w:t>论文要点汇总表</w:t>
      </w:r>
    </w:p>
    <w:tbl>
      <w:tblPr>
        <w:tblStyle w:val="TableGrid"/>
        <w:tblW w:type="auto" w:w="0"/>
        <w:jc w:val="center"/>
        <w:tblLook w:firstColumn="1" w:firstRow="1" w:lastColumn="0" w:lastRow="0" w:noHBand="0" w:noVBand="1" w:val="04A0"/>
      </w:tblPr>
      <w:tblGrid>
        <w:gridCol w:w="3072"/>
        <w:gridCol w:w="3072"/>
        <w:gridCol w:w="3072"/>
      </w:tblGrid>
      <w:tr>
        <w:tc>
          <w:tcPr>
            <w:tcW w:type="dxa" w:w="3072"/>
          </w:tcPr>
          <w:p>
            <w:pPr>
              <w:jc w:val="center"/>
            </w:pPr>
            <w:r>
              <w:rPr>
                <w:rFonts w:ascii="黑体" w:hAnsi="黑体" w:eastAsia="黑体"/>
                <w:b/>
                <w:sz w:val="22"/>
              </w:rPr>
              <w:t>论文来源/会议信息</w:t>
            </w:r>
          </w:p>
        </w:tc>
        <w:tc>
          <w:tcPr>
            <w:tcW w:type="dxa" w:w="3072"/>
          </w:tcPr>
          <w:p>
            <w:pPr>
              <w:jc w:val="center"/>
            </w:pPr>
            <w:r>
              <w:rPr>
                <w:rFonts w:ascii="黑体" w:hAnsi="黑体" w:eastAsia="黑体"/>
                <w:b/>
                <w:sz w:val="22"/>
              </w:rPr>
              <w:t>研究机构</w:t>
            </w:r>
          </w:p>
        </w:tc>
        <w:tc>
          <w:tcPr>
            <w:tcW w:type="dxa" w:w="3072"/>
          </w:tcPr>
          <w:p>
            <w:pPr>
              <w:jc w:val="center"/>
            </w:pPr>
            <w:r>
              <w:rPr>
                <w:rFonts w:ascii="黑体" w:hAnsi="黑体" w:eastAsia="黑体"/>
                <w:b/>
                <w:sz w:val="22"/>
              </w:rPr>
              <w:t>核心结论</w:t>
            </w:r>
          </w:p>
        </w:tc>
      </w:tr>
      <w:tr>
        <w:tc>
          <w:tcPr>
            <w:tcW w:type="dxa" w:w="3072"/>
          </w:tcPr>
          <w:p>
            <w:r>
              <w:rPr>
                <w:rFonts w:ascii="仿宋_GB2312" w:hAnsi="仿宋_GB2312" w:eastAsia="仿宋_GB2312"/>
                <w:b w:val="0"/>
                <w:sz w:val="21"/>
              </w:rPr>
              <w:t>arXiv cs.AI</w:t>
            </w:r>
          </w:p>
        </w:tc>
        <w:tc>
          <w:tcPr>
            <w:tcW w:type="dxa" w:w="3072"/>
          </w:tcPr>
          <w:p>
            <w:r>
              <w:rPr>
                <w:rFonts w:ascii="仿宋_GB2312" w:hAnsi="仿宋_GB2312" w:eastAsia="仿宋_GB2312"/>
                <w:b w:val="0"/>
                <w:sz w:val="21"/>
              </w:rPr>
            </w:r>
          </w:p>
        </w:tc>
        <w:tc>
          <w:tcPr>
            <w:tcW w:type="dxa" w:w="3072"/>
          </w:tcPr>
          <w:p>
            <w:r>
              <w:rPr>
                <w:rFonts w:ascii="仿宋_GB2312" w:hAnsi="仿宋_GB2312" w:eastAsia="仿宋_GB2312"/>
                <w:b w:val="0"/>
                <w:sz w:val="21"/>
              </w:rPr>
              <w:t>通过追踪级分析揭示小模型内部熵与注意力动态的关系，提出改进模型稳定性的新方向</w:t>
            </w:r>
          </w:p>
        </w:tc>
      </w:tr>
      <w:tr>
        <w:tc>
          <w:tcPr>
            <w:tcW w:type="dxa" w:w="3072"/>
          </w:tcPr>
          <w:p>
            <w:r>
              <w:rPr>
                <w:rFonts w:ascii="仿宋_GB2312" w:hAnsi="仿宋_GB2312" w:eastAsia="仿宋_GB2312"/>
                <w:b w:val="0"/>
                <w:sz w:val="21"/>
              </w:rPr>
              <w:t>arXiv cs.AI</w:t>
            </w:r>
          </w:p>
        </w:tc>
        <w:tc>
          <w:tcPr>
            <w:tcW w:type="dxa" w:w="3072"/>
          </w:tcPr>
          <w:p>
            <w:r>
              <w:rPr>
                <w:rFonts w:ascii="仿宋_GB2312" w:hAnsi="仿宋_GB2312" w:eastAsia="仿宋_GB2312"/>
                <w:b w:val="0"/>
                <w:sz w:val="21"/>
              </w:rPr>
            </w:r>
          </w:p>
        </w:tc>
        <w:tc>
          <w:tcPr>
            <w:tcW w:type="dxa" w:w="3072"/>
          </w:tcPr>
          <w:p>
            <w:r>
              <w:rPr>
                <w:rFonts w:ascii="仿宋_GB2312" w:hAnsi="仿宋_GB2312" w:eastAsia="仿宋_GB2312"/>
                <w:b w:val="0"/>
                <w:sz w:val="21"/>
              </w:rPr>
              <w:t>TableVision为复杂表格推理提供了系统性评测框架，有助于推动多模态模型在专业场景下的落地应用。</w:t>
            </w:r>
          </w:p>
        </w:tc>
      </w:tr>
      <w:tr>
        <w:tc>
          <w:tcPr>
            <w:tcW w:type="dxa" w:w="3072"/>
          </w:tcPr>
          <w:p>
            <w:r>
              <w:rPr>
                <w:rFonts w:ascii="仿宋_GB2312" w:hAnsi="仿宋_GB2312" w:eastAsia="仿宋_GB2312"/>
                <w:b w:val="0"/>
                <w:sz w:val="21"/>
              </w:rPr>
              <w:t>arXiv cs.AI</w:t>
            </w:r>
          </w:p>
        </w:tc>
        <w:tc>
          <w:tcPr>
            <w:tcW w:type="dxa" w:w="3072"/>
          </w:tcPr>
          <w:p>
            <w:r>
              <w:rPr>
                <w:rFonts w:ascii="仿宋_GB2312" w:hAnsi="仿宋_GB2312" w:eastAsia="仿宋_GB2312"/>
                <w:b w:val="0"/>
                <w:sz w:val="21"/>
              </w:rPr>
            </w:r>
          </w:p>
        </w:tc>
        <w:tc>
          <w:tcPr>
            <w:tcW w:type="dxa" w:w="3072"/>
          </w:tcPr>
          <w:p>
            <w:r>
              <w:rPr>
                <w:rFonts w:ascii="仿宋_GB2312" w:hAnsi="仿宋_GB2312" w:eastAsia="仿宋_GB2312"/>
                <w:b w:val="0"/>
                <w:sz w:val="21"/>
              </w:rPr>
              <w:t>LLM可以有效辅助硬件模型检测中的启发式决策，提升IC3算法的自动化与鲁棒性，推动AI与形式化方法融合应用。</w:t>
            </w:r>
          </w:p>
        </w:tc>
      </w:tr>
      <w:tr>
        <w:tc>
          <w:tcPr>
            <w:tcW w:type="dxa" w:w="3072"/>
          </w:tcPr>
          <w:p>
            <w:r>
              <w:rPr>
                <w:rFonts w:ascii="仿宋_GB2312" w:hAnsi="仿宋_GB2312" w:eastAsia="仿宋_GB2312"/>
                <w:b w:val="0"/>
                <w:sz w:val="21"/>
              </w:rPr>
              <w:t>arXiv cs.AI</w:t>
            </w:r>
          </w:p>
        </w:tc>
        <w:tc>
          <w:tcPr>
            <w:tcW w:type="dxa" w:w="3072"/>
          </w:tcPr>
          <w:p>
            <w:r>
              <w:rPr>
                <w:rFonts w:ascii="仿宋_GB2312" w:hAnsi="仿宋_GB2312" w:eastAsia="仿宋_GB2312"/>
                <w:b w:val="0"/>
                <w:sz w:val="21"/>
              </w:rPr>
            </w:r>
          </w:p>
        </w:tc>
        <w:tc>
          <w:tcPr>
            <w:tcW w:type="dxa" w:w="3072"/>
          </w:tcPr>
          <w:p>
            <w:r>
              <w:rPr>
                <w:rFonts w:ascii="仿宋_GB2312" w:hAnsi="仿宋_GB2312" w:eastAsia="仿宋_GB2312"/>
                <w:b w:val="0"/>
                <w:sz w:val="21"/>
              </w:rPr>
              <w:t>通过引入表格接地机制优化多轮表格问答中的表征稳定性，显著降低误差累积，提升推理准确性。</w:t>
            </w:r>
          </w:p>
        </w:tc>
      </w:tr>
      <w:tr>
        <w:tc>
          <w:tcPr>
            <w:tcW w:type="dxa" w:w="3072"/>
          </w:tcPr>
          <w:p>
            <w:r>
              <w:rPr>
                <w:rFonts w:ascii="仿宋_GB2312" w:hAnsi="仿宋_GB2312" w:eastAsia="仿宋_GB2312"/>
                <w:b w:val="0"/>
                <w:sz w:val="21"/>
              </w:rPr>
              <w:t>arXiv cs.AI</w:t>
            </w:r>
          </w:p>
        </w:tc>
        <w:tc>
          <w:tcPr>
            <w:tcW w:type="dxa" w:w="3072"/>
          </w:tcPr>
          <w:p>
            <w:r>
              <w:rPr>
                <w:rFonts w:ascii="仿宋_GB2312" w:hAnsi="仿宋_GB2312" w:eastAsia="仿宋_GB2312"/>
                <w:b w:val="0"/>
                <w:sz w:val="21"/>
              </w:rPr>
            </w:r>
          </w:p>
        </w:tc>
        <w:tc>
          <w:tcPr>
            <w:tcW w:type="dxa" w:w="3072"/>
          </w:tcPr>
          <w:p>
            <w:r>
              <w:rPr>
                <w:rFonts w:ascii="仿宋_GB2312" w:hAnsi="仿宋_GB2312" w:eastAsia="仿宋_GB2312"/>
                <w:b w:val="0"/>
                <w:sz w:val="21"/>
              </w:rPr>
              <w:t>多智能体架构更适合处理复杂协作学习行为的自动化视频分析任务</w:t>
            </w:r>
          </w:p>
        </w:tc>
      </w:tr>
    </w:tbl>
    <w:sectPr w:rsidR="00FC693F" w:rsidRPr="0006063C" w:rsidSect="00034616">
      <w:pgSz w:w="12240" w:h="15840"/>
      <w:pgMar w:top="1440" w:right="1440" w:bottom="1440" w:left="158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jpg"/><Relationship Id="rId10" Type="http://schemas.openxmlformats.org/officeDocument/2006/relationships/image" Target="media/image2.jpg"/><Relationship Id="rId11" Type="http://schemas.openxmlformats.org/officeDocument/2006/relationships/image" Target="media/image3.jpg"/><Relationship Id="rId12" Type="http://schemas.openxmlformats.org/officeDocument/2006/relationships/image" Target="media/image4.jpg"/><Relationship Id="rId13" Type="http://schemas.openxmlformats.org/officeDocument/2006/relationships/image" Target="media/image5.jpg"/><Relationship Id="rId14" Type="http://schemas.openxmlformats.org/officeDocument/2006/relationships/image" Target="media/image6.jpg"/><Relationship Id="rId15" Type="http://schemas.openxmlformats.org/officeDocument/2006/relationships/image" Target="media/image7.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