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20"/>
        <w:jc w:val="start"/>
        <w:rPr/>
      </w:pPr>
      <w:r>
        <w:rPr/>
        <w:t>DJBOT Master Terms of Service</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15 August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Parties and acceptance</w:t>
      </w:r>
    </w:p>
    <w:p>
      <w:pPr>
        <w:pStyle w:val="BodyText"/>
        <w:bidi w:val="0"/>
        <w:jc w:val="start"/>
        <w:rPr/>
      </w:pPr>
      <w:r>
        <w:rPr/>
        <w:t>These Terms form a business-to-business agreement between DEEJAI LAB CO., LTD., registration number 0105569117953, of 48/187 Soi Sukhumvit 64, Sukhumvit Road, Phra Khanong, Bangkok 10260, Thailand ("Deejai", "we", "us"), and the organisation registering for or using DJBOT ("Merchant", "you"). DJAI Academy and DJBOT are Deejai brands.</w:t>
      </w:r>
    </w:p>
    <w:p>
      <w:pPr>
        <w:pStyle w:val="BodyText"/>
        <w:bidi w:val="0"/>
        <w:jc w:val="start"/>
        <w:rPr/>
      </w:pPr>
      <w:r>
        <w:rPr/>
        <w:t>By creating an account or selecting the acceptance control, the accepting individual confirms authority to bind the Merchant and agrees to these Terms and the DPA. The Merchant acknowledges the Privacy Notice. Reliable electronic acceptance records may be used as evidence.</w:t>
      </w:r>
    </w:p>
    <w:p>
      <w:pPr>
        <w:pStyle w:val="Heading2"/>
        <w:bidi w:val="0"/>
        <w:jc w:val="start"/>
        <w:rPr/>
      </w:pPr>
      <w:r>
        <w:rPr/>
        <w:t>2. Contract documents</w:t>
      </w:r>
    </w:p>
    <w:p>
      <w:pPr>
        <w:pStyle w:val="BodyText"/>
        <w:bidi w:val="0"/>
        <w:jc w:val="start"/>
        <w:rPr/>
      </w:pPr>
      <w:r>
        <w:rPr/>
        <w:t>The agreement consists of these Terms, the applicable Flow Bot, AI Text Bot or AI Voice Bot Product Schedule, Trial Terms Schedule where applicable, DPA, Acceptable Use Policy, accepted order and any approved add-on schedule. Precedence: signed order, Product Schedule, DPA for personal-data matters, these Terms, AUP, public help content. Social channels are excluded under the Social Channels Exclusion Schedule.</w:t>
      </w:r>
    </w:p>
    <w:p>
      <w:pPr>
        <w:pStyle w:val="Heading2"/>
        <w:bidi w:val="0"/>
        <w:jc w:val="start"/>
        <w:rPr/>
      </w:pPr>
      <w:r>
        <w:rPr/>
        <w:t>3. Service licence and availability</w:t>
      </w:r>
    </w:p>
    <w:p>
      <w:pPr>
        <w:pStyle w:val="BodyText"/>
        <w:bidi w:val="0"/>
        <w:jc w:val="start"/>
        <w:rPr/>
      </w:pPr>
      <w:r>
        <w:rPr/>
        <w:t>Deejai grants a limited, non-exclusive, non-transferable and revocable right during the subscription term to use the subscribed Service for internal business purposes. Only features in the approved Product Schedule and checkout are included. Demonstrations, roadmaps, repository code or inactive interfaces do not create commitments.</w:t>
      </w:r>
    </w:p>
    <w:p>
      <w:pPr>
        <w:pStyle w:val="BodyText"/>
        <w:bidi w:val="0"/>
        <w:jc w:val="start"/>
        <w:rPr/>
      </w:pPr>
      <w:r>
        <w:rPr/>
        <w:t>Deejai uses commercially reasonable efforts. No uptime, response-time, service-credit or customer-facing SLA applies unless a signed enterprise order expressly provides one.</w:t>
      </w:r>
    </w:p>
    <w:p>
      <w:pPr>
        <w:pStyle w:val="Heading2"/>
        <w:bidi w:val="0"/>
        <w:jc w:val="start"/>
        <w:rPr/>
      </w:pPr>
      <w:r>
        <w:rPr/>
        <w:t>4. Accounts</w:t>
      </w:r>
    </w:p>
    <w:p>
      <w:pPr>
        <w:pStyle w:val="BodyText"/>
        <w:bidi w:val="0"/>
        <w:jc w:val="start"/>
        <w:rPr/>
      </w:pPr>
      <w:r>
        <w:rPr/>
        <w:t>The Merchant must provide accurate information, protect credentials, use reasonable access controls, promptly remove unauthorised users and notify security@djai.academy of suspected compromise. The Merchant is responsible for users, flows, domains, channels, content and instructions.</w:t>
      </w:r>
    </w:p>
    <w:p>
      <w:pPr>
        <w:pStyle w:val="Heading2"/>
        <w:bidi w:val="0"/>
        <w:jc w:val="start"/>
        <w:rPr/>
      </w:pPr>
      <w:r>
        <w:rPr/>
        <w:t>5. Merchant content and customer data</w:t>
      </w:r>
    </w:p>
    <w:p>
      <w:pPr>
        <w:pStyle w:val="BodyText"/>
        <w:bidi w:val="0"/>
        <w:jc w:val="start"/>
        <w:rPr/>
      </w:pPr>
      <w:r>
        <w:rPr/>
        <w:t>The Merchant owns its content and data. It grants Deejai the limited rights necessary to host, transmit, display, secure, back up, export and process that material to provide the Service and comply with law.</w:t>
      </w:r>
    </w:p>
    <w:p>
      <w:pPr>
        <w:pStyle w:val="BodyText"/>
        <w:bidi w:val="0"/>
        <w:jc w:val="start"/>
        <w:rPr/>
      </w:pPr>
      <w:r>
        <w:rPr/>
        <w:t>For end-customer data processed for Merchant purposes, the Merchant is controller and Deejai processor under the DPA. The Merchant must provide a lawful privacy notice, establish a legal basis, respond to customers, minimise collection and avoid prohibited data.</w:t>
      </w:r>
    </w:p>
    <w:p>
      <w:pPr>
        <w:pStyle w:val="BodyText"/>
        <w:bidi w:val="0"/>
        <w:jc w:val="start"/>
        <w:rPr/>
      </w:pPr>
      <w:r>
        <w:rPr/>
        <w:t>Deejai-controlled marketing, partner marketing and model development require separate notices and choices. The Merchant may not select consent for a customer, pre-tick it, conceal it or condition the core enquiry on optional Deejai consent.</w:t>
      </w:r>
    </w:p>
    <w:p>
      <w:pPr>
        <w:pStyle w:val="Heading2"/>
        <w:bidi w:val="0"/>
        <w:jc w:val="start"/>
        <w:rPr/>
      </w:pPr>
      <w:r>
        <w:rPr/>
        <w:t>6. Acceptable use</w:t>
      </w:r>
    </w:p>
    <w:p>
      <w:pPr>
        <w:pStyle w:val="BodyText"/>
        <w:bidi w:val="0"/>
        <w:jc w:val="start"/>
        <w:rPr/>
      </w:pPr>
      <w:r>
        <w:rPr/>
        <w:t>The Merchant must comply with the AUP and must not use the Service for unlawful activity, deception, harassment, malware, phishing, credential collection, spam, emergency response, unapproved sensitive-data collection, child-directed collection without approval or automatic high-impact decisions. Automated output must not be presented as guaranteed professional advice.</w:t>
      </w:r>
    </w:p>
    <w:p>
      <w:pPr>
        <w:pStyle w:val="Heading2"/>
        <w:bidi w:val="0"/>
        <w:jc w:val="start"/>
        <w:rPr/>
      </w:pPr>
      <w:r>
        <w:rPr/>
        <w:t>7. Fees, annual term and renewal</w:t>
      </w:r>
    </w:p>
    <w:p>
      <w:pPr>
        <w:pStyle w:val="BodyText"/>
        <w:bidi w:val="0"/>
        <w:jc w:val="start"/>
        <w:rPr/>
      </w:pPr>
      <w:r>
        <w:rPr/>
        <w:t>The six approved annual catalogue prices are:</w:t>
      </w:r>
    </w:p>
    <w:tbl>
      <w:tblPr>
        <w:tblW w:w="5523" w:type="dxa"/>
        <w:jc w:val="start"/>
        <w:tblInd w:w="0" w:type="dxa"/>
        <w:tblLayout w:type="fixed"/>
        <w:tblCellMar>
          <w:top w:w="28" w:type="dxa"/>
          <w:start w:w="28" w:type="dxa"/>
          <w:bottom w:w="28" w:type="dxa"/>
          <w:end w:w="28" w:type="dxa"/>
        </w:tblCellMar>
      </w:tblPr>
      <w:tblGrid>
        <w:gridCol w:w="2221"/>
        <w:gridCol w:w="1621"/>
        <w:gridCol w:w="1681"/>
      </w:tblGrid>
      <w:tr>
        <w:trPr>
          <w:tblHeader w:val="true"/>
        </w:trPr>
        <w:tc>
          <w:tcPr>
            <w:tcW w:w="2221" w:type="dxa"/>
            <w:tcBorders/>
            <w:vAlign w:val="center"/>
          </w:tcPr>
          <w:p>
            <w:pPr>
              <w:pStyle w:val="TableHeading"/>
              <w:suppressLineNumbers/>
              <w:shd w:fill="173F35" w:val="clear"/>
              <w:bidi w:val="0"/>
              <w:spacing w:before="0" w:after="160"/>
              <w:jc w:val="start"/>
              <w:rPr/>
            </w:pPr>
            <w:r>
              <w:rPr/>
              <w:t>Package</w:t>
            </w:r>
          </w:p>
        </w:tc>
        <w:tc>
          <w:tcPr>
            <w:tcW w:w="1621" w:type="dxa"/>
            <w:tcBorders/>
            <w:vAlign w:val="center"/>
          </w:tcPr>
          <w:p>
            <w:pPr>
              <w:pStyle w:val="TableHeading"/>
              <w:suppressLineNumbers/>
              <w:shd w:fill="173F35" w:val="clear"/>
              <w:bidi w:val="0"/>
              <w:spacing w:before="0" w:after="160"/>
              <w:jc w:val="start"/>
              <w:rPr/>
            </w:pPr>
            <w:r>
              <w:rPr/>
              <w:t>First 12 months</w:t>
            </w:r>
          </w:p>
        </w:tc>
        <w:tc>
          <w:tcPr>
            <w:tcW w:w="1681" w:type="dxa"/>
            <w:tcBorders/>
            <w:vAlign w:val="center"/>
          </w:tcPr>
          <w:p>
            <w:pPr>
              <w:pStyle w:val="TableHeading"/>
              <w:suppressLineNumbers/>
              <w:shd w:fill="173F35" w:val="clear"/>
              <w:bidi w:val="0"/>
              <w:spacing w:before="0" w:after="160"/>
              <w:jc w:val="start"/>
              <w:rPr/>
            </w:pPr>
            <w:r>
              <w:rPr/>
              <w:t>Annual renewal</w:t>
            </w:r>
          </w:p>
        </w:tc>
      </w:tr>
      <w:tr>
        <w:trPr/>
        <w:tc>
          <w:tcPr>
            <w:tcW w:w="2221" w:type="dxa"/>
            <w:tcBorders/>
            <w:vAlign w:val="center"/>
          </w:tcPr>
          <w:p>
            <w:pPr>
              <w:pStyle w:val="TableContents"/>
              <w:bidi w:val="0"/>
              <w:spacing w:before="0" w:after="160"/>
              <w:jc w:val="start"/>
              <w:rPr/>
            </w:pPr>
            <w:r>
              <w:rPr/>
              <w:t>Flow Bot Starter</w:t>
            </w:r>
          </w:p>
        </w:tc>
        <w:tc>
          <w:tcPr>
            <w:tcW w:w="1621" w:type="dxa"/>
            <w:tcBorders/>
            <w:vAlign w:val="center"/>
          </w:tcPr>
          <w:p>
            <w:pPr>
              <w:pStyle w:val="TableContents"/>
              <w:bidi w:val="0"/>
              <w:spacing w:before="0" w:after="160"/>
              <w:jc w:val="start"/>
              <w:rPr/>
            </w:pPr>
            <w:r>
              <w:rPr/>
              <w:t>THB 2,499</w:t>
            </w:r>
          </w:p>
        </w:tc>
        <w:tc>
          <w:tcPr>
            <w:tcW w:w="1681" w:type="dxa"/>
            <w:tcBorders/>
            <w:vAlign w:val="center"/>
          </w:tcPr>
          <w:p>
            <w:pPr>
              <w:pStyle w:val="TableContents"/>
              <w:bidi w:val="0"/>
              <w:spacing w:before="0" w:after="160"/>
              <w:jc w:val="start"/>
              <w:rPr/>
            </w:pPr>
            <w:r>
              <w:rPr/>
              <w:t>THB 4,999</w:t>
            </w:r>
          </w:p>
        </w:tc>
      </w:tr>
      <w:tr>
        <w:trPr/>
        <w:tc>
          <w:tcPr>
            <w:tcW w:w="2221" w:type="dxa"/>
            <w:tcBorders/>
            <w:vAlign w:val="center"/>
          </w:tcPr>
          <w:p>
            <w:pPr>
              <w:pStyle w:val="TableContents"/>
              <w:bidi w:val="0"/>
              <w:spacing w:before="0" w:after="160"/>
              <w:jc w:val="start"/>
              <w:rPr/>
            </w:pPr>
            <w:r>
              <w:rPr/>
              <w:t>Flow Bot Advanced</w:t>
            </w:r>
          </w:p>
        </w:tc>
        <w:tc>
          <w:tcPr>
            <w:tcW w:w="1621" w:type="dxa"/>
            <w:tcBorders/>
            <w:vAlign w:val="center"/>
          </w:tcPr>
          <w:p>
            <w:pPr>
              <w:pStyle w:val="TableContents"/>
              <w:bidi w:val="0"/>
              <w:spacing w:before="0" w:after="160"/>
              <w:jc w:val="start"/>
              <w:rPr/>
            </w:pPr>
            <w:r>
              <w:rPr/>
              <w:t>THB 4,450</w:t>
            </w:r>
          </w:p>
        </w:tc>
        <w:tc>
          <w:tcPr>
            <w:tcW w:w="1681" w:type="dxa"/>
            <w:tcBorders/>
            <w:vAlign w:val="center"/>
          </w:tcPr>
          <w:p>
            <w:pPr>
              <w:pStyle w:val="TableContents"/>
              <w:bidi w:val="0"/>
              <w:spacing w:before="0" w:after="160"/>
              <w:jc w:val="start"/>
              <w:rPr/>
            </w:pPr>
            <w:r>
              <w:rPr/>
              <w:t>THB 8,900</w:t>
            </w:r>
          </w:p>
        </w:tc>
      </w:tr>
      <w:tr>
        <w:trPr/>
        <w:tc>
          <w:tcPr>
            <w:tcW w:w="2221" w:type="dxa"/>
            <w:tcBorders/>
            <w:vAlign w:val="center"/>
          </w:tcPr>
          <w:p>
            <w:pPr>
              <w:pStyle w:val="TableContents"/>
              <w:bidi w:val="0"/>
              <w:spacing w:before="0" w:after="160"/>
              <w:jc w:val="start"/>
              <w:rPr/>
            </w:pPr>
            <w:r>
              <w:rPr/>
              <w:t>AI Text Bot Starter</w:t>
            </w:r>
          </w:p>
        </w:tc>
        <w:tc>
          <w:tcPr>
            <w:tcW w:w="1621" w:type="dxa"/>
            <w:tcBorders/>
            <w:vAlign w:val="center"/>
          </w:tcPr>
          <w:p>
            <w:pPr>
              <w:pStyle w:val="TableContents"/>
              <w:bidi w:val="0"/>
              <w:spacing w:before="0" w:after="160"/>
              <w:jc w:val="start"/>
              <w:rPr/>
            </w:pPr>
            <w:r>
              <w:rPr/>
              <w:t>THB 5,950</w:t>
            </w:r>
          </w:p>
        </w:tc>
        <w:tc>
          <w:tcPr>
            <w:tcW w:w="1681" w:type="dxa"/>
            <w:tcBorders/>
            <w:vAlign w:val="center"/>
          </w:tcPr>
          <w:p>
            <w:pPr>
              <w:pStyle w:val="TableContents"/>
              <w:bidi w:val="0"/>
              <w:spacing w:before="0" w:after="160"/>
              <w:jc w:val="start"/>
              <w:rPr/>
            </w:pPr>
            <w:r>
              <w:rPr/>
              <w:t>THB 11,900</w:t>
            </w:r>
          </w:p>
        </w:tc>
      </w:tr>
      <w:tr>
        <w:trPr/>
        <w:tc>
          <w:tcPr>
            <w:tcW w:w="2221" w:type="dxa"/>
            <w:tcBorders/>
            <w:vAlign w:val="center"/>
          </w:tcPr>
          <w:p>
            <w:pPr>
              <w:pStyle w:val="TableContents"/>
              <w:bidi w:val="0"/>
              <w:spacing w:before="0" w:after="160"/>
              <w:jc w:val="start"/>
              <w:rPr/>
            </w:pPr>
            <w:r>
              <w:rPr/>
              <w:t>AI Text Bot Advanced</w:t>
            </w:r>
          </w:p>
        </w:tc>
        <w:tc>
          <w:tcPr>
            <w:tcW w:w="1621" w:type="dxa"/>
            <w:tcBorders/>
            <w:vAlign w:val="center"/>
          </w:tcPr>
          <w:p>
            <w:pPr>
              <w:pStyle w:val="TableContents"/>
              <w:bidi w:val="0"/>
              <w:spacing w:before="0" w:after="160"/>
              <w:jc w:val="start"/>
              <w:rPr/>
            </w:pPr>
            <w:r>
              <w:rPr/>
              <w:t>THB 12,450</w:t>
            </w:r>
          </w:p>
        </w:tc>
        <w:tc>
          <w:tcPr>
            <w:tcW w:w="1681" w:type="dxa"/>
            <w:tcBorders/>
            <w:vAlign w:val="center"/>
          </w:tcPr>
          <w:p>
            <w:pPr>
              <w:pStyle w:val="TableContents"/>
              <w:bidi w:val="0"/>
              <w:spacing w:before="0" w:after="160"/>
              <w:jc w:val="start"/>
              <w:rPr/>
            </w:pPr>
            <w:r>
              <w:rPr/>
              <w:t>THB 24,900</w:t>
            </w:r>
          </w:p>
        </w:tc>
      </w:tr>
      <w:tr>
        <w:trPr/>
        <w:tc>
          <w:tcPr>
            <w:tcW w:w="2221" w:type="dxa"/>
            <w:tcBorders/>
            <w:vAlign w:val="center"/>
          </w:tcPr>
          <w:p>
            <w:pPr>
              <w:pStyle w:val="TableContents"/>
              <w:bidi w:val="0"/>
              <w:spacing w:before="0" w:after="160"/>
              <w:jc w:val="start"/>
              <w:rPr/>
            </w:pPr>
            <w:r>
              <w:rPr/>
              <w:t>AI Voice Bot Starter</w:t>
            </w:r>
          </w:p>
        </w:tc>
        <w:tc>
          <w:tcPr>
            <w:tcW w:w="1621" w:type="dxa"/>
            <w:tcBorders/>
            <w:vAlign w:val="center"/>
          </w:tcPr>
          <w:p>
            <w:pPr>
              <w:pStyle w:val="TableContents"/>
              <w:bidi w:val="0"/>
              <w:spacing w:before="0" w:after="160"/>
              <w:jc w:val="start"/>
              <w:rPr/>
            </w:pPr>
            <w:r>
              <w:rPr/>
              <w:t>THB 14,950</w:t>
            </w:r>
          </w:p>
        </w:tc>
        <w:tc>
          <w:tcPr>
            <w:tcW w:w="1681" w:type="dxa"/>
            <w:tcBorders/>
            <w:vAlign w:val="center"/>
          </w:tcPr>
          <w:p>
            <w:pPr>
              <w:pStyle w:val="TableContents"/>
              <w:bidi w:val="0"/>
              <w:spacing w:before="0" w:after="160"/>
              <w:jc w:val="start"/>
              <w:rPr/>
            </w:pPr>
            <w:r>
              <w:rPr/>
              <w:t>THB 29,900</w:t>
            </w:r>
          </w:p>
        </w:tc>
      </w:tr>
      <w:tr>
        <w:trPr/>
        <w:tc>
          <w:tcPr>
            <w:tcW w:w="2221" w:type="dxa"/>
            <w:tcBorders/>
            <w:vAlign w:val="center"/>
          </w:tcPr>
          <w:p>
            <w:pPr>
              <w:pStyle w:val="TableContents"/>
              <w:bidi w:val="0"/>
              <w:spacing w:before="0" w:after="160"/>
              <w:jc w:val="start"/>
              <w:rPr/>
            </w:pPr>
            <w:r>
              <w:rPr/>
              <w:t>AI Voice Bot Advanced</w:t>
            </w:r>
          </w:p>
        </w:tc>
        <w:tc>
          <w:tcPr>
            <w:tcW w:w="1621" w:type="dxa"/>
            <w:tcBorders/>
            <w:vAlign w:val="center"/>
          </w:tcPr>
          <w:p>
            <w:pPr>
              <w:pStyle w:val="TableContents"/>
              <w:bidi w:val="0"/>
              <w:spacing w:before="0" w:after="160"/>
              <w:jc w:val="start"/>
              <w:rPr/>
            </w:pPr>
            <w:r>
              <w:rPr/>
              <w:t>THB 29,950</w:t>
            </w:r>
          </w:p>
        </w:tc>
        <w:tc>
          <w:tcPr>
            <w:tcW w:w="1681" w:type="dxa"/>
            <w:tcBorders/>
            <w:vAlign w:val="center"/>
          </w:tcPr>
          <w:p>
            <w:pPr>
              <w:pStyle w:val="TableContents"/>
              <w:bidi w:val="0"/>
              <w:spacing w:before="0" w:after="160"/>
              <w:jc w:val="start"/>
              <w:rPr/>
            </w:pPr>
            <w:r>
              <w:rPr/>
              <w:t>THB 59,900</w:t>
            </w:r>
          </w:p>
        </w:tc>
      </w:tr>
    </w:tbl>
    <w:p>
      <w:pPr>
        <w:pStyle w:val="BodyText"/>
        <w:bidi w:val="0"/>
        <w:jc w:val="start"/>
        <w:rPr/>
      </w:pPr>
      <w:r>
        <w:rPr/>
        <w:t>Each paid subscription runs for one year from successful provisioning and automatically renews for successive one-year terms at the renewal amount in the accepted order unless cancelled before renewal. Deejai must show the total amount due now, annual renewal amount, allowance, enabled overage or pack and package-specific exclusions before payment. DEEJAI LAB CO., LTD. is not VAT registered, so no VAT is added or charged and each displayed THB amount is the total contract price while that status continues.</w:t>
      </w:r>
    </w:p>
    <w:p>
      <w:pPr>
        <w:pStyle w:val="BodyText"/>
        <w:bidi w:val="0"/>
        <w:jc w:val="start"/>
        <w:rPr/>
      </w:pPr>
      <w:r>
        <w:rPr/>
        <w:t>Stripe is the intended payment processor, but no charge is authorized until the package is marked sellable and checkout is production-approved. Stripe handles full card details; Deejai receives payment tokens and billing status rather than full card numbers. No unresolved overage, add-on, proration, dunning or failed-payment rule may be inferred or charged.</w:t>
      </w:r>
    </w:p>
    <w:p>
      <w:pPr>
        <w:pStyle w:val="Heading2"/>
        <w:bidi w:val="0"/>
        <w:jc w:val="start"/>
        <w:rPr/>
      </w:pPr>
      <w:r>
        <w:rPr/>
        <w:t>8. Trials</w:t>
      </w:r>
    </w:p>
    <w:p>
      <w:pPr>
        <w:pStyle w:val="BodyText"/>
        <w:bidi w:val="0"/>
        <w:jc w:val="start"/>
        <w:rPr/>
      </w:pPr>
      <w:r>
        <w:rPr/>
        <w:t>Flow Bot Starter may be offered once per verified account email for 30 fixed days from successful deployment, website only, with 5,000 conversations and no card. AI Text Bot Starter may be configured before card entry and offered once per verified Stripe card fingerprint for 30 fixed days from successful deployment, website only, with 500 AI replies; card setup occurs only when the Merchant presses Deploy Bot, and at 100 replies remaining the account owner receives an in-platform and email warning. AI Voice Bot has no trial.</w:t>
      </w:r>
    </w:p>
    <w:p>
      <w:pPr>
        <w:pStyle w:val="BodyText"/>
        <w:bidi w:val="0"/>
        <w:jc w:val="start"/>
        <w:rPr/>
      </w:pPr>
      <w:r>
        <w:rPr/>
        <w:t>Trials stop new service at expiry or allowance exhaustion. A trial does not renew, convert or charge automatically. Company registration, business-domain verification, telephone verification, IP identity and device identity are not trial eligibility requirements. The Trial Terms Schedule controls further details.</w:t>
      </w:r>
    </w:p>
    <w:p>
      <w:pPr>
        <w:pStyle w:val="Heading2"/>
        <w:bidi w:val="0"/>
        <w:jc w:val="start"/>
        <w:rPr/>
      </w:pPr>
      <w:r>
        <w:rPr/>
        <w:t>9. Taxes, receipts and records</w:t>
      </w:r>
    </w:p>
    <w:p>
      <w:pPr>
        <w:pStyle w:val="BodyText"/>
        <w:bidi w:val="0"/>
        <w:jc w:val="start"/>
        <w:rPr/>
      </w:pPr>
      <w:r>
        <w:rPr/>
        <w:t>DEEJAI LAB CO., LTD. is not registered for Thai VAT. It does not charge VAT and does not issue a VAT tax invoice. It issues an ordinary receipt, payment record or other lawful non-VAT commercial document. The Merchant must provide correct billing and tax-identification details. If Deejai becomes VAT registered, VAT treatment applies only under a new catalogue and legal version that clearly states the effective date and amount before acceptance; it is not added retroactively to an already accepted paid term. Billing, receipt and tax records may be retained seven years.</w:t>
      </w:r>
    </w:p>
    <w:p>
      <w:pPr>
        <w:pStyle w:val="Heading2"/>
        <w:bidi w:val="0"/>
        <w:jc w:val="start"/>
        <w:rPr/>
      </w:pPr>
      <w:r>
        <w:rPr/>
        <w:t>10. Cancellation, refunds, closure and data access</w:t>
      </w:r>
    </w:p>
    <w:p>
      <w:pPr>
        <w:pStyle w:val="BodyText"/>
        <w:bidi w:val="0"/>
        <w:jc w:val="start"/>
        <w:rPr/>
      </w:pPr>
      <w:r>
        <w:rPr/>
        <w:t>Cancellation stops the next renewal and leaves access through the paid term. It does not retroactively cancel the current annual term. The target closure process provides a 30-day read-only export/reactivation period after the paid term, followed by production purge and backup expiry within an additional 30 days. This becomes effective only after release verification; until then requests are support-managed under the current-state disclosure.</w:t>
      </w:r>
    </w:p>
    <w:p>
      <w:pPr>
        <w:pStyle w:val="BodyText"/>
        <w:bidi w:val="0"/>
        <w:jc w:val="start"/>
        <w:rPr/>
      </w:pPr>
      <w:r>
        <w:rPr/>
        <w:t>No refund is due for change of mind, unused time or failure to cancel, except as required by law, for a verified duplicate or incorrect charge, or as expressly approved. If Deejai ends a paid Service without Merchant breach and cannot offer a reasonable substitute, Deejai will provide a proportionate refund for the unused paid period, subject to law. Refunds and credits require an auditable approval and use the original payment route where practicable.</w:t>
      </w:r>
    </w:p>
    <w:p>
      <w:pPr>
        <w:pStyle w:val="Heading2"/>
        <w:bidi w:val="0"/>
        <w:jc w:val="start"/>
        <w:rPr/>
      </w:pPr>
      <w:r>
        <w:rPr/>
        <w:t>11. Suspension and termination</w:t>
      </w:r>
    </w:p>
    <w:p>
      <w:pPr>
        <w:pStyle w:val="BodyText"/>
        <w:bidi w:val="0"/>
        <w:jc w:val="start"/>
        <w:rPr/>
      </w:pPr>
      <w:r>
        <w:rPr/>
        <w:t>Deejai may suspend or terminate for non-payment, material breach, security risk, unlawful use, infringement, regulatory requirement or material risk to persons/platform. Where practicable, notice and cure opportunity will be provided; urgent action may be immediate.</w:t>
      </w:r>
    </w:p>
    <w:p>
      <w:pPr>
        <w:pStyle w:val="BodyText"/>
        <w:bidi w:val="0"/>
        <w:jc w:val="start"/>
        <w:rPr/>
      </w:pPr>
      <w:r>
        <w:rPr/>
        <w:t>Accrued payment, confidentiality, IP, data handling, disclaimers, liability, indemnity, records and dispute provisions survive as appropriate.</w:t>
      </w:r>
    </w:p>
    <w:p>
      <w:pPr>
        <w:pStyle w:val="Heading2"/>
        <w:bidi w:val="0"/>
        <w:jc w:val="start"/>
        <w:rPr/>
      </w:pPr>
      <w:r>
        <w:rPr/>
        <w:t>12. Intellectual property</w:t>
      </w:r>
    </w:p>
    <w:p>
      <w:pPr>
        <w:pStyle w:val="BodyText"/>
        <w:bidi w:val="0"/>
        <w:jc w:val="start"/>
        <w:rPr/>
      </w:pPr>
      <w:r>
        <w:rPr/>
        <w:t>Deejai and licensors own the platform, software, interfaces, documentation, designs, templates, models and improvements. The Merchant may not reverse engineer, copy, resell, sublicense, white-label, publicly benchmark or create competing derivatives except as mandatory law permits or written agreement authorises.</w:t>
      </w:r>
    </w:p>
    <w:p>
      <w:pPr>
        <w:pStyle w:val="BodyText"/>
        <w:bidi w:val="0"/>
        <w:jc w:val="start"/>
        <w:rPr/>
      </w:pPr>
      <w:r>
        <w:rPr/>
        <w:t>Feedback may be used without restriction or payment if the Merchant is not publicly identified without permission.</w:t>
      </w:r>
    </w:p>
    <w:p>
      <w:pPr>
        <w:pStyle w:val="Heading2"/>
        <w:bidi w:val="0"/>
        <w:jc w:val="start"/>
        <w:rPr/>
      </w:pPr>
      <w:r>
        <w:rPr/>
        <w:t>13. Confidentiality</w:t>
      </w:r>
    </w:p>
    <w:p>
      <w:pPr>
        <w:pStyle w:val="BodyText"/>
        <w:bidi w:val="0"/>
        <w:jc w:val="start"/>
        <w:rPr/>
      </w:pPr>
      <w:r>
        <w:rPr/>
        <w:t>Each party protects the other's non-public business, technical and commercial information with reasonable care and uses it only for the agreement. Exclusions apply to information lawfully public, previously known, independently developed or lawfully received. Required disclosure is permitted with notice where legally allowed.</w:t>
      </w:r>
    </w:p>
    <w:p>
      <w:pPr>
        <w:pStyle w:val="Heading2"/>
        <w:bidi w:val="0"/>
        <w:jc w:val="start"/>
        <w:rPr/>
      </w:pPr>
      <w:r>
        <w:rPr/>
        <w:t>14. Warranties and disclaimers</w:t>
      </w:r>
    </w:p>
    <w:p>
      <w:pPr>
        <w:pStyle w:val="BodyText"/>
        <w:bidi w:val="0"/>
        <w:jc w:val="start"/>
        <w:rPr/>
      </w:pPr>
      <w:r>
        <w:rPr/>
        <w:t>Each party warrants authority. The Merchant warrants lawful content, instructions, collection and use.</w:t>
      </w:r>
    </w:p>
    <w:p>
      <w:pPr>
        <w:pStyle w:val="BodyText"/>
        <w:bidi w:val="0"/>
        <w:jc w:val="start"/>
        <w:rPr/>
      </w:pPr>
      <w:r>
        <w:rPr/>
        <w:t>Except for express commitments, the Service is provided "as available." Deejai does not warrant uninterrupted operation, error-free content, sales, lead quality, model accuracy, every-site compatibility or suitability for professional, medical, legal, financial, emergency or high-impact decisions.</w:t>
      </w:r>
    </w:p>
    <w:p>
      <w:pPr>
        <w:pStyle w:val="Heading2"/>
        <w:bidi w:val="0"/>
        <w:jc w:val="start"/>
        <w:rPr/>
      </w:pPr>
      <w:r>
        <w:rPr/>
        <w:t>15. Liability</w:t>
      </w:r>
    </w:p>
    <w:p>
      <w:pPr>
        <w:pStyle w:val="BodyText"/>
        <w:bidi w:val="0"/>
        <w:jc w:val="start"/>
        <w:rPr/>
      </w:pPr>
      <w:r>
        <w:rPr/>
        <w:t>To the maximum lawful extent, neither party is liable for indirect, incidental, special, punitive or consequential loss, lost profit, revenue, opportunity, goodwill or reliance on automated output.</w:t>
      </w:r>
    </w:p>
    <w:p>
      <w:pPr>
        <w:pStyle w:val="BodyText"/>
        <w:bidi w:val="0"/>
        <w:jc w:val="start"/>
        <w:rPr/>
      </w:pPr>
      <w:r>
        <w:rPr/>
        <w:t>Subject to non-excludable liability, Deejai's aggregate liability will not exceed fees paid or payable for the affected Service in the 12 months before the event. The cap does not apply to fraud or wilful misconduct and does not override mandatory PDPA liability.</w:t>
      </w:r>
    </w:p>
    <w:p>
      <w:pPr>
        <w:pStyle w:val="Heading2"/>
        <w:bidi w:val="0"/>
        <w:jc w:val="start"/>
        <w:rPr/>
      </w:pPr>
      <w:r>
        <w:rPr/>
        <w:t>16. Merchant indemnity</w:t>
      </w:r>
    </w:p>
    <w:p>
      <w:pPr>
        <w:pStyle w:val="BodyText"/>
        <w:bidi w:val="0"/>
        <w:jc w:val="start"/>
        <w:rPr/>
      </w:pPr>
      <w:r>
        <w:rPr/>
        <w:t>The Merchant will defend and indemnify Deejai against third-party claims and reasonable costs arising from Merchant content, unlawful collection/marketing, missing authority/consent, infringement, misuse or AUP breach. Deejai must notify promptly and permit reasonable defence control, while retaining participation and settlement-consent rights.</w:t>
      </w:r>
    </w:p>
    <w:p>
      <w:pPr>
        <w:pStyle w:val="Heading2"/>
        <w:bidi w:val="0"/>
        <w:jc w:val="start"/>
        <w:rPr/>
      </w:pPr>
      <w:r>
        <w:rPr/>
        <w:t>17. Changes</w:t>
      </w:r>
    </w:p>
    <w:p>
      <w:pPr>
        <w:pStyle w:val="BodyText"/>
        <w:bidi w:val="0"/>
        <w:jc w:val="start"/>
        <w:rPr/>
      </w:pPr>
      <w:r>
        <w:rPr/>
        <w:t>Material changes are versioned and notified. Renewed acceptance is requested where a change materially expands a data purpose or reduces a paid right and law requires it.</w:t>
      </w:r>
    </w:p>
    <w:p>
      <w:pPr>
        <w:pStyle w:val="Heading2"/>
        <w:bidi w:val="0"/>
        <w:jc w:val="start"/>
        <w:rPr/>
      </w:pPr>
      <w:r>
        <w:rPr/>
        <w:t>18. Support and notices</w:t>
      </w:r>
    </w:p>
    <w:p>
      <w:pPr>
        <w:pStyle w:val="BodyText"/>
        <w:bidi w:val="0"/>
        <w:jc w:val="start"/>
        <w:rPr/>
      </w:pPr>
      <w:r>
        <w:rPr/>
        <w:t>Support: support@djai.academy, 09:00-18:00 ICT Monday-Friday excluding Thai public holidays. Target response is next business day, not guaranteed. Legal notices: legal@djai.academy. Notices to Merchant may use the registered email or in-product notice.</w:t>
      </w:r>
    </w:p>
    <w:p>
      <w:pPr>
        <w:pStyle w:val="Heading2"/>
        <w:bidi w:val="0"/>
        <w:jc w:val="start"/>
        <w:rPr/>
      </w:pPr>
      <w:r>
        <w:rPr/>
        <w:t>19. Assignment</w:t>
      </w:r>
    </w:p>
    <w:p>
      <w:pPr>
        <w:pStyle w:val="BodyText"/>
        <w:bidi w:val="0"/>
        <w:jc w:val="start"/>
        <w:rPr/>
      </w:pPr>
      <w:r>
        <w:rPr/>
        <w:t>Merchant assignment requires written consent. Deejai may use affiliates/subcontractors and assign with a merger, reorganisation, financing or relevant business transfer, subject to data duties.</w:t>
      </w:r>
    </w:p>
    <w:p>
      <w:pPr>
        <w:pStyle w:val="Heading2"/>
        <w:bidi w:val="0"/>
        <w:jc w:val="start"/>
        <w:rPr/>
      </w:pPr>
      <w:r>
        <w:rPr/>
        <w:t>20. General and law</w:t>
      </w:r>
    </w:p>
    <w:p>
      <w:pPr>
        <w:pStyle w:val="BodyText"/>
        <w:bidi w:val="0"/>
        <w:jc w:val="start"/>
        <w:rPr/>
      </w:pPr>
      <w:r>
        <w:rPr/>
        <w:t>This is the entire agreement for its subject. Non-enforcement is not waiver. Invalid provisions are narrowed. No partnership/employment/agency is created.</w:t>
      </w:r>
    </w:p>
    <w:p>
      <w:pPr>
        <w:pStyle w:val="BodyText"/>
        <w:bidi w:val="0"/>
        <w:jc w:val="start"/>
        <w:rPr/>
      </w:pPr>
      <w:r>
        <w:rPr/>
        <w:t>Thai law governs. Bangkok courts have exclusive jurisdiction unless a written lawful alternative applies.</w:t>
      </w:r>
    </w:p>
    <w:p>
      <w:pPr>
        <w:pStyle w:val="Heading2"/>
        <w:bidi w:val="0"/>
        <w:jc w:val="start"/>
        <w:rPr/>
      </w:pPr>
      <w:r>
        <w:rPr/>
        <w:t>21. Contact</w:t>
      </w:r>
    </w:p>
    <w:p>
      <w:pPr>
        <w:pStyle w:val="BodyText"/>
        <w:bidi w:val="0"/>
        <w:jc w:val="start"/>
        <w:rPr/>
      </w:pPr>
      <w:r>
        <w:rPr/>
        <w:t>DEEJAI LAB CO., LTD. 48/187 Soi Sukhumvit 64, Sukhumvit Road, Phra Khanong, Bangkok 10260, Thailand Support: support@djai.academy Privacy: privacy@djai.academy Legal: legal@djai.academy Documents: https://djai.academy/legal</w:t>
      </w:r>
    </w:p>
    <w:p>
      <w:pPr>
        <w:pStyle w:val="Heading1"/>
        <w:bidi w:val="0"/>
        <w:jc w:val="start"/>
        <w:rPr/>
      </w:pPr>
      <w:r>
        <w:rPr/>
        <w:t>Flow Bot Product Schedule</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15 August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No package is available for sale until its catalogue entry is marked sellable and its legal, commercial, provider, security and operational gates have passed.</w:t>
      </w:r>
    </w:p>
    <w:p>
      <w:pPr>
        <w:pStyle w:val="Heading2"/>
        <w:bidi w:val="0"/>
        <w:jc w:val="start"/>
        <w:rPr/>
      </w:pPr>
      <w:r>
        <w:rPr/>
        <w:t>1. Scope</w:t>
      </w:r>
    </w:p>
    <w:p>
      <w:pPr>
        <w:pStyle w:val="BodyText"/>
        <w:bidi w:val="0"/>
        <w:jc w:val="start"/>
        <w:rPr/>
      </w:pPr>
      <w:r>
        <w:rPr/>
        <w:t>Flow Bot is deterministic, rule-based website automation. It does not generate AI answers or provide Voice service. The Merchant configures the approved journey, messages, options, forms, lead capture, handover and customer actions.</w:t>
      </w:r>
    </w:p>
    <w:p>
      <w:pPr>
        <w:pStyle w:val="Heading2"/>
        <w:bidi w:val="0"/>
        <w:jc w:val="start"/>
        <w:rPr/>
      </w:pPr>
      <w:r>
        <w:rPr/>
        <w:t>2. Packages and annual prices</w:t>
      </w:r>
    </w:p>
    <w:tbl>
      <w:tblPr>
        <w:tblW w:w="7042" w:type="dxa"/>
        <w:jc w:val="start"/>
        <w:tblInd w:w="0" w:type="dxa"/>
        <w:tblLayout w:type="fixed"/>
        <w:tblCellMar>
          <w:top w:w="28" w:type="dxa"/>
          <w:start w:w="28" w:type="dxa"/>
          <w:bottom w:w="28" w:type="dxa"/>
          <w:end w:w="28" w:type="dxa"/>
        </w:tblCellMar>
      </w:tblPr>
      <w:tblGrid>
        <w:gridCol w:w="1051"/>
        <w:gridCol w:w="856"/>
        <w:gridCol w:w="886"/>
        <w:gridCol w:w="1516"/>
        <w:gridCol w:w="736"/>
        <w:gridCol w:w="901"/>
        <w:gridCol w:w="1096"/>
      </w:tblGrid>
      <w:tr>
        <w:trPr>
          <w:tblHeader w:val="true"/>
        </w:trPr>
        <w:tc>
          <w:tcPr>
            <w:tcW w:w="1051" w:type="dxa"/>
            <w:tcBorders/>
            <w:vAlign w:val="center"/>
          </w:tcPr>
          <w:p>
            <w:pPr>
              <w:pStyle w:val="TableHeading"/>
              <w:suppressLineNumbers/>
              <w:shd w:fill="173F35" w:val="clear"/>
              <w:bidi w:val="0"/>
              <w:spacing w:before="0" w:after="160"/>
              <w:jc w:val="start"/>
              <w:rPr/>
            </w:pPr>
            <w:r>
              <w:rPr/>
              <w:t>Package</w:t>
            </w:r>
          </w:p>
        </w:tc>
        <w:tc>
          <w:tcPr>
            <w:tcW w:w="856" w:type="dxa"/>
            <w:tcBorders/>
            <w:vAlign w:val="center"/>
          </w:tcPr>
          <w:p>
            <w:pPr>
              <w:pStyle w:val="TableHeading"/>
              <w:suppressLineNumbers/>
              <w:shd w:fill="173F35" w:val="clear"/>
              <w:bidi w:val="0"/>
              <w:spacing w:before="0" w:after="160"/>
              <w:jc w:val="start"/>
              <w:rPr/>
            </w:pPr>
            <w:r>
              <w:rPr/>
              <w:t>First 12 months</w:t>
            </w:r>
          </w:p>
        </w:tc>
        <w:tc>
          <w:tcPr>
            <w:tcW w:w="886" w:type="dxa"/>
            <w:tcBorders/>
            <w:vAlign w:val="center"/>
          </w:tcPr>
          <w:p>
            <w:pPr>
              <w:pStyle w:val="TableHeading"/>
              <w:suppressLineNumbers/>
              <w:shd w:fill="173F35" w:val="clear"/>
              <w:bidi w:val="0"/>
              <w:spacing w:before="0" w:after="160"/>
              <w:jc w:val="start"/>
              <w:rPr/>
            </w:pPr>
            <w:r>
              <w:rPr/>
              <w:t>Annual renewal</w:t>
            </w:r>
          </w:p>
        </w:tc>
        <w:tc>
          <w:tcPr>
            <w:tcW w:w="1516" w:type="dxa"/>
            <w:tcBorders/>
            <w:vAlign w:val="center"/>
          </w:tcPr>
          <w:p>
            <w:pPr>
              <w:pStyle w:val="TableHeading"/>
              <w:suppressLineNumbers/>
              <w:shd w:fill="173F35" w:val="clear"/>
              <w:bidi w:val="0"/>
              <w:spacing w:before="0" w:after="160"/>
              <w:jc w:val="start"/>
              <w:rPr/>
            </w:pPr>
            <w:r>
              <w:rPr/>
              <w:t>Included monthly conversations</w:t>
            </w:r>
          </w:p>
        </w:tc>
        <w:tc>
          <w:tcPr>
            <w:tcW w:w="736" w:type="dxa"/>
            <w:tcBorders/>
            <w:vAlign w:val="center"/>
          </w:tcPr>
          <w:p>
            <w:pPr>
              <w:pStyle w:val="TableHeading"/>
              <w:suppressLineNumbers/>
              <w:shd w:fill="173F35" w:val="clear"/>
              <w:bidi w:val="0"/>
              <w:spacing w:before="0" w:after="160"/>
              <w:jc w:val="start"/>
              <w:rPr/>
            </w:pPr>
            <w:r>
              <w:rPr/>
              <w:t>Active bots</w:t>
            </w:r>
          </w:p>
        </w:tc>
        <w:tc>
          <w:tcPr>
            <w:tcW w:w="901" w:type="dxa"/>
            <w:tcBorders/>
            <w:vAlign w:val="center"/>
          </w:tcPr>
          <w:p>
            <w:pPr>
              <w:pStyle w:val="TableHeading"/>
              <w:suppressLineNumbers/>
              <w:shd w:fill="173F35" w:val="clear"/>
              <w:bidi w:val="0"/>
              <w:spacing w:before="0" w:after="160"/>
              <w:jc w:val="start"/>
              <w:rPr/>
            </w:pPr>
            <w:r>
              <w:rPr/>
              <w:t>Website</w:t>
            </w:r>
          </w:p>
        </w:tc>
        <w:tc>
          <w:tcPr>
            <w:tcW w:w="1096" w:type="dxa"/>
            <w:tcBorders/>
            <w:vAlign w:val="center"/>
          </w:tcPr>
          <w:p>
            <w:pPr>
              <w:pStyle w:val="TableHeading"/>
              <w:suppressLineNumbers/>
              <w:shd w:fill="173F35" w:val="clear"/>
              <w:bidi w:val="0"/>
              <w:spacing w:before="0" w:after="160"/>
              <w:jc w:val="start"/>
              <w:rPr/>
            </w:pPr>
            <w:r>
              <w:rPr/>
              <w:t>Social</w:t>
            </w:r>
          </w:p>
        </w:tc>
      </w:tr>
      <w:tr>
        <w:trPr/>
        <w:tc>
          <w:tcPr>
            <w:tcW w:w="1051" w:type="dxa"/>
            <w:tcBorders/>
            <w:vAlign w:val="center"/>
          </w:tcPr>
          <w:p>
            <w:pPr>
              <w:pStyle w:val="TableContents"/>
              <w:bidi w:val="0"/>
              <w:spacing w:before="0" w:after="160"/>
              <w:jc w:val="start"/>
              <w:rPr/>
            </w:pPr>
            <w:r>
              <w:rPr/>
              <w:t>Flow Bot Starter</w:t>
            </w:r>
          </w:p>
        </w:tc>
        <w:tc>
          <w:tcPr>
            <w:tcW w:w="856" w:type="dxa"/>
            <w:tcBorders/>
            <w:vAlign w:val="center"/>
          </w:tcPr>
          <w:p>
            <w:pPr>
              <w:pStyle w:val="TableContents"/>
              <w:bidi w:val="0"/>
              <w:spacing w:before="0" w:after="160"/>
              <w:jc w:val="start"/>
              <w:rPr/>
            </w:pPr>
            <w:r>
              <w:rPr/>
              <w:t>THB 2,499</w:t>
            </w:r>
          </w:p>
        </w:tc>
        <w:tc>
          <w:tcPr>
            <w:tcW w:w="886" w:type="dxa"/>
            <w:tcBorders/>
            <w:vAlign w:val="center"/>
          </w:tcPr>
          <w:p>
            <w:pPr>
              <w:pStyle w:val="TableContents"/>
              <w:bidi w:val="0"/>
              <w:spacing w:before="0" w:after="160"/>
              <w:jc w:val="start"/>
              <w:rPr/>
            </w:pPr>
            <w:r>
              <w:rPr/>
              <w:t>THB 4,999</w:t>
            </w:r>
          </w:p>
        </w:tc>
        <w:tc>
          <w:tcPr>
            <w:tcW w:w="1516" w:type="dxa"/>
            <w:tcBorders/>
            <w:vAlign w:val="center"/>
          </w:tcPr>
          <w:p>
            <w:pPr>
              <w:pStyle w:val="TableContents"/>
              <w:bidi w:val="0"/>
              <w:spacing w:before="0" w:after="160"/>
              <w:jc w:val="start"/>
              <w:rPr/>
            </w:pPr>
            <w:r>
              <w:rPr/>
              <w:t>50,000</w:t>
            </w:r>
          </w:p>
        </w:tc>
        <w:tc>
          <w:tcPr>
            <w:tcW w:w="736" w:type="dxa"/>
            <w:tcBorders/>
            <w:vAlign w:val="center"/>
          </w:tcPr>
          <w:p>
            <w:pPr>
              <w:pStyle w:val="TableContents"/>
              <w:bidi w:val="0"/>
              <w:spacing w:before="0" w:after="160"/>
              <w:jc w:val="start"/>
              <w:rPr/>
            </w:pPr>
            <w:r>
              <w:rPr/>
              <w:t>1</w:t>
            </w:r>
          </w:p>
        </w:tc>
        <w:tc>
          <w:tcPr>
            <w:tcW w:w="901" w:type="dxa"/>
            <w:tcBorders/>
            <w:vAlign w:val="center"/>
          </w:tcPr>
          <w:p>
            <w:pPr>
              <w:pStyle w:val="TableContents"/>
              <w:bidi w:val="0"/>
              <w:spacing w:before="0" w:after="160"/>
              <w:jc w:val="start"/>
              <w:rPr/>
            </w:pPr>
            <w:r>
              <w:rPr/>
              <w:t>Included</w:t>
            </w:r>
          </w:p>
        </w:tc>
        <w:tc>
          <w:tcPr>
            <w:tcW w:w="1096" w:type="dxa"/>
            <w:tcBorders/>
            <w:vAlign w:val="center"/>
          </w:tcPr>
          <w:p>
            <w:pPr>
              <w:pStyle w:val="TableContents"/>
              <w:bidi w:val="0"/>
              <w:spacing w:before="0" w:after="160"/>
              <w:jc w:val="start"/>
              <w:rPr/>
            </w:pPr>
            <w:r>
              <w:rPr/>
              <w:t>Excluded</w:t>
            </w:r>
          </w:p>
        </w:tc>
      </w:tr>
      <w:tr>
        <w:trPr/>
        <w:tc>
          <w:tcPr>
            <w:tcW w:w="1051" w:type="dxa"/>
            <w:tcBorders/>
            <w:vAlign w:val="center"/>
          </w:tcPr>
          <w:p>
            <w:pPr>
              <w:pStyle w:val="TableContents"/>
              <w:bidi w:val="0"/>
              <w:spacing w:before="0" w:after="160"/>
              <w:jc w:val="start"/>
              <w:rPr/>
            </w:pPr>
            <w:r>
              <w:rPr/>
              <w:t>Flow Bot Advanced</w:t>
            </w:r>
          </w:p>
        </w:tc>
        <w:tc>
          <w:tcPr>
            <w:tcW w:w="856" w:type="dxa"/>
            <w:tcBorders/>
            <w:vAlign w:val="center"/>
          </w:tcPr>
          <w:p>
            <w:pPr>
              <w:pStyle w:val="TableContents"/>
              <w:bidi w:val="0"/>
              <w:spacing w:before="0" w:after="160"/>
              <w:jc w:val="start"/>
              <w:rPr/>
            </w:pPr>
            <w:r>
              <w:rPr/>
              <w:t>THB 4,450</w:t>
            </w:r>
          </w:p>
        </w:tc>
        <w:tc>
          <w:tcPr>
            <w:tcW w:w="886" w:type="dxa"/>
            <w:tcBorders/>
            <w:vAlign w:val="center"/>
          </w:tcPr>
          <w:p>
            <w:pPr>
              <w:pStyle w:val="TableContents"/>
              <w:bidi w:val="0"/>
              <w:spacing w:before="0" w:after="160"/>
              <w:jc w:val="start"/>
              <w:rPr/>
            </w:pPr>
            <w:r>
              <w:rPr/>
              <w:t>THB 8,900</w:t>
            </w:r>
          </w:p>
        </w:tc>
        <w:tc>
          <w:tcPr>
            <w:tcW w:w="1516" w:type="dxa"/>
            <w:tcBorders/>
            <w:vAlign w:val="center"/>
          </w:tcPr>
          <w:p>
            <w:pPr>
              <w:pStyle w:val="TableContents"/>
              <w:bidi w:val="0"/>
              <w:spacing w:before="0" w:after="160"/>
              <w:jc w:val="start"/>
              <w:rPr/>
            </w:pPr>
            <w:r>
              <w:rPr/>
              <w:t>100,000</w:t>
            </w:r>
          </w:p>
        </w:tc>
        <w:tc>
          <w:tcPr>
            <w:tcW w:w="736" w:type="dxa"/>
            <w:tcBorders/>
            <w:vAlign w:val="center"/>
          </w:tcPr>
          <w:p>
            <w:pPr>
              <w:pStyle w:val="TableContents"/>
              <w:bidi w:val="0"/>
              <w:spacing w:before="0" w:after="160"/>
              <w:jc w:val="start"/>
              <w:rPr/>
            </w:pPr>
            <w:r>
              <w:rPr/>
              <w:t>Up to 3</w:t>
            </w:r>
          </w:p>
        </w:tc>
        <w:tc>
          <w:tcPr>
            <w:tcW w:w="901" w:type="dxa"/>
            <w:tcBorders/>
            <w:vAlign w:val="center"/>
          </w:tcPr>
          <w:p>
            <w:pPr>
              <w:pStyle w:val="TableContents"/>
              <w:bidi w:val="0"/>
              <w:spacing w:before="0" w:after="160"/>
              <w:jc w:val="start"/>
              <w:rPr/>
            </w:pPr>
            <w:r>
              <w:rPr/>
              <w:t>Included</w:t>
            </w:r>
          </w:p>
        </w:tc>
        <w:tc>
          <w:tcPr>
            <w:tcW w:w="1096" w:type="dxa"/>
            <w:tcBorders/>
            <w:vAlign w:val="center"/>
          </w:tcPr>
          <w:p>
            <w:pPr>
              <w:pStyle w:val="TableContents"/>
              <w:bidi w:val="0"/>
              <w:spacing w:before="0" w:after="160"/>
              <w:jc w:val="start"/>
              <w:rPr/>
            </w:pPr>
            <w:r>
              <w:rPr/>
              <w:t>Disabled for the initial non-social release</w:t>
            </w:r>
          </w:p>
        </w:tc>
      </w:tr>
    </w:tbl>
    <w:p>
      <w:pPr>
        <w:pStyle w:val="BodyText"/>
        <w:bidi w:val="0"/>
        <w:jc w:val="start"/>
        <w:rPr/>
      </w:pPr>
      <w:r>
        <w:rPr/>
        <w:t>DEEJAI LAB CO., LTD. is not VAT registered. No VAT is added or charged, and each displayed THB amount is the total contract price while that status continues. Deejai issues a lawful non-VAT receipt or payment record, not a VAT tax invoice.</w:t>
      </w:r>
    </w:p>
    <w:p>
      <w:pPr>
        <w:pStyle w:val="BodyText"/>
        <w:bidi w:val="0"/>
        <w:jc w:val="start"/>
        <w:rPr/>
      </w:pPr>
      <w:r>
        <w:rPr/>
        <w:t>No automatic conversation overage is charged. New service may stop when the included allowance or an approved safety cap is exhausted. Any future overage, pack or add-on applies only if separately displayed and accepted in an approved order.</w:t>
      </w:r>
    </w:p>
    <w:p>
      <w:pPr>
        <w:pStyle w:val="Heading2"/>
        <w:bidi w:val="0"/>
        <w:jc w:val="start"/>
        <w:rPr/>
      </w:pPr>
      <w:r>
        <w:rPr/>
        <w:t>3. Term and renewal</w:t>
      </w:r>
    </w:p>
    <w:p>
      <w:pPr>
        <w:pStyle w:val="BodyText"/>
        <w:bidi w:val="0"/>
        <w:jc w:val="start"/>
        <w:rPr/>
      </w:pPr>
      <w:r>
        <w:rPr/>
        <w:t>Each paid subscription runs for one year from successful provisioning and renews automatically for successive one-year terms at the renewal amount in the accepted order, unless either party gives a valid cancellation notice before renewal. Deejai must show the next renewal date and amount in the Merchant account.</w:t>
      </w:r>
    </w:p>
    <w:p>
      <w:pPr>
        <w:pStyle w:val="Heading2"/>
        <w:bidi w:val="0"/>
        <w:jc w:val="start"/>
        <w:rPr/>
      </w:pPr>
      <w:r>
        <w:rPr/>
        <w:t>4. Cancellation and refunds</w:t>
      </w:r>
    </w:p>
    <w:p>
      <w:pPr>
        <w:pStyle w:val="BodyText"/>
        <w:bidi w:val="0"/>
        <w:jc w:val="start"/>
        <w:rPr/>
      </w:pPr>
      <w:r>
        <w:rPr/>
        <w:t>Cancellation stops the next renewal and preserves access through the paid term. It does not retroactively cancel the current annual term. Fees are non-refundable except where required by law, for a verified duplicate or incorrect charge, or where Deejai terminates without Merchant breach and provides a proportionate refund for the unused paid period. Deejai may issue a credit or refund only through an auditable approval and the original payment route where practicable.</w:t>
      </w:r>
    </w:p>
    <w:p>
      <w:pPr>
        <w:pStyle w:val="Heading2"/>
        <w:bidi w:val="0"/>
        <w:jc w:val="start"/>
        <w:rPr/>
      </w:pPr>
      <w:r>
        <w:rPr/>
        <w:t>5. Starter trial</w:t>
      </w:r>
    </w:p>
    <w:p>
      <w:pPr>
        <w:pStyle w:val="BodyText"/>
        <w:bidi w:val="0"/>
        <w:jc w:val="start"/>
        <w:rPr/>
      </w:pPr>
      <w:r>
        <w:rPr/>
        <w:t>An account may receive one Flow Bot Starter trial for its normalized verified email: 30 fixed days from successful Bot deployment provisioning, website only, with 5,000 customer conversations and no payment card. No business registration, domain, telephone, IP or device verification is required. No social access is included. Usage is shown in the platform. New trial service stops at allowance exhaustion or expiry and the Merchant is invited to subscribe. The trial does not renew, convert or create a charge automatically.</w:t>
      </w:r>
    </w:p>
    <w:p>
      <w:pPr>
        <w:pStyle w:val="BodyText"/>
        <w:bidi w:val="0"/>
        <w:jc w:val="start"/>
        <w:rPr/>
      </w:pPr>
      <w:r>
        <w:rPr/>
        <w:t>Repeat prevention uses only the verified account email. Deejai may still stop demonstrated fraud, unlawful use or material breach.</w:t>
      </w:r>
    </w:p>
    <w:p>
      <w:pPr>
        <w:pStyle w:val="Heading2"/>
        <w:bidi w:val="0"/>
        <w:jc w:val="start"/>
        <w:rPr/>
      </w:pPr>
      <w:r>
        <w:rPr/>
        <w:t>6. Data and retention</w:t>
      </w:r>
    </w:p>
    <w:p>
      <w:pPr>
        <w:pStyle w:val="BodyText"/>
        <w:bidi w:val="0"/>
        <w:jc w:val="start"/>
        <w:rPr/>
      </w:pPr>
      <w:r>
        <w:rPr/>
        <w:t>For Merchant enquiries and leads, the Merchant is controller and Deejai is processor under the DPA. Message content defaults to 365 days. The currently enforced Merchant-configurable maximum must control if lower than any draft policy. Contacts and leads currently remain until an authorised erasure or closure process; a time-based purge must not be promised until implemented and approved.</w:t>
      </w:r>
    </w:p>
    <w:p>
      <w:pPr>
        <w:pStyle w:val="Heading2"/>
        <w:bidi w:val="0"/>
        <w:jc w:val="start"/>
        <w:rPr/>
      </w:pPr>
      <w:r>
        <w:rPr/>
        <w:t>7. Support and exclusions</w:t>
      </w:r>
    </w:p>
    <w:p>
      <w:pPr>
        <w:pStyle w:val="BodyText"/>
        <w:bidi w:val="0"/>
        <w:jc w:val="start"/>
        <w:rPr/>
      </w:pPr>
      <w:r>
        <w:rPr/>
        <w:t>Starter includes standard support; Advanced describes priority support only as a target until an approved service level exists. Social channels, AI answers, Voice, telephone service and unreleased integrations are excluded from the initial non-social release. Repository code, previews and roadmaps do not expand the purchased Service.</w:t>
      </w:r>
    </w:p>
    <w:p>
      <w:pPr>
        <w:pStyle w:val="Heading2"/>
        <w:bidi w:val="0"/>
        <w:jc w:val="start"/>
        <w:rPr/>
      </w:pPr>
      <w:r>
        <w:rPr/>
        <w:t>8. Restrictions</w:t>
      </w:r>
    </w:p>
    <w:p>
      <w:pPr>
        <w:pStyle w:val="BodyText"/>
        <w:bidi w:val="0"/>
        <w:jc w:val="start"/>
        <w:rPr/>
      </w:pPr>
      <w:r>
        <w:rPr/>
        <w:t>Flow Bot is not an emergency service and must not collect passwords, one-time passcodes, full card data or unnecessary sensitive data, or make final high-impact decisions. The Merchant must test each published journey and provide lawful notices and a human escalation route where appropriate.</w:t>
      </w:r>
    </w:p>
    <w:p>
      <w:pPr>
        <w:pStyle w:val="Heading1"/>
        <w:bidi w:val="0"/>
        <w:jc w:val="start"/>
        <w:rPr/>
      </w:pPr>
      <w:r>
        <w:rPr/>
        <w:t>AI Text Bot Product Schedule</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15 August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AI Text Bot remains non-sellable until the approved provider route, live evaluation, privacy terms and operational controls pass.</w:t>
      </w:r>
    </w:p>
    <w:p>
      <w:pPr>
        <w:pStyle w:val="Heading2"/>
        <w:bidi w:val="0"/>
        <w:jc w:val="start"/>
        <w:rPr/>
      </w:pPr>
      <w:r>
        <w:rPr/>
        <w:t>1. Scope</w:t>
      </w:r>
    </w:p>
    <w:p>
      <w:pPr>
        <w:pStyle w:val="BodyText"/>
        <w:bidi w:val="0"/>
        <w:jc w:val="start"/>
        <w:rPr/>
      </w:pPr>
      <w:r>
        <w:rPr/>
        <w:t>AI Text Bot produces Thai and English website responses grounded in Merchant-provided business information and approved knowledge sources. The Merchant selects Customer Support, Sales Associate or Appointment Booking behavior. Output is limited to 200 visible grapheme characters per customer reply.</w:t>
      </w:r>
    </w:p>
    <w:p>
      <w:pPr>
        <w:pStyle w:val="Heading2"/>
        <w:bidi w:val="0"/>
        <w:jc w:val="start"/>
        <w:rPr/>
      </w:pPr>
      <w:r>
        <w:rPr/>
        <w:t>2. Packages and annual prices</w:t>
      </w:r>
    </w:p>
    <w:tbl>
      <w:tblPr>
        <w:tblW w:w="7042" w:type="dxa"/>
        <w:jc w:val="start"/>
        <w:tblInd w:w="0" w:type="dxa"/>
        <w:tblLayout w:type="fixed"/>
        <w:tblCellMar>
          <w:top w:w="28" w:type="dxa"/>
          <w:start w:w="28" w:type="dxa"/>
          <w:bottom w:w="28" w:type="dxa"/>
          <w:end w:w="28" w:type="dxa"/>
        </w:tblCellMar>
      </w:tblPr>
      <w:tblGrid>
        <w:gridCol w:w="1127"/>
        <w:gridCol w:w="912"/>
        <w:gridCol w:w="940"/>
        <w:gridCol w:w="1095"/>
        <w:gridCol w:w="771"/>
        <w:gridCol w:w="901"/>
        <w:gridCol w:w="1296"/>
      </w:tblGrid>
      <w:tr>
        <w:trPr>
          <w:tblHeader w:val="true"/>
        </w:trPr>
        <w:tc>
          <w:tcPr>
            <w:tcW w:w="1127" w:type="dxa"/>
            <w:tcBorders/>
            <w:vAlign w:val="center"/>
          </w:tcPr>
          <w:p>
            <w:pPr>
              <w:pStyle w:val="TableHeading"/>
              <w:suppressLineNumbers/>
              <w:shd w:fill="173F35" w:val="clear"/>
              <w:bidi w:val="0"/>
              <w:spacing w:before="0" w:after="160"/>
              <w:jc w:val="start"/>
              <w:rPr/>
            </w:pPr>
            <w:r>
              <w:rPr/>
              <w:t>Package</w:t>
            </w:r>
          </w:p>
        </w:tc>
        <w:tc>
          <w:tcPr>
            <w:tcW w:w="912" w:type="dxa"/>
            <w:tcBorders/>
            <w:vAlign w:val="center"/>
          </w:tcPr>
          <w:p>
            <w:pPr>
              <w:pStyle w:val="TableHeading"/>
              <w:suppressLineNumbers/>
              <w:shd w:fill="173F35" w:val="clear"/>
              <w:bidi w:val="0"/>
              <w:spacing w:before="0" w:after="160"/>
              <w:jc w:val="start"/>
              <w:rPr/>
            </w:pPr>
            <w:r>
              <w:rPr/>
              <w:t>First 12 months</w:t>
            </w:r>
          </w:p>
        </w:tc>
        <w:tc>
          <w:tcPr>
            <w:tcW w:w="940" w:type="dxa"/>
            <w:tcBorders/>
            <w:vAlign w:val="center"/>
          </w:tcPr>
          <w:p>
            <w:pPr>
              <w:pStyle w:val="TableHeading"/>
              <w:suppressLineNumbers/>
              <w:shd w:fill="173F35" w:val="clear"/>
              <w:bidi w:val="0"/>
              <w:spacing w:before="0" w:after="160"/>
              <w:jc w:val="start"/>
              <w:rPr/>
            </w:pPr>
            <w:r>
              <w:rPr/>
              <w:t>Annual renewal</w:t>
            </w:r>
          </w:p>
        </w:tc>
        <w:tc>
          <w:tcPr>
            <w:tcW w:w="1095" w:type="dxa"/>
            <w:tcBorders/>
            <w:vAlign w:val="center"/>
          </w:tcPr>
          <w:p>
            <w:pPr>
              <w:pStyle w:val="TableHeading"/>
              <w:suppressLineNumbers/>
              <w:shd w:fill="173F35" w:val="clear"/>
              <w:bidi w:val="0"/>
              <w:spacing w:before="0" w:after="160"/>
              <w:jc w:val="start"/>
              <w:rPr/>
            </w:pPr>
            <w:r>
              <w:rPr/>
              <w:t>Included monthly AI replies</w:t>
            </w:r>
          </w:p>
        </w:tc>
        <w:tc>
          <w:tcPr>
            <w:tcW w:w="771" w:type="dxa"/>
            <w:tcBorders/>
            <w:vAlign w:val="center"/>
          </w:tcPr>
          <w:p>
            <w:pPr>
              <w:pStyle w:val="TableHeading"/>
              <w:suppressLineNumbers/>
              <w:shd w:fill="173F35" w:val="clear"/>
              <w:bidi w:val="0"/>
              <w:spacing w:before="0" w:after="160"/>
              <w:jc w:val="start"/>
              <w:rPr/>
            </w:pPr>
            <w:r>
              <w:rPr/>
              <w:t>Active bots</w:t>
            </w:r>
          </w:p>
        </w:tc>
        <w:tc>
          <w:tcPr>
            <w:tcW w:w="901" w:type="dxa"/>
            <w:tcBorders/>
            <w:vAlign w:val="center"/>
          </w:tcPr>
          <w:p>
            <w:pPr>
              <w:pStyle w:val="TableHeading"/>
              <w:suppressLineNumbers/>
              <w:shd w:fill="173F35" w:val="clear"/>
              <w:bidi w:val="0"/>
              <w:spacing w:before="0" w:after="160"/>
              <w:jc w:val="start"/>
              <w:rPr/>
            </w:pPr>
            <w:r>
              <w:rPr/>
              <w:t>Website</w:t>
            </w:r>
          </w:p>
        </w:tc>
        <w:tc>
          <w:tcPr>
            <w:tcW w:w="1296" w:type="dxa"/>
            <w:tcBorders/>
            <w:vAlign w:val="center"/>
          </w:tcPr>
          <w:p>
            <w:pPr>
              <w:pStyle w:val="TableHeading"/>
              <w:suppressLineNumbers/>
              <w:shd w:fill="173F35" w:val="clear"/>
              <w:bidi w:val="0"/>
              <w:spacing w:before="0" w:after="160"/>
              <w:jc w:val="start"/>
              <w:rPr/>
            </w:pPr>
            <w:r>
              <w:rPr/>
              <w:t>Social</w:t>
            </w:r>
          </w:p>
        </w:tc>
      </w:tr>
      <w:tr>
        <w:trPr/>
        <w:tc>
          <w:tcPr>
            <w:tcW w:w="1127" w:type="dxa"/>
            <w:tcBorders/>
            <w:vAlign w:val="center"/>
          </w:tcPr>
          <w:p>
            <w:pPr>
              <w:pStyle w:val="TableContents"/>
              <w:bidi w:val="0"/>
              <w:spacing w:before="0" w:after="160"/>
              <w:jc w:val="start"/>
              <w:rPr/>
            </w:pPr>
            <w:r>
              <w:rPr/>
              <w:t>AI Text Bot Starter</w:t>
            </w:r>
          </w:p>
        </w:tc>
        <w:tc>
          <w:tcPr>
            <w:tcW w:w="912" w:type="dxa"/>
            <w:tcBorders/>
            <w:vAlign w:val="center"/>
          </w:tcPr>
          <w:p>
            <w:pPr>
              <w:pStyle w:val="TableContents"/>
              <w:bidi w:val="0"/>
              <w:spacing w:before="0" w:after="160"/>
              <w:jc w:val="start"/>
              <w:rPr/>
            </w:pPr>
            <w:r>
              <w:rPr/>
              <w:t>THB 5,950</w:t>
            </w:r>
          </w:p>
        </w:tc>
        <w:tc>
          <w:tcPr>
            <w:tcW w:w="940" w:type="dxa"/>
            <w:tcBorders/>
            <w:vAlign w:val="center"/>
          </w:tcPr>
          <w:p>
            <w:pPr>
              <w:pStyle w:val="TableContents"/>
              <w:bidi w:val="0"/>
              <w:spacing w:before="0" w:after="160"/>
              <w:jc w:val="start"/>
              <w:rPr/>
            </w:pPr>
            <w:r>
              <w:rPr/>
              <w:t>THB 11,900</w:t>
            </w:r>
          </w:p>
        </w:tc>
        <w:tc>
          <w:tcPr>
            <w:tcW w:w="1095" w:type="dxa"/>
            <w:tcBorders/>
            <w:vAlign w:val="center"/>
          </w:tcPr>
          <w:p>
            <w:pPr>
              <w:pStyle w:val="TableContents"/>
              <w:bidi w:val="0"/>
              <w:spacing w:before="0" w:after="160"/>
              <w:jc w:val="start"/>
              <w:rPr/>
            </w:pPr>
            <w:r>
              <w:rPr/>
              <w:t>2,000</w:t>
            </w:r>
          </w:p>
        </w:tc>
        <w:tc>
          <w:tcPr>
            <w:tcW w:w="771" w:type="dxa"/>
            <w:tcBorders/>
            <w:vAlign w:val="center"/>
          </w:tcPr>
          <w:p>
            <w:pPr>
              <w:pStyle w:val="TableContents"/>
              <w:bidi w:val="0"/>
              <w:spacing w:before="0" w:after="160"/>
              <w:jc w:val="start"/>
              <w:rPr/>
            </w:pPr>
            <w:r>
              <w:rPr/>
              <w:t>1</w:t>
            </w:r>
          </w:p>
        </w:tc>
        <w:tc>
          <w:tcPr>
            <w:tcW w:w="901" w:type="dxa"/>
            <w:tcBorders/>
            <w:vAlign w:val="center"/>
          </w:tcPr>
          <w:p>
            <w:pPr>
              <w:pStyle w:val="TableContents"/>
              <w:bidi w:val="0"/>
              <w:spacing w:before="0" w:after="160"/>
              <w:jc w:val="start"/>
              <w:rPr/>
            </w:pPr>
            <w:r>
              <w:rPr/>
              <w:t>Included</w:t>
            </w:r>
          </w:p>
        </w:tc>
        <w:tc>
          <w:tcPr>
            <w:tcW w:w="1296" w:type="dxa"/>
            <w:tcBorders/>
            <w:vAlign w:val="center"/>
          </w:tcPr>
          <w:p>
            <w:pPr>
              <w:pStyle w:val="TableContents"/>
              <w:bidi w:val="0"/>
              <w:spacing w:before="0" w:after="160"/>
              <w:jc w:val="start"/>
              <w:rPr/>
            </w:pPr>
            <w:r>
              <w:rPr/>
              <w:t>Excluded</w:t>
            </w:r>
          </w:p>
        </w:tc>
      </w:tr>
      <w:tr>
        <w:trPr/>
        <w:tc>
          <w:tcPr>
            <w:tcW w:w="1127" w:type="dxa"/>
            <w:tcBorders/>
            <w:vAlign w:val="center"/>
          </w:tcPr>
          <w:p>
            <w:pPr>
              <w:pStyle w:val="TableContents"/>
              <w:bidi w:val="0"/>
              <w:spacing w:before="0" w:after="160"/>
              <w:jc w:val="start"/>
              <w:rPr/>
            </w:pPr>
            <w:r>
              <w:rPr/>
              <w:t>AI Text Bot Advanced</w:t>
            </w:r>
          </w:p>
        </w:tc>
        <w:tc>
          <w:tcPr>
            <w:tcW w:w="912" w:type="dxa"/>
            <w:tcBorders/>
            <w:vAlign w:val="center"/>
          </w:tcPr>
          <w:p>
            <w:pPr>
              <w:pStyle w:val="TableContents"/>
              <w:bidi w:val="0"/>
              <w:spacing w:before="0" w:after="160"/>
              <w:jc w:val="start"/>
              <w:rPr/>
            </w:pPr>
            <w:r>
              <w:rPr/>
              <w:t>THB 12,450</w:t>
            </w:r>
          </w:p>
        </w:tc>
        <w:tc>
          <w:tcPr>
            <w:tcW w:w="940" w:type="dxa"/>
            <w:tcBorders/>
            <w:vAlign w:val="center"/>
          </w:tcPr>
          <w:p>
            <w:pPr>
              <w:pStyle w:val="TableContents"/>
              <w:bidi w:val="0"/>
              <w:spacing w:before="0" w:after="160"/>
              <w:jc w:val="start"/>
              <w:rPr/>
            </w:pPr>
            <w:r>
              <w:rPr/>
              <w:t>THB 24,900</w:t>
            </w:r>
          </w:p>
        </w:tc>
        <w:tc>
          <w:tcPr>
            <w:tcW w:w="1095" w:type="dxa"/>
            <w:tcBorders/>
            <w:vAlign w:val="center"/>
          </w:tcPr>
          <w:p>
            <w:pPr>
              <w:pStyle w:val="TableContents"/>
              <w:bidi w:val="0"/>
              <w:spacing w:before="0" w:after="160"/>
              <w:jc w:val="start"/>
              <w:rPr/>
            </w:pPr>
            <w:r>
              <w:rPr/>
              <w:t>10,000</w:t>
            </w:r>
          </w:p>
        </w:tc>
        <w:tc>
          <w:tcPr>
            <w:tcW w:w="771" w:type="dxa"/>
            <w:tcBorders/>
            <w:vAlign w:val="center"/>
          </w:tcPr>
          <w:p>
            <w:pPr>
              <w:pStyle w:val="TableContents"/>
              <w:bidi w:val="0"/>
              <w:spacing w:before="0" w:after="160"/>
              <w:jc w:val="start"/>
              <w:rPr/>
            </w:pPr>
            <w:r>
              <w:rPr/>
              <w:t>Up to 3</w:t>
            </w:r>
          </w:p>
        </w:tc>
        <w:tc>
          <w:tcPr>
            <w:tcW w:w="901" w:type="dxa"/>
            <w:tcBorders/>
            <w:vAlign w:val="center"/>
          </w:tcPr>
          <w:p>
            <w:pPr>
              <w:pStyle w:val="TableContents"/>
              <w:bidi w:val="0"/>
              <w:spacing w:before="0" w:after="160"/>
              <w:jc w:val="start"/>
              <w:rPr/>
            </w:pPr>
            <w:r>
              <w:rPr/>
              <w:t>Included</w:t>
            </w:r>
          </w:p>
        </w:tc>
        <w:tc>
          <w:tcPr>
            <w:tcW w:w="1296" w:type="dxa"/>
            <w:tcBorders/>
            <w:vAlign w:val="center"/>
          </w:tcPr>
          <w:p>
            <w:pPr>
              <w:pStyle w:val="TableContents"/>
              <w:bidi w:val="0"/>
              <w:spacing w:before="0" w:after="160"/>
              <w:jc w:val="start"/>
              <w:rPr/>
            </w:pPr>
            <w:r>
              <w:rPr/>
              <w:t>Disabled for the initial non-social release</w:t>
            </w:r>
          </w:p>
        </w:tc>
      </w:tr>
    </w:tbl>
    <w:p>
      <w:pPr>
        <w:pStyle w:val="BodyText"/>
        <w:bidi w:val="0"/>
        <w:jc w:val="start"/>
        <w:rPr/>
      </w:pPr>
      <w:r>
        <w:rPr/>
        <w:t>DEEJAI LAB CO., LTD. is not VAT registered, so no VAT is added or charged and each displayed THB amount is the total contract price while that status continues. The approved checkout record must state any enabled usage pack or overage rate and safety cap before payment. Until overage authority is approved, no usage overage is collected automatically.</w:t>
      </w:r>
    </w:p>
    <w:p>
      <w:pPr>
        <w:pStyle w:val="Heading2"/>
        <w:bidi w:val="0"/>
        <w:jc w:val="start"/>
        <w:rPr/>
      </w:pPr>
      <w:r>
        <w:rPr/>
        <w:t>3. Term, renewal, cancellation and refunds</w:t>
      </w:r>
    </w:p>
    <w:p>
      <w:pPr>
        <w:pStyle w:val="BodyText"/>
        <w:bidi w:val="0"/>
        <w:jc w:val="start"/>
        <w:rPr/>
      </w:pPr>
      <w:r>
        <w:rPr/>
        <w:t>Paid subscriptions run for one year and renew automatically for successive one-year terms at the accepted renewal amount unless cancelled before renewal. Cancellation is effective at paid-term end. Fees are non-refundable except where required by law, for a verified duplicate or incorrect charge, or for the unused period if Deejai terminates without Merchant breach. An approved order controls any more favorable term.</w:t>
      </w:r>
    </w:p>
    <w:p>
      <w:pPr>
        <w:pStyle w:val="Heading2"/>
        <w:bidi w:val="0"/>
        <w:jc w:val="start"/>
        <w:rPr/>
      </w:pPr>
      <w:r>
        <w:rPr/>
        <w:t>4. Starter trial</w:t>
      </w:r>
    </w:p>
    <w:p>
      <w:pPr>
        <w:pStyle w:val="BodyText"/>
        <w:bidi w:val="0"/>
        <w:jc w:val="start"/>
        <w:rPr/>
      </w:pPr>
      <w:r>
        <w:rPr/>
        <w:t>The Merchant may configure and test AI Text Bot before providing payment details. When the Merchant presses Deploy Bot, Stripe validates and saves the card without a DJBOT charge. If the card has not previously received a Text trial, the Merchant may receive AI Text Bot Starter settings for 30 fixed days from successful deployment provisioning, website only, with 500 AI-generated replies. The trial does not renew, convert or charge automatically. At 100 replies remaining, Deejai warns the account owner in the platform and by email. New AI replies stop at exhaustion or expiry and the Merchant is invited to subscribe.</w:t>
      </w:r>
    </w:p>
    <w:p>
      <w:pPr>
        <w:pStyle w:val="BodyText"/>
        <w:bidi w:val="0"/>
        <w:jc w:val="start"/>
        <w:rPr/>
      </w:pPr>
      <w:r>
        <w:rPr/>
        <w:t>Eligibility is one Text trial per Stripe card fingerprint, stored only as a keyed hash. No company, domain, telephone, IP or device verification is required. No additional warning recipient is used without a separately approved notification decision.</w:t>
      </w:r>
    </w:p>
    <w:p>
      <w:pPr>
        <w:pStyle w:val="Heading2"/>
        <w:bidi w:val="0"/>
        <w:jc w:val="start"/>
        <w:rPr/>
      </w:pPr>
      <w:r>
        <w:rPr/>
        <w:t>5. Merchant duties and output limits</w:t>
      </w:r>
    </w:p>
    <w:p>
      <w:pPr>
        <w:pStyle w:val="BodyText"/>
        <w:bidi w:val="0"/>
        <w:jc w:val="start"/>
        <w:rPr/>
      </w:pPr>
      <w:r>
        <w:rPr/>
        <w:t>The Merchant must provide accurate sources, test Thai and English behavior, monitor output, correct known errors, configure human escalation and disclose that the customer is interacting with AI. Output may be incomplete, outdated, biased or wrong. The Service must not make final decisions on employment, credit, insurance, education admission, healthcare, housing or legal rights, provide diagnosis or prescriptions, act as emergency response, impersonate deceptively or collect credentials.</w:t>
      </w:r>
    </w:p>
    <w:p>
      <w:pPr>
        <w:pStyle w:val="Heading2"/>
        <w:bidi w:val="0"/>
        <w:jc w:val="start"/>
        <w:rPr/>
      </w:pPr>
      <w:r>
        <w:rPr/>
        <w:t>6. Data and AI processing</w:t>
      </w:r>
    </w:p>
    <w:p>
      <w:pPr>
        <w:pStyle w:val="BodyText"/>
        <w:bidi w:val="0"/>
        <w:jc w:val="start"/>
        <w:rPr/>
      </w:pPr>
      <w:r>
        <w:rPr/>
        <w:t>Prompts, outputs, conversation context and approved sources are processed for Merchant service under the DPA. They are not used for Deejai model development unless a separate, freely given consent and the Model Development Notice apply. The production AI provider, contracting entity, processing regions, retention, training controls and transfer safeguards must be listed in the approved Subprocessor Schedule before activation.</w:t>
      </w:r>
    </w:p>
    <w:p>
      <w:pPr>
        <w:pStyle w:val="Heading2"/>
        <w:bidi w:val="0"/>
        <w:jc w:val="start"/>
        <w:rPr/>
      </w:pPr>
      <w:r>
        <w:rPr/>
        <w:t>7. Provider status</w:t>
      </w:r>
    </w:p>
    <w:p>
      <w:pPr>
        <w:pStyle w:val="BodyText"/>
        <w:bidi w:val="0"/>
        <w:jc w:val="start"/>
        <w:rPr/>
      </w:pPr>
      <w:r>
        <w:rPr/>
        <w:t>The codebase contains an internal Text runtime and an OpenAI Responses adapter. xAI Grok and Google Gemini are permitted provider candidates but do not yet have approved Text adapters in this workspace. The current local launch configuration does not supply a complete live AI gateway/provider route, and no unmocked production acceptance has been recorded. AI Text Bot therefore remains disabled for sale and must fail closed when the selected gateway is unavailable.</w:t>
      </w:r>
    </w:p>
    <w:p>
      <w:pPr>
        <w:pStyle w:val="Heading1"/>
        <w:bidi w:val="0"/>
        <w:jc w:val="start"/>
        <w:rPr/>
      </w:pPr>
      <w:r>
        <w:rPr/>
        <w:t>AI Voice Bot Product Schedule</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15 August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AI Voice Bot remains non-sellable until the live Voice provider route, disclosure, evaluation, privacy and operational controls pass.</w:t>
      </w:r>
    </w:p>
    <w:p>
      <w:pPr>
        <w:pStyle w:val="Heading2"/>
        <w:bidi w:val="0"/>
        <w:jc w:val="start"/>
        <w:rPr/>
      </w:pPr>
      <w:r>
        <w:rPr/>
        <w:t>1. Scope</w:t>
      </w:r>
    </w:p>
    <w:p>
      <w:pPr>
        <w:pStyle w:val="BodyText"/>
        <w:bidi w:val="0"/>
        <w:jc w:val="start"/>
        <w:rPr/>
      </w:pPr>
      <w:r>
        <w:rPr/>
        <w:t>AI Voice Bot provides Thai and English automated voice conversations through an approved website voice deployment. Telephone capability is excluded unless a separately approved carrier, region, price, disclosure and product entitlement are active. The validated written response is limited to 200 visible grapheme characters before speech output.</w:t>
      </w:r>
    </w:p>
    <w:p>
      <w:pPr>
        <w:pStyle w:val="Heading2"/>
        <w:bidi w:val="0"/>
        <w:jc w:val="start"/>
        <w:rPr/>
      </w:pPr>
      <w:r>
        <w:rPr/>
        <w:t>2. Packages and annual prices</w:t>
      </w:r>
    </w:p>
    <w:tbl>
      <w:tblPr>
        <w:tblW w:w="7042" w:type="dxa"/>
        <w:jc w:val="start"/>
        <w:tblInd w:w="0" w:type="dxa"/>
        <w:tblLayout w:type="fixed"/>
        <w:tblCellMar>
          <w:top w:w="28" w:type="dxa"/>
          <w:start w:w="28" w:type="dxa"/>
          <w:bottom w:w="28" w:type="dxa"/>
          <w:end w:w="28" w:type="dxa"/>
        </w:tblCellMar>
      </w:tblPr>
      <w:tblGrid>
        <w:gridCol w:w="1081"/>
        <w:gridCol w:w="875"/>
        <w:gridCol w:w="905"/>
        <w:gridCol w:w="1222"/>
        <w:gridCol w:w="748"/>
        <w:gridCol w:w="934"/>
        <w:gridCol w:w="1277"/>
      </w:tblGrid>
      <w:tr>
        <w:trPr>
          <w:tblHeader w:val="true"/>
        </w:trPr>
        <w:tc>
          <w:tcPr>
            <w:tcW w:w="1081" w:type="dxa"/>
            <w:tcBorders/>
            <w:vAlign w:val="center"/>
          </w:tcPr>
          <w:p>
            <w:pPr>
              <w:pStyle w:val="TableHeading"/>
              <w:suppressLineNumbers/>
              <w:shd w:fill="173F35" w:val="clear"/>
              <w:bidi w:val="0"/>
              <w:spacing w:before="0" w:after="160"/>
              <w:jc w:val="start"/>
              <w:rPr/>
            </w:pPr>
            <w:r>
              <w:rPr/>
              <w:t>Package</w:t>
            </w:r>
          </w:p>
        </w:tc>
        <w:tc>
          <w:tcPr>
            <w:tcW w:w="875" w:type="dxa"/>
            <w:tcBorders/>
            <w:vAlign w:val="center"/>
          </w:tcPr>
          <w:p>
            <w:pPr>
              <w:pStyle w:val="TableHeading"/>
              <w:suppressLineNumbers/>
              <w:shd w:fill="173F35" w:val="clear"/>
              <w:bidi w:val="0"/>
              <w:spacing w:before="0" w:after="160"/>
              <w:jc w:val="start"/>
              <w:rPr/>
            </w:pPr>
            <w:r>
              <w:rPr/>
              <w:t>First 12 months</w:t>
            </w:r>
          </w:p>
        </w:tc>
        <w:tc>
          <w:tcPr>
            <w:tcW w:w="905" w:type="dxa"/>
            <w:tcBorders/>
            <w:vAlign w:val="center"/>
          </w:tcPr>
          <w:p>
            <w:pPr>
              <w:pStyle w:val="TableHeading"/>
              <w:suppressLineNumbers/>
              <w:shd w:fill="173F35" w:val="clear"/>
              <w:bidi w:val="0"/>
              <w:spacing w:before="0" w:after="160"/>
              <w:jc w:val="start"/>
              <w:rPr/>
            </w:pPr>
            <w:r>
              <w:rPr/>
              <w:t>Annual renewal</w:t>
            </w:r>
          </w:p>
        </w:tc>
        <w:tc>
          <w:tcPr>
            <w:tcW w:w="1222" w:type="dxa"/>
            <w:tcBorders/>
            <w:vAlign w:val="center"/>
          </w:tcPr>
          <w:p>
            <w:pPr>
              <w:pStyle w:val="TableHeading"/>
              <w:suppressLineNumbers/>
              <w:shd w:fill="173F35" w:val="clear"/>
              <w:bidi w:val="0"/>
              <w:spacing w:before="0" w:after="160"/>
              <w:jc w:val="start"/>
              <w:rPr/>
            </w:pPr>
            <w:r>
              <w:rPr/>
              <w:t>Included monthly connected minutes</w:t>
            </w:r>
          </w:p>
        </w:tc>
        <w:tc>
          <w:tcPr>
            <w:tcW w:w="748" w:type="dxa"/>
            <w:tcBorders/>
            <w:vAlign w:val="center"/>
          </w:tcPr>
          <w:p>
            <w:pPr>
              <w:pStyle w:val="TableHeading"/>
              <w:suppressLineNumbers/>
              <w:shd w:fill="173F35" w:val="clear"/>
              <w:bidi w:val="0"/>
              <w:spacing w:before="0" w:after="160"/>
              <w:jc w:val="start"/>
              <w:rPr/>
            </w:pPr>
            <w:r>
              <w:rPr/>
              <w:t>Active bots</w:t>
            </w:r>
          </w:p>
        </w:tc>
        <w:tc>
          <w:tcPr>
            <w:tcW w:w="934" w:type="dxa"/>
            <w:tcBorders/>
            <w:vAlign w:val="center"/>
          </w:tcPr>
          <w:p>
            <w:pPr>
              <w:pStyle w:val="TableHeading"/>
              <w:suppressLineNumbers/>
              <w:shd w:fill="173F35" w:val="clear"/>
              <w:bidi w:val="0"/>
              <w:spacing w:before="0" w:after="160"/>
              <w:jc w:val="start"/>
              <w:rPr/>
            </w:pPr>
            <w:r>
              <w:rPr/>
              <w:t>Website</w:t>
            </w:r>
          </w:p>
        </w:tc>
        <w:tc>
          <w:tcPr>
            <w:tcW w:w="1277" w:type="dxa"/>
            <w:tcBorders/>
            <w:vAlign w:val="center"/>
          </w:tcPr>
          <w:p>
            <w:pPr>
              <w:pStyle w:val="TableHeading"/>
              <w:suppressLineNumbers/>
              <w:shd w:fill="173F35" w:val="clear"/>
              <w:bidi w:val="0"/>
              <w:spacing w:before="0" w:after="160"/>
              <w:jc w:val="start"/>
              <w:rPr/>
            </w:pPr>
            <w:r>
              <w:rPr/>
              <w:t>Telephone</w:t>
            </w:r>
          </w:p>
        </w:tc>
      </w:tr>
      <w:tr>
        <w:trPr/>
        <w:tc>
          <w:tcPr>
            <w:tcW w:w="1081" w:type="dxa"/>
            <w:tcBorders/>
            <w:vAlign w:val="center"/>
          </w:tcPr>
          <w:p>
            <w:pPr>
              <w:pStyle w:val="TableContents"/>
              <w:bidi w:val="0"/>
              <w:spacing w:before="0" w:after="160"/>
              <w:jc w:val="start"/>
              <w:rPr/>
            </w:pPr>
            <w:r>
              <w:rPr/>
              <w:t>AI Voice Bot Starter</w:t>
            </w:r>
          </w:p>
        </w:tc>
        <w:tc>
          <w:tcPr>
            <w:tcW w:w="875" w:type="dxa"/>
            <w:tcBorders/>
            <w:vAlign w:val="center"/>
          </w:tcPr>
          <w:p>
            <w:pPr>
              <w:pStyle w:val="TableContents"/>
              <w:bidi w:val="0"/>
              <w:spacing w:before="0" w:after="160"/>
              <w:jc w:val="start"/>
              <w:rPr/>
            </w:pPr>
            <w:r>
              <w:rPr/>
              <w:t>THB 14,950</w:t>
            </w:r>
          </w:p>
        </w:tc>
        <w:tc>
          <w:tcPr>
            <w:tcW w:w="905" w:type="dxa"/>
            <w:tcBorders/>
            <w:vAlign w:val="center"/>
          </w:tcPr>
          <w:p>
            <w:pPr>
              <w:pStyle w:val="TableContents"/>
              <w:bidi w:val="0"/>
              <w:spacing w:before="0" w:after="160"/>
              <w:jc w:val="start"/>
              <w:rPr/>
            </w:pPr>
            <w:r>
              <w:rPr/>
              <w:t>THB 29,900</w:t>
            </w:r>
          </w:p>
        </w:tc>
        <w:tc>
          <w:tcPr>
            <w:tcW w:w="1222" w:type="dxa"/>
            <w:tcBorders/>
            <w:vAlign w:val="center"/>
          </w:tcPr>
          <w:p>
            <w:pPr>
              <w:pStyle w:val="TableContents"/>
              <w:bidi w:val="0"/>
              <w:spacing w:before="0" w:after="160"/>
              <w:jc w:val="start"/>
              <w:rPr/>
            </w:pPr>
            <w:r>
              <w:rPr/>
              <w:t>150</w:t>
            </w:r>
          </w:p>
        </w:tc>
        <w:tc>
          <w:tcPr>
            <w:tcW w:w="748" w:type="dxa"/>
            <w:tcBorders/>
            <w:vAlign w:val="center"/>
          </w:tcPr>
          <w:p>
            <w:pPr>
              <w:pStyle w:val="TableContents"/>
              <w:bidi w:val="0"/>
              <w:spacing w:before="0" w:after="160"/>
              <w:jc w:val="start"/>
              <w:rPr/>
            </w:pPr>
            <w:r>
              <w:rPr/>
              <w:t>1</w:t>
            </w:r>
          </w:p>
        </w:tc>
        <w:tc>
          <w:tcPr>
            <w:tcW w:w="934" w:type="dxa"/>
            <w:tcBorders/>
            <w:vAlign w:val="center"/>
          </w:tcPr>
          <w:p>
            <w:pPr>
              <w:pStyle w:val="TableContents"/>
              <w:bidi w:val="0"/>
              <w:spacing w:before="0" w:after="160"/>
              <w:jc w:val="start"/>
              <w:rPr/>
            </w:pPr>
            <w:r>
              <w:rPr/>
              <w:t>Included after approval</w:t>
            </w:r>
          </w:p>
        </w:tc>
        <w:tc>
          <w:tcPr>
            <w:tcW w:w="1277" w:type="dxa"/>
            <w:tcBorders/>
            <w:vAlign w:val="center"/>
          </w:tcPr>
          <w:p>
            <w:pPr>
              <w:pStyle w:val="TableContents"/>
              <w:bidi w:val="0"/>
              <w:spacing w:before="0" w:after="160"/>
              <w:jc w:val="start"/>
              <w:rPr/>
            </w:pPr>
            <w:r>
              <w:rPr/>
              <w:t>Excluded from initial release</w:t>
            </w:r>
          </w:p>
        </w:tc>
      </w:tr>
      <w:tr>
        <w:trPr/>
        <w:tc>
          <w:tcPr>
            <w:tcW w:w="1081" w:type="dxa"/>
            <w:tcBorders/>
            <w:vAlign w:val="center"/>
          </w:tcPr>
          <w:p>
            <w:pPr>
              <w:pStyle w:val="TableContents"/>
              <w:bidi w:val="0"/>
              <w:spacing w:before="0" w:after="160"/>
              <w:jc w:val="start"/>
              <w:rPr/>
            </w:pPr>
            <w:r>
              <w:rPr/>
              <w:t>AI Voice Bot Advanced</w:t>
            </w:r>
          </w:p>
        </w:tc>
        <w:tc>
          <w:tcPr>
            <w:tcW w:w="875" w:type="dxa"/>
            <w:tcBorders/>
            <w:vAlign w:val="center"/>
          </w:tcPr>
          <w:p>
            <w:pPr>
              <w:pStyle w:val="TableContents"/>
              <w:bidi w:val="0"/>
              <w:spacing w:before="0" w:after="160"/>
              <w:jc w:val="start"/>
              <w:rPr/>
            </w:pPr>
            <w:r>
              <w:rPr/>
              <w:t>THB 29,950</w:t>
            </w:r>
          </w:p>
        </w:tc>
        <w:tc>
          <w:tcPr>
            <w:tcW w:w="905" w:type="dxa"/>
            <w:tcBorders/>
            <w:vAlign w:val="center"/>
          </w:tcPr>
          <w:p>
            <w:pPr>
              <w:pStyle w:val="TableContents"/>
              <w:bidi w:val="0"/>
              <w:spacing w:before="0" w:after="160"/>
              <w:jc w:val="start"/>
              <w:rPr/>
            </w:pPr>
            <w:r>
              <w:rPr/>
              <w:t>THB 59,900</w:t>
            </w:r>
          </w:p>
        </w:tc>
        <w:tc>
          <w:tcPr>
            <w:tcW w:w="1222" w:type="dxa"/>
            <w:tcBorders/>
            <w:vAlign w:val="center"/>
          </w:tcPr>
          <w:p>
            <w:pPr>
              <w:pStyle w:val="TableContents"/>
              <w:bidi w:val="0"/>
              <w:spacing w:before="0" w:after="160"/>
              <w:jc w:val="start"/>
              <w:rPr/>
            </w:pPr>
            <w:r>
              <w:rPr/>
              <w:t>500</w:t>
            </w:r>
          </w:p>
        </w:tc>
        <w:tc>
          <w:tcPr>
            <w:tcW w:w="748" w:type="dxa"/>
            <w:tcBorders/>
            <w:vAlign w:val="center"/>
          </w:tcPr>
          <w:p>
            <w:pPr>
              <w:pStyle w:val="TableContents"/>
              <w:bidi w:val="0"/>
              <w:spacing w:before="0" w:after="160"/>
              <w:jc w:val="start"/>
              <w:rPr/>
            </w:pPr>
            <w:r>
              <w:rPr/>
              <w:t>Up to 3</w:t>
            </w:r>
          </w:p>
        </w:tc>
        <w:tc>
          <w:tcPr>
            <w:tcW w:w="934" w:type="dxa"/>
            <w:tcBorders/>
            <w:vAlign w:val="center"/>
          </w:tcPr>
          <w:p>
            <w:pPr>
              <w:pStyle w:val="TableContents"/>
              <w:bidi w:val="0"/>
              <w:spacing w:before="0" w:after="160"/>
              <w:jc w:val="start"/>
              <w:rPr/>
            </w:pPr>
            <w:r>
              <w:rPr/>
              <w:t>Included after approval</w:t>
            </w:r>
          </w:p>
        </w:tc>
        <w:tc>
          <w:tcPr>
            <w:tcW w:w="1277" w:type="dxa"/>
            <w:tcBorders/>
            <w:vAlign w:val="center"/>
          </w:tcPr>
          <w:p>
            <w:pPr>
              <w:pStyle w:val="TableContents"/>
              <w:bidi w:val="0"/>
              <w:spacing w:before="0" w:after="160"/>
              <w:jc w:val="start"/>
              <w:rPr/>
            </w:pPr>
            <w:r>
              <w:rPr/>
              <w:t>Disabled pending separate carrier approval</w:t>
            </w:r>
          </w:p>
        </w:tc>
      </w:tr>
    </w:tbl>
    <w:p>
      <w:pPr>
        <w:pStyle w:val="BodyText"/>
        <w:bidi w:val="0"/>
        <w:jc w:val="start"/>
        <w:rPr/>
      </w:pPr>
      <w:r>
        <w:rPr/>
        <w:t>DEEJAI LAB CO., LTD. is not VAT registered, so no VAT is added or charged and each displayed THB amount is the total contract price while that status continues. The approved checkout must state any per-minute rate, safety cap, telephone charges and third-party fees before payment. Until those commercial rules are approved, no usage overage is collected automatically.</w:t>
      </w:r>
    </w:p>
    <w:p>
      <w:pPr>
        <w:pStyle w:val="Heading2"/>
        <w:bidi w:val="0"/>
        <w:jc w:val="start"/>
        <w:rPr/>
      </w:pPr>
      <w:r>
        <w:rPr/>
        <w:t>3. No trial</w:t>
      </w:r>
    </w:p>
    <w:p>
      <w:pPr>
        <w:pStyle w:val="BodyText"/>
        <w:bidi w:val="0"/>
        <w:jc w:val="start"/>
        <w:rPr/>
      </w:pPr>
      <w:r>
        <w:rPr/>
        <w:t>AI Voice Bot has no free trial. A demonstration, test session or internal pilot does not create a customer trial, paid entitlement or production availability promise.</w:t>
      </w:r>
    </w:p>
    <w:p>
      <w:pPr>
        <w:pStyle w:val="Heading2"/>
        <w:bidi w:val="0"/>
        <w:jc w:val="start"/>
        <w:rPr/>
      </w:pPr>
      <w:r>
        <w:rPr/>
        <w:t>4. Term, renewal, cancellation and refunds</w:t>
      </w:r>
    </w:p>
    <w:p>
      <w:pPr>
        <w:pStyle w:val="BodyText"/>
        <w:bidi w:val="0"/>
        <w:jc w:val="start"/>
        <w:rPr/>
      </w:pPr>
      <w:r>
        <w:rPr/>
        <w:t>Paid subscriptions run for one year and renew automatically for successive one-year terms at the accepted renewal amount unless cancelled before renewal. Cancellation is effective at paid-term end. Fees are non-refundable except where required by law, for a verified duplicate or incorrect charge, or for the unused period if Deejai terminates without Merchant breach.</w:t>
      </w:r>
    </w:p>
    <w:p>
      <w:pPr>
        <w:pStyle w:val="Heading2"/>
        <w:bidi w:val="0"/>
        <w:jc w:val="start"/>
        <w:rPr/>
      </w:pPr>
      <w:r>
        <w:rPr/>
        <w:t>5. Disclosure and recording</w:t>
      </w:r>
    </w:p>
    <w:p>
      <w:pPr>
        <w:pStyle w:val="BodyText"/>
        <w:bidi w:val="0"/>
        <w:jc w:val="start"/>
        <w:rPr/>
      </w:pPr>
      <w:r>
        <w:rPr/>
        <w:t>The Service must identify the Merchant and automated nature of the interaction and explain transcription, human alternatives and recording status before collecting customer speech. Audio recording is disabled with zero recording retention. Recording may be enabled only under a new approved legal version with consent-required mode, approved Thai and English scripts, a retention period from 1 to 365 days and a recorded legal approval reference. Transcripts remain personal data and follow the approved message-retention policy.</w:t>
      </w:r>
    </w:p>
    <w:p>
      <w:pPr>
        <w:pStyle w:val="Heading2"/>
        <w:bidi w:val="0"/>
        <w:jc w:val="start"/>
        <w:rPr/>
      </w:pPr>
      <w:r>
        <w:rPr/>
        <w:t>6. Merchant duties and restrictions</w:t>
      </w:r>
    </w:p>
    <w:p>
      <w:pPr>
        <w:pStyle w:val="BodyText"/>
        <w:bidi w:val="0"/>
        <w:jc w:val="start"/>
        <w:rPr/>
      </w:pPr>
      <w:r>
        <w:rPr/>
        <w:t>The Merchant must test Voice behavior, confirm material details, provide human escalation and avoid emergency response, diagnosis, prescription, final legal/financial advice, full card details, passwords, one-time passcodes, unlawful discrimination, deceptive impersonation and final high-impact decisions. Outbound or telephone use is prohibited in the initial release.</w:t>
      </w:r>
    </w:p>
    <w:p>
      <w:pPr>
        <w:pStyle w:val="Heading2"/>
        <w:bidi w:val="0"/>
        <w:jc w:val="start"/>
        <w:rPr/>
      </w:pPr>
      <w:r>
        <w:rPr/>
        <w:t>7. Providers and current status</w:t>
      </w:r>
    </w:p>
    <w:p>
      <w:pPr>
        <w:pStyle w:val="BodyText"/>
        <w:bidi w:val="0"/>
        <w:jc w:val="start"/>
        <w:rPr/>
      </w:pPr>
      <w:r>
        <w:rPr/>
        <w:t>The codebase contains a provider-neutral Voice WebSocket gateway and adapters for Google Live and OpenAI Realtime. xAI Grok Voice is a permitted provider candidate but is not yet implemented or approved in this workspace. The runtime requires an explicit enable flag, session-authority endpoints, media endpoints and provider credentials; the current local launch configuration does not provide that complete route. No live provider acceptance is recorded. Voice therefore remains disabled for sale and fails closed when media configuration is incomplete.</w:t>
      </w:r>
    </w:p>
    <w:p>
      <w:pPr>
        <w:pStyle w:val="Heading1"/>
        <w:bidi w:val="0"/>
        <w:jc w:val="start"/>
        <w:rPr/>
      </w:pPr>
      <w:r>
        <w:rPr/>
        <w:t>Flow and AI Text Trial Terms Schedule</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15 August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Heading2"/>
        <w:bidi w:val="0"/>
        <w:jc w:val="start"/>
        <w:rPr/>
      </w:pPr>
      <w:r>
        <w:rPr/>
        <w:t>1. Approved trial matrix</w:t>
      </w:r>
    </w:p>
    <w:tbl>
      <w:tblPr>
        <w:tblW w:w="7042" w:type="dxa"/>
        <w:jc w:val="start"/>
        <w:tblInd w:w="0" w:type="dxa"/>
        <w:tblLayout w:type="fixed"/>
        <w:tblCellMar>
          <w:top w:w="28" w:type="dxa"/>
          <w:start w:w="28" w:type="dxa"/>
          <w:bottom w:w="28" w:type="dxa"/>
          <w:end w:w="28" w:type="dxa"/>
        </w:tblCellMar>
      </w:tblPr>
      <w:tblGrid>
        <w:gridCol w:w="1328"/>
        <w:gridCol w:w="2005"/>
        <w:gridCol w:w="2529"/>
        <w:gridCol w:w="1180"/>
      </w:tblGrid>
      <w:tr>
        <w:trPr>
          <w:tblHeader w:val="true"/>
        </w:trPr>
        <w:tc>
          <w:tcPr>
            <w:tcW w:w="1328" w:type="dxa"/>
            <w:tcBorders/>
            <w:vAlign w:val="center"/>
          </w:tcPr>
          <w:p>
            <w:pPr>
              <w:pStyle w:val="TableHeading"/>
              <w:suppressLineNumbers/>
              <w:shd w:fill="173F35" w:val="clear"/>
              <w:bidi w:val="0"/>
              <w:spacing w:before="0" w:after="160"/>
              <w:jc w:val="start"/>
              <w:rPr/>
            </w:pPr>
            <w:r>
              <w:rPr/>
              <w:t>Term</w:t>
            </w:r>
          </w:p>
        </w:tc>
        <w:tc>
          <w:tcPr>
            <w:tcW w:w="2005" w:type="dxa"/>
            <w:tcBorders/>
            <w:vAlign w:val="center"/>
          </w:tcPr>
          <w:p>
            <w:pPr>
              <w:pStyle w:val="TableHeading"/>
              <w:suppressLineNumbers/>
              <w:shd w:fill="173F35" w:val="clear"/>
              <w:bidi w:val="0"/>
              <w:spacing w:before="0" w:after="160"/>
              <w:jc w:val="start"/>
              <w:rPr/>
            </w:pPr>
            <w:r>
              <w:rPr/>
              <w:t>Flow Bot Starter trial</w:t>
            </w:r>
          </w:p>
        </w:tc>
        <w:tc>
          <w:tcPr>
            <w:tcW w:w="2529" w:type="dxa"/>
            <w:tcBorders/>
            <w:vAlign w:val="center"/>
          </w:tcPr>
          <w:p>
            <w:pPr>
              <w:pStyle w:val="TableHeading"/>
              <w:suppressLineNumbers/>
              <w:shd w:fill="173F35" w:val="clear"/>
              <w:bidi w:val="0"/>
              <w:spacing w:before="0" w:after="160"/>
              <w:jc w:val="start"/>
              <w:rPr/>
            </w:pPr>
            <w:r>
              <w:rPr/>
              <w:t>AI Text Bot Starter trial</w:t>
            </w:r>
          </w:p>
        </w:tc>
        <w:tc>
          <w:tcPr>
            <w:tcW w:w="1180" w:type="dxa"/>
            <w:tcBorders/>
            <w:vAlign w:val="center"/>
          </w:tcPr>
          <w:p>
            <w:pPr>
              <w:pStyle w:val="TableHeading"/>
              <w:suppressLineNumbers/>
              <w:shd w:fill="173F35" w:val="clear"/>
              <w:bidi w:val="0"/>
              <w:spacing w:before="0" w:after="160"/>
              <w:jc w:val="start"/>
              <w:rPr/>
            </w:pPr>
            <w:r>
              <w:rPr/>
              <w:t>AI Voice Bot</w:t>
            </w:r>
          </w:p>
        </w:tc>
      </w:tr>
      <w:tr>
        <w:trPr/>
        <w:tc>
          <w:tcPr>
            <w:tcW w:w="1328" w:type="dxa"/>
            <w:tcBorders/>
            <w:vAlign w:val="center"/>
          </w:tcPr>
          <w:p>
            <w:pPr>
              <w:pStyle w:val="TableContents"/>
              <w:bidi w:val="0"/>
              <w:spacing w:before="0" w:after="160"/>
              <w:jc w:val="start"/>
              <w:rPr/>
            </w:pPr>
            <w:r>
              <w:rPr/>
              <w:t>Eligible user</w:t>
            </w:r>
          </w:p>
        </w:tc>
        <w:tc>
          <w:tcPr>
            <w:tcW w:w="2005" w:type="dxa"/>
            <w:tcBorders/>
            <w:vAlign w:val="center"/>
          </w:tcPr>
          <w:p>
            <w:pPr>
              <w:pStyle w:val="TableContents"/>
              <w:bidi w:val="0"/>
              <w:spacing w:before="0" w:after="160"/>
              <w:jc w:val="start"/>
              <w:rPr/>
            </w:pPr>
            <w:r>
              <w:rPr/>
              <w:t>One trial per verified account email</w:t>
            </w:r>
          </w:p>
        </w:tc>
        <w:tc>
          <w:tcPr>
            <w:tcW w:w="2529" w:type="dxa"/>
            <w:tcBorders/>
            <w:vAlign w:val="center"/>
          </w:tcPr>
          <w:p>
            <w:pPr>
              <w:pStyle w:val="TableContents"/>
              <w:bidi w:val="0"/>
              <w:spacing w:before="0" w:after="160"/>
              <w:jc w:val="start"/>
              <w:rPr/>
            </w:pPr>
            <w:r>
              <w:rPr/>
              <w:t>One trial per verified payment card</w:t>
            </w:r>
          </w:p>
        </w:tc>
        <w:tc>
          <w:tcPr>
            <w:tcW w:w="1180" w:type="dxa"/>
            <w:tcBorders/>
            <w:vAlign w:val="center"/>
          </w:tcPr>
          <w:p>
            <w:pPr>
              <w:pStyle w:val="TableContents"/>
              <w:bidi w:val="0"/>
              <w:spacing w:before="0" w:after="160"/>
              <w:jc w:val="start"/>
              <w:rPr/>
            </w:pPr>
            <w:r>
              <w:rPr/>
              <w:t>No trial</w:t>
            </w:r>
          </w:p>
        </w:tc>
      </w:tr>
      <w:tr>
        <w:trPr/>
        <w:tc>
          <w:tcPr>
            <w:tcW w:w="1328" w:type="dxa"/>
            <w:tcBorders/>
            <w:vAlign w:val="center"/>
          </w:tcPr>
          <w:p>
            <w:pPr>
              <w:pStyle w:val="TableContents"/>
              <w:bidi w:val="0"/>
              <w:spacing w:before="0" w:after="160"/>
              <w:jc w:val="start"/>
              <w:rPr/>
            </w:pPr>
            <w:r>
              <w:rPr/>
              <w:t>Duration</w:t>
            </w:r>
          </w:p>
        </w:tc>
        <w:tc>
          <w:tcPr>
            <w:tcW w:w="2005" w:type="dxa"/>
            <w:tcBorders/>
            <w:vAlign w:val="center"/>
          </w:tcPr>
          <w:p>
            <w:pPr>
              <w:pStyle w:val="TableContents"/>
              <w:bidi w:val="0"/>
              <w:spacing w:before="0" w:after="160"/>
              <w:jc w:val="start"/>
              <w:rPr/>
            </w:pPr>
            <w:r>
              <w:rPr/>
              <w:t>30 fixed days</w:t>
            </w:r>
          </w:p>
        </w:tc>
        <w:tc>
          <w:tcPr>
            <w:tcW w:w="2529" w:type="dxa"/>
            <w:tcBorders/>
            <w:vAlign w:val="center"/>
          </w:tcPr>
          <w:p>
            <w:pPr>
              <w:pStyle w:val="TableContents"/>
              <w:bidi w:val="0"/>
              <w:spacing w:before="0" w:after="160"/>
              <w:jc w:val="start"/>
              <w:rPr/>
            </w:pPr>
            <w:r>
              <w:rPr/>
              <w:t>30 fixed days</w:t>
            </w:r>
          </w:p>
        </w:tc>
        <w:tc>
          <w:tcPr>
            <w:tcW w:w="1180" w:type="dxa"/>
            <w:tcBorders/>
            <w:vAlign w:val="center"/>
          </w:tcPr>
          <w:p>
            <w:pPr>
              <w:pStyle w:val="TableContents"/>
              <w:bidi w:val="0"/>
              <w:spacing w:before="0" w:after="160"/>
              <w:jc w:val="start"/>
              <w:rPr/>
            </w:pPr>
            <w:r>
              <w:rPr/>
              <w:t>Not applicable</w:t>
            </w:r>
          </w:p>
        </w:tc>
      </w:tr>
      <w:tr>
        <w:trPr/>
        <w:tc>
          <w:tcPr>
            <w:tcW w:w="1328" w:type="dxa"/>
            <w:tcBorders/>
            <w:vAlign w:val="center"/>
          </w:tcPr>
          <w:p>
            <w:pPr>
              <w:pStyle w:val="TableContents"/>
              <w:bidi w:val="0"/>
              <w:spacing w:before="0" w:after="160"/>
              <w:jc w:val="start"/>
              <w:rPr/>
            </w:pPr>
            <w:r>
              <w:rPr/>
              <w:t>Start</w:t>
            </w:r>
          </w:p>
        </w:tc>
        <w:tc>
          <w:tcPr>
            <w:tcW w:w="2005" w:type="dxa"/>
            <w:tcBorders/>
            <w:vAlign w:val="center"/>
          </w:tcPr>
          <w:p>
            <w:pPr>
              <w:pStyle w:val="TableContents"/>
              <w:bidi w:val="0"/>
              <w:spacing w:before="0" w:after="160"/>
              <w:jc w:val="start"/>
              <w:rPr/>
            </w:pPr>
            <w:r>
              <w:rPr/>
              <w:t>Successful Bot deployment provisioning</w:t>
            </w:r>
          </w:p>
        </w:tc>
        <w:tc>
          <w:tcPr>
            <w:tcW w:w="2529" w:type="dxa"/>
            <w:tcBorders/>
            <w:vAlign w:val="center"/>
          </w:tcPr>
          <w:p>
            <w:pPr>
              <w:pStyle w:val="TableContents"/>
              <w:bidi w:val="0"/>
              <w:spacing w:before="0" w:after="160"/>
              <w:jc w:val="start"/>
              <w:rPr/>
            </w:pPr>
            <w:r>
              <w:rPr/>
              <w:t>Successful Bot deployment provisioning after card verification</w:t>
            </w:r>
          </w:p>
        </w:tc>
        <w:tc>
          <w:tcPr>
            <w:tcW w:w="1180" w:type="dxa"/>
            <w:tcBorders/>
            <w:vAlign w:val="center"/>
          </w:tcPr>
          <w:p>
            <w:pPr>
              <w:pStyle w:val="TableContents"/>
              <w:bidi w:val="0"/>
              <w:spacing w:before="0" w:after="160"/>
              <w:jc w:val="start"/>
              <w:rPr/>
            </w:pPr>
            <w:r>
              <w:rPr/>
              <w:t>Not applicable</w:t>
            </w:r>
          </w:p>
        </w:tc>
      </w:tr>
      <w:tr>
        <w:trPr/>
        <w:tc>
          <w:tcPr>
            <w:tcW w:w="1328" w:type="dxa"/>
            <w:tcBorders/>
            <w:vAlign w:val="center"/>
          </w:tcPr>
          <w:p>
            <w:pPr>
              <w:pStyle w:val="TableContents"/>
              <w:bidi w:val="0"/>
              <w:spacing w:before="0" w:after="160"/>
              <w:jc w:val="start"/>
              <w:rPr/>
            </w:pPr>
            <w:r>
              <w:rPr/>
              <w:t>Channel</w:t>
            </w:r>
          </w:p>
        </w:tc>
        <w:tc>
          <w:tcPr>
            <w:tcW w:w="2005" w:type="dxa"/>
            <w:tcBorders/>
            <w:vAlign w:val="center"/>
          </w:tcPr>
          <w:p>
            <w:pPr>
              <w:pStyle w:val="TableContents"/>
              <w:bidi w:val="0"/>
              <w:spacing w:before="0" w:after="160"/>
              <w:jc w:val="start"/>
              <w:rPr/>
            </w:pPr>
            <w:r>
              <w:rPr/>
              <w:t>Website only</w:t>
            </w:r>
          </w:p>
        </w:tc>
        <w:tc>
          <w:tcPr>
            <w:tcW w:w="2529" w:type="dxa"/>
            <w:tcBorders/>
            <w:vAlign w:val="center"/>
          </w:tcPr>
          <w:p>
            <w:pPr>
              <w:pStyle w:val="TableContents"/>
              <w:bidi w:val="0"/>
              <w:spacing w:before="0" w:after="160"/>
              <w:jc w:val="start"/>
              <w:rPr/>
            </w:pPr>
            <w:r>
              <w:rPr/>
              <w:t>Website only</w:t>
            </w:r>
          </w:p>
        </w:tc>
        <w:tc>
          <w:tcPr>
            <w:tcW w:w="1180" w:type="dxa"/>
            <w:tcBorders/>
            <w:vAlign w:val="center"/>
          </w:tcPr>
          <w:p>
            <w:pPr>
              <w:pStyle w:val="TableContents"/>
              <w:bidi w:val="0"/>
              <w:spacing w:before="0" w:after="160"/>
              <w:jc w:val="start"/>
              <w:rPr/>
            </w:pPr>
            <w:r>
              <w:rPr/>
              <w:t>Not applicable</w:t>
            </w:r>
          </w:p>
        </w:tc>
      </w:tr>
      <w:tr>
        <w:trPr/>
        <w:tc>
          <w:tcPr>
            <w:tcW w:w="1328" w:type="dxa"/>
            <w:tcBorders/>
            <w:vAlign w:val="center"/>
          </w:tcPr>
          <w:p>
            <w:pPr>
              <w:pStyle w:val="TableContents"/>
              <w:bidi w:val="0"/>
              <w:spacing w:before="0" w:after="160"/>
              <w:jc w:val="start"/>
              <w:rPr/>
            </w:pPr>
            <w:r>
              <w:rPr/>
              <w:t>Allowance</w:t>
            </w:r>
          </w:p>
        </w:tc>
        <w:tc>
          <w:tcPr>
            <w:tcW w:w="2005" w:type="dxa"/>
            <w:tcBorders/>
            <w:vAlign w:val="center"/>
          </w:tcPr>
          <w:p>
            <w:pPr>
              <w:pStyle w:val="TableContents"/>
              <w:bidi w:val="0"/>
              <w:spacing w:before="0" w:after="160"/>
              <w:jc w:val="start"/>
              <w:rPr/>
            </w:pPr>
            <w:r>
              <w:rPr/>
              <w:t>5,000 customer conversations</w:t>
            </w:r>
          </w:p>
        </w:tc>
        <w:tc>
          <w:tcPr>
            <w:tcW w:w="2529" w:type="dxa"/>
            <w:tcBorders/>
            <w:vAlign w:val="center"/>
          </w:tcPr>
          <w:p>
            <w:pPr>
              <w:pStyle w:val="TableContents"/>
              <w:bidi w:val="0"/>
              <w:spacing w:before="0" w:after="160"/>
              <w:jc w:val="start"/>
              <w:rPr/>
            </w:pPr>
            <w:r>
              <w:rPr/>
              <w:t>500 AI-generated replies</w:t>
            </w:r>
          </w:p>
        </w:tc>
        <w:tc>
          <w:tcPr>
            <w:tcW w:w="1180" w:type="dxa"/>
            <w:tcBorders/>
            <w:vAlign w:val="center"/>
          </w:tcPr>
          <w:p>
            <w:pPr>
              <w:pStyle w:val="TableContents"/>
              <w:bidi w:val="0"/>
              <w:spacing w:before="0" w:after="160"/>
              <w:jc w:val="start"/>
              <w:rPr/>
            </w:pPr>
            <w:r>
              <w:rPr/>
              <w:t>Not applicable</w:t>
            </w:r>
          </w:p>
        </w:tc>
      </w:tr>
      <w:tr>
        <w:trPr/>
        <w:tc>
          <w:tcPr>
            <w:tcW w:w="1328" w:type="dxa"/>
            <w:tcBorders/>
            <w:vAlign w:val="center"/>
          </w:tcPr>
          <w:p>
            <w:pPr>
              <w:pStyle w:val="TableContents"/>
              <w:bidi w:val="0"/>
              <w:spacing w:before="0" w:after="160"/>
              <w:jc w:val="start"/>
              <w:rPr/>
            </w:pPr>
            <w:r>
              <w:rPr/>
              <w:t>Card</w:t>
            </w:r>
          </w:p>
        </w:tc>
        <w:tc>
          <w:tcPr>
            <w:tcW w:w="2005" w:type="dxa"/>
            <w:tcBorders/>
            <w:vAlign w:val="center"/>
          </w:tcPr>
          <w:p>
            <w:pPr>
              <w:pStyle w:val="TableContents"/>
              <w:bidi w:val="0"/>
              <w:spacing w:before="0" w:after="160"/>
              <w:jc w:val="start"/>
              <w:rPr/>
            </w:pPr>
            <w:r>
              <w:rPr/>
              <w:t>Not required</w:t>
            </w:r>
          </w:p>
        </w:tc>
        <w:tc>
          <w:tcPr>
            <w:tcW w:w="2529" w:type="dxa"/>
            <w:tcBorders/>
            <w:vAlign w:val="center"/>
          </w:tcPr>
          <w:p>
            <w:pPr>
              <w:pStyle w:val="TableContents"/>
              <w:bidi w:val="0"/>
              <w:spacing w:before="0" w:after="160"/>
              <w:jc w:val="start"/>
              <w:rPr/>
            </w:pPr>
            <w:r>
              <w:rPr/>
              <w:t>Requested only when the Merchant presses Deploy Bot</w:t>
            </w:r>
          </w:p>
        </w:tc>
        <w:tc>
          <w:tcPr>
            <w:tcW w:w="1180" w:type="dxa"/>
            <w:tcBorders/>
            <w:vAlign w:val="center"/>
          </w:tcPr>
          <w:p>
            <w:pPr>
              <w:pStyle w:val="TableContents"/>
              <w:bidi w:val="0"/>
              <w:spacing w:before="0" w:after="160"/>
              <w:jc w:val="start"/>
              <w:rPr/>
            </w:pPr>
            <w:r>
              <w:rPr/>
              <w:t>Not applicable</w:t>
            </w:r>
          </w:p>
        </w:tc>
      </w:tr>
      <w:tr>
        <w:trPr/>
        <w:tc>
          <w:tcPr>
            <w:tcW w:w="1328" w:type="dxa"/>
            <w:tcBorders/>
            <w:vAlign w:val="center"/>
          </w:tcPr>
          <w:p>
            <w:pPr>
              <w:pStyle w:val="TableContents"/>
              <w:bidi w:val="0"/>
              <w:spacing w:before="0" w:after="160"/>
              <w:jc w:val="start"/>
              <w:rPr/>
            </w:pPr>
            <w:r>
              <w:rPr/>
              <w:t>Warning</w:t>
            </w:r>
          </w:p>
        </w:tc>
        <w:tc>
          <w:tcPr>
            <w:tcW w:w="2005" w:type="dxa"/>
            <w:tcBorders/>
            <w:vAlign w:val="center"/>
          </w:tcPr>
          <w:p>
            <w:pPr>
              <w:pStyle w:val="TableContents"/>
              <w:bidi w:val="0"/>
              <w:spacing w:before="0" w:after="160"/>
              <w:jc w:val="start"/>
              <w:rPr/>
            </w:pPr>
            <w:r>
              <w:rPr/>
              <w:t>Usage shown in platform</w:t>
            </w:r>
          </w:p>
        </w:tc>
        <w:tc>
          <w:tcPr>
            <w:tcW w:w="2529" w:type="dxa"/>
            <w:tcBorders/>
            <w:vAlign w:val="center"/>
          </w:tcPr>
          <w:p>
            <w:pPr>
              <w:pStyle w:val="TableContents"/>
              <w:bidi w:val="0"/>
              <w:spacing w:before="0" w:after="160"/>
              <w:jc w:val="start"/>
              <w:rPr/>
            </w:pPr>
            <w:r>
              <w:rPr/>
              <w:t>Account owner warned in-platform and by email at 100 replies remaining</w:t>
            </w:r>
          </w:p>
        </w:tc>
        <w:tc>
          <w:tcPr>
            <w:tcW w:w="1180" w:type="dxa"/>
            <w:tcBorders/>
            <w:vAlign w:val="center"/>
          </w:tcPr>
          <w:p>
            <w:pPr>
              <w:pStyle w:val="TableContents"/>
              <w:bidi w:val="0"/>
              <w:spacing w:before="0" w:after="160"/>
              <w:jc w:val="start"/>
              <w:rPr/>
            </w:pPr>
            <w:r>
              <w:rPr/>
              <w:t>Not applicable</w:t>
            </w:r>
          </w:p>
        </w:tc>
      </w:tr>
      <w:tr>
        <w:trPr/>
        <w:tc>
          <w:tcPr>
            <w:tcW w:w="1328" w:type="dxa"/>
            <w:tcBorders/>
            <w:vAlign w:val="center"/>
          </w:tcPr>
          <w:p>
            <w:pPr>
              <w:pStyle w:val="TableContents"/>
              <w:bidi w:val="0"/>
              <w:spacing w:before="0" w:after="160"/>
              <w:jc w:val="start"/>
              <w:rPr/>
            </w:pPr>
            <w:r>
              <w:rPr/>
              <w:t>Exhaustion/expiry</w:t>
            </w:r>
          </w:p>
        </w:tc>
        <w:tc>
          <w:tcPr>
            <w:tcW w:w="2005" w:type="dxa"/>
            <w:tcBorders/>
            <w:vAlign w:val="center"/>
          </w:tcPr>
          <w:p>
            <w:pPr>
              <w:pStyle w:val="TableContents"/>
              <w:bidi w:val="0"/>
              <w:spacing w:before="0" w:after="160"/>
              <w:jc w:val="start"/>
              <w:rPr/>
            </w:pPr>
            <w:r>
              <w:rPr/>
              <w:t>New trial service stops; subscription offered</w:t>
            </w:r>
          </w:p>
        </w:tc>
        <w:tc>
          <w:tcPr>
            <w:tcW w:w="2529" w:type="dxa"/>
            <w:tcBorders/>
            <w:vAlign w:val="center"/>
          </w:tcPr>
          <w:p>
            <w:pPr>
              <w:pStyle w:val="TableContents"/>
              <w:bidi w:val="0"/>
              <w:spacing w:before="0" w:after="160"/>
              <w:jc w:val="start"/>
              <w:rPr/>
            </w:pPr>
            <w:r>
              <w:rPr/>
              <w:t>New AI replies stop; subscription offered</w:t>
            </w:r>
          </w:p>
        </w:tc>
        <w:tc>
          <w:tcPr>
            <w:tcW w:w="1180" w:type="dxa"/>
            <w:tcBorders/>
            <w:vAlign w:val="center"/>
          </w:tcPr>
          <w:p>
            <w:pPr>
              <w:pStyle w:val="TableContents"/>
              <w:bidi w:val="0"/>
              <w:spacing w:before="0" w:after="160"/>
              <w:jc w:val="start"/>
              <w:rPr/>
            </w:pPr>
            <w:r>
              <w:rPr/>
              <w:t>Not applicable</w:t>
            </w:r>
          </w:p>
        </w:tc>
      </w:tr>
    </w:tbl>
    <w:p>
      <w:pPr>
        <w:pStyle w:val="Heading2"/>
        <w:bidi w:val="0"/>
        <w:jc w:val="start"/>
        <w:rPr/>
      </w:pPr>
      <w:r>
        <w:rPr/>
        <w:t>2. No automatic charge or conversion</w:t>
      </w:r>
    </w:p>
    <w:p>
      <w:pPr>
        <w:pStyle w:val="BodyText"/>
        <w:bidi w:val="0"/>
        <w:jc w:val="start"/>
        <w:rPr/>
      </w:pPr>
      <w:r>
        <w:rPr/>
        <w:t>The Merchant may configure and test the AI Text Bot before providing a card. When the Merchant presses Deploy Bot, Stripe validates and saves the card using a SetupIntent without creating a DJBOT charge. The issuing bank or card network may show a temporary verification entry; Deejai does not promise or collect an exact USD 1 debit. A card collected for the AI Text trial does not authorize an automatic charge, subscription or conversion. No trial renews automatically. A paid subscription begins only after the Merchant receives and affirmatively accepts a separate order showing the amount due, renewal, taxes, allowances and applicable legal terms.</w:t>
      </w:r>
    </w:p>
    <w:p>
      <w:pPr>
        <w:pStyle w:val="Heading2"/>
        <w:bidi w:val="0"/>
        <w:jc w:val="start"/>
        <w:rPr/>
      </w:pPr>
      <w:r>
        <w:rPr/>
        <w:t>3. Trial matching and availability</w:t>
      </w:r>
    </w:p>
    <w:p>
      <w:pPr>
        <w:pStyle w:val="BodyText"/>
        <w:bidi w:val="0"/>
        <w:jc w:val="start"/>
        <w:rPr/>
      </w:pPr>
      <w:r>
        <w:rPr/>
        <w:t>Flow eligibility is limited to one trial for each normalized verified account email. Text eligibility is limited to one trial for each payment card, enforced using a keyed hash of the Stripe card fingerprint after successful card setup. Deejai does not require a company registration number, business-domain verification, business telephone verification, IP identity or device identity for trial eligibility. IP/device signals are not a sole rejection reason. Deejai may decline or stop a trial for demonstrated fraud, unlawful use or material breach, without converting it into a paid service.</w:t>
      </w:r>
    </w:p>
    <w:p>
      <w:pPr>
        <w:pStyle w:val="Heading2"/>
        <w:bidi w:val="0"/>
        <w:jc w:val="start"/>
        <w:rPr/>
      </w:pPr>
      <w:r>
        <w:rPr/>
        <w:t>4. Data after trial</w:t>
      </w:r>
    </w:p>
    <w:p>
      <w:pPr>
        <w:pStyle w:val="BodyText"/>
        <w:bidi w:val="0"/>
        <w:jc w:val="start"/>
        <w:rPr/>
      </w:pPr>
      <w:r>
        <w:rPr/>
        <w:t>The ordinary DPA and currently enforced retention/erasure controls apply. The Merchant may submit an authorised export or erasure request subject to law and legal hold. Trial-claim records are retained as security and contract evidence for as long as the trial programme operates and then deleted under the approved erasure process, subject to legal hold.</w:t>
      </w:r>
    </w:p>
    <w:p>
      <w:pPr>
        <w:pStyle w:val="Heading1"/>
        <w:bidi w:val="0"/>
        <w:jc w:val="start"/>
        <w:rPr/>
      </w:pPr>
      <w:r>
        <w:rPr/>
        <w:t>Social Channels Exclusion Schedule</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15 August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Heading2"/>
        <w:bidi w:val="0"/>
        <w:jc w:val="start"/>
        <w:rPr/>
      </w:pPr>
      <w:r>
        <w:rPr/>
        <w:t>1. Initial release exclusion</w:t>
      </w:r>
    </w:p>
    <w:p>
      <w:pPr>
        <w:pStyle w:val="BodyText"/>
        <w:bidi w:val="0"/>
        <w:jc w:val="start"/>
        <w:rPr/>
      </w:pPr>
      <w:r>
        <w:rPr/>
        <w:t>The initial DJBOT release is website-only. LINE Official Account, Facebook Messenger, WhatsApp, Instagram and every other social or messaging channel are excluded, unavailable for purchase and not part of any trial, package or support commitment.</w:t>
      </w:r>
    </w:p>
    <w:p>
      <w:pPr>
        <w:pStyle w:val="Heading2"/>
        <w:bidi w:val="0"/>
        <w:jc w:val="start"/>
        <w:rPr/>
      </w:pPr>
      <w:r>
        <w:rPr/>
        <w:t>2. Fail-closed operation</w:t>
      </w:r>
    </w:p>
    <w:p>
      <w:pPr>
        <w:pStyle w:val="BodyText"/>
        <w:bidi w:val="0"/>
        <w:jc w:val="start"/>
        <w:rPr/>
      </w:pPr>
      <w:r>
        <w:rPr/>
        <w:t xml:space="preserve">Social code and interfaces may exist for development, but production must keep </w:t>
      </w:r>
      <w:r>
        <w:rPr>
          <w:rStyle w:val="SourceText"/>
        </w:rPr>
        <w:t>SOCIAL_CHANNELS_RELEASE_ENABLED=false</w:t>
      </w:r>
      <w:r>
        <w:rPr/>
        <w:t>. Credentials, webhooks and workers must remain disabled. A preview, dormant entitlement or catalogue reference does not authorize activation.</w:t>
      </w:r>
    </w:p>
    <w:p>
      <w:pPr>
        <w:pStyle w:val="Heading2"/>
        <w:bidi w:val="0"/>
        <w:jc w:val="start"/>
        <w:rPr/>
      </w:pPr>
      <w:r>
        <w:rPr/>
        <w:t>3. Future activation</w:t>
      </w:r>
    </w:p>
    <w:p>
      <w:pPr>
        <w:pStyle w:val="BodyText"/>
        <w:bidi w:val="0"/>
        <w:jc w:val="start"/>
        <w:rPr/>
      </w:pPr>
      <w:r>
        <w:rPr/>
        <w:t>A social channel may be offered only after a new approved product schedule identifies the channel, provider, price, allowance, reply rules, Merchant duties, data fields, retention, processing regions, subprocessors, transfer safeguards, outage responsibility, disconnect behavior and support scope. The Merchant must separately accept that schedule before connection.</w:t>
      </w:r>
    </w:p>
    <w:p>
      <w:pPr>
        <w:pStyle w:val="Heading2"/>
        <w:bidi w:val="0"/>
        <w:jc w:val="start"/>
        <w:rPr/>
      </w:pPr>
      <w:r>
        <w:rPr/>
        <w:t>4. No current social recipient</w:t>
      </w:r>
    </w:p>
    <w:p>
      <w:pPr>
        <w:pStyle w:val="BodyText"/>
        <w:bidi w:val="0"/>
        <w:jc w:val="start"/>
        <w:rPr/>
      </w:pPr>
      <w:r>
        <w:rPr/>
        <w:t>Because social channels are excluded, LINE and Meta are not current DJBOT subprocessors for the initial release and receive no DJBOT production customer data through the Service.</w:t>
      </w:r>
    </w:p>
    <w:p>
      <w:pPr>
        <w:pStyle w:val="Heading1"/>
        <w:bidi w:val="0"/>
        <w:jc w:val="start"/>
        <w:rPr/>
      </w:pPr>
      <w:r>
        <w:rPr/>
        <w:t>DJBOT Acceptable Use Policy</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Rule</w:t>
      </w:r>
    </w:p>
    <w:p>
      <w:pPr>
        <w:pStyle w:val="BodyText"/>
        <w:bidi w:val="0"/>
        <w:jc w:val="start"/>
        <w:rPr/>
      </w:pPr>
      <w:r>
        <w:rPr/>
        <w:t>Use only for lawful, transparent and proportionate business communication. Merchant is responsible for flows, prompts, sources, lists, channels and instructions.</w:t>
      </w:r>
    </w:p>
    <w:p>
      <w:pPr>
        <w:pStyle w:val="Heading2"/>
        <w:bidi w:val="0"/>
        <w:jc w:val="start"/>
        <w:rPr/>
      </w:pPr>
      <w:r>
        <w:rPr/>
        <w:t>2. Prohibited uses</w:t>
      </w:r>
    </w:p>
    <w:p>
      <w:pPr>
        <w:pStyle w:val="BodyText"/>
        <w:numPr>
          <w:ilvl w:val="0"/>
          <w:numId w:val="1"/>
        </w:numPr>
        <w:tabs>
          <w:tab w:val="clear" w:pos="1134"/>
          <w:tab w:val="left" w:pos="709" w:leader="none"/>
        </w:tabs>
        <w:bidi w:val="0"/>
        <w:spacing w:before="0" w:after="0"/>
        <w:ind w:hanging="283" w:start="709"/>
        <w:jc w:val="start"/>
        <w:rPr/>
      </w:pPr>
      <w:r>
        <w:rPr/>
        <w:t>Fraud, deception, theft, unlawful surveillance or illegal trade.</w:t>
      </w:r>
    </w:p>
    <w:p>
      <w:pPr>
        <w:pStyle w:val="BodyText"/>
        <w:numPr>
          <w:ilvl w:val="0"/>
          <w:numId w:val="1"/>
        </w:numPr>
        <w:tabs>
          <w:tab w:val="clear" w:pos="1134"/>
          <w:tab w:val="left" w:pos="709" w:leader="none"/>
        </w:tabs>
        <w:bidi w:val="0"/>
        <w:spacing w:before="0" w:after="0"/>
        <w:ind w:hanging="283" w:start="709"/>
        <w:jc w:val="start"/>
        <w:rPr/>
      </w:pPr>
      <w:r>
        <w:rPr/>
        <w:t>Harassment, threats, exploitation or unlawful discrimination.</w:t>
      </w:r>
    </w:p>
    <w:p>
      <w:pPr>
        <w:pStyle w:val="BodyText"/>
        <w:numPr>
          <w:ilvl w:val="0"/>
          <w:numId w:val="1"/>
        </w:numPr>
        <w:tabs>
          <w:tab w:val="clear" w:pos="1134"/>
          <w:tab w:val="left" w:pos="709" w:leader="none"/>
        </w:tabs>
        <w:bidi w:val="0"/>
        <w:spacing w:before="0" w:after="0"/>
        <w:ind w:hanging="283" w:start="709"/>
        <w:jc w:val="start"/>
        <w:rPr/>
      </w:pPr>
      <w:r>
        <w:rPr/>
        <w:t>Malware, phishing or harmful code.</w:t>
      </w:r>
    </w:p>
    <w:p>
      <w:pPr>
        <w:pStyle w:val="BodyText"/>
        <w:numPr>
          <w:ilvl w:val="0"/>
          <w:numId w:val="1"/>
        </w:numPr>
        <w:tabs>
          <w:tab w:val="clear" w:pos="1134"/>
          <w:tab w:val="left" w:pos="709" w:leader="none"/>
        </w:tabs>
        <w:bidi w:val="0"/>
        <w:spacing w:before="0" w:after="0"/>
        <w:ind w:hanging="283" w:start="709"/>
        <w:jc w:val="start"/>
        <w:rPr/>
      </w:pPr>
      <w:r>
        <w:rPr/>
        <w:t>Password, PIN, OTP, full card or authentication-secret collection.</w:t>
      </w:r>
    </w:p>
    <w:p>
      <w:pPr>
        <w:pStyle w:val="BodyText"/>
        <w:numPr>
          <w:ilvl w:val="0"/>
          <w:numId w:val="1"/>
        </w:numPr>
        <w:tabs>
          <w:tab w:val="clear" w:pos="1134"/>
          <w:tab w:val="left" w:pos="709" w:leader="none"/>
        </w:tabs>
        <w:bidi w:val="0"/>
        <w:spacing w:before="0" w:after="0"/>
        <w:ind w:hanging="283" w:start="709"/>
        <w:jc w:val="start"/>
        <w:rPr/>
      </w:pPr>
      <w:r>
        <w:rPr/>
        <w:t>Deceptive impersonation.</w:t>
      </w:r>
    </w:p>
    <w:p>
      <w:pPr>
        <w:pStyle w:val="BodyText"/>
        <w:numPr>
          <w:ilvl w:val="0"/>
          <w:numId w:val="1"/>
        </w:numPr>
        <w:tabs>
          <w:tab w:val="clear" w:pos="1134"/>
          <w:tab w:val="left" w:pos="709" w:leader="none"/>
        </w:tabs>
        <w:bidi w:val="0"/>
        <w:spacing w:before="0" w:after="0"/>
        <w:ind w:hanging="283" w:start="709"/>
        <w:jc w:val="start"/>
        <w:rPr/>
      </w:pPr>
      <w:r>
        <w:rPr/>
        <w:t>Spam or marketing without lawful basis and opt-out.</w:t>
      </w:r>
    </w:p>
    <w:p>
      <w:pPr>
        <w:pStyle w:val="BodyText"/>
        <w:numPr>
          <w:ilvl w:val="0"/>
          <w:numId w:val="1"/>
        </w:numPr>
        <w:tabs>
          <w:tab w:val="clear" w:pos="1134"/>
          <w:tab w:val="left" w:pos="709" w:leader="none"/>
        </w:tabs>
        <w:bidi w:val="0"/>
        <w:spacing w:before="0" w:after="0"/>
        <w:ind w:hanging="283" w:start="709"/>
        <w:jc w:val="start"/>
        <w:rPr/>
      </w:pPr>
      <w:r>
        <w:rPr/>
        <w:t>Scraping, probing, overloading, bypassing limits or interfering with security.</w:t>
      </w:r>
    </w:p>
    <w:p>
      <w:pPr>
        <w:pStyle w:val="BodyText"/>
        <w:numPr>
          <w:ilvl w:val="0"/>
          <w:numId w:val="1"/>
        </w:numPr>
        <w:tabs>
          <w:tab w:val="clear" w:pos="1134"/>
          <w:tab w:val="left" w:pos="709" w:leader="none"/>
        </w:tabs>
        <w:bidi w:val="0"/>
        <w:spacing w:before="0" w:after="0"/>
        <w:ind w:hanging="283" w:start="709"/>
        <w:jc w:val="start"/>
        <w:rPr/>
      </w:pPr>
      <w:r>
        <w:rPr/>
        <w:t>Intentional sensitive-data collection without written approval.</w:t>
      </w:r>
    </w:p>
    <w:p>
      <w:pPr>
        <w:pStyle w:val="BodyText"/>
        <w:numPr>
          <w:ilvl w:val="0"/>
          <w:numId w:val="1"/>
        </w:numPr>
        <w:tabs>
          <w:tab w:val="clear" w:pos="1134"/>
          <w:tab w:val="left" w:pos="709" w:leader="none"/>
        </w:tabs>
        <w:bidi w:val="0"/>
        <w:spacing w:before="0" w:after="0"/>
        <w:ind w:hanging="283" w:start="709"/>
        <w:jc w:val="start"/>
        <w:rPr/>
      </w:pPr>
      <w:r>
        <w:rPr/>
        <w:t>Child-directed collection without guardian process.</w:t>
      </w:r>
    </w:p>
    <w:p>
      <w:pPr>
        <w:pStyle w:val="BodyText"/>
        <w:numPr>
          <w:ilvl w:val="0"/>
          <w:numId w:val="1"/>
        </w:numPr>
        <w:tabs>
          <w:tab w:val="clear" w:pos="1134"/>
          <w:tab w:val="left" w:pos="709" w:leader="none"/>
        </w:tabs>
        <w:bidi w:val="0"/>
        <w:spacing w:before="0" w:after="0"/>
        <w:ind w:hanging="283" w:start="709"/>
        <w:jc w:val="start"/>
        <w:rPr/>
      </w:pPr>
      <w:r>
        <w:rPr/>
        <w:t>Emergency dispatch claims.</w:t>
      </w:r>
    </w:p>
    <w:p>
      <w:pPr>
        <w:pStyle w:val="BodyText"/>
        <w:numPr>
          <w:ilvl w:val="0"/>
          <w:numId w:val="1"/>
        </w:numPr>
        <w:tabs>
          <w:tab w:val="clear" w:pos="1134"/>
          <w:tab w:val="left" w:pos="709" w:leader="none"/>
        </w:tabs>
        <w:bidi w:val="0"/>
        <w:spacing w:before="0" w:after="0"/>
        <w:ind w:hanging="283" w:start="709"/>
        <w:jc w:val="start"/>
        <w:rPr/>
      </w:pPr>
      <w:r>
        <w:rPr/>
        <w:t>Final high-impact decisions.</w:t>
      </w:r>
    </w:p>
    <w:p>
      <w:pPr>
        <w:pStyle w:val="BodyText"/>
        <w:numPr>
          <w:ilvl w:val="0"/>
          <w:numId w:val="1"/>
        </w:numPr>
        <w:tabs>
          <w:tab w:val="clear" w:pos="1134"/>
          <w:tab w:val="left" w:pos="709" w:leader="none"/>
        </w:tabs>
        <w:bidi w:val="0"/>
        <w:spacing w:before="0" w:after="0"/>
        <w:ind w:hanging="283" w:start="709"/>
        <w:jc w:val="start"/>
        <w:rPr/>
      </w:pPr>
      <w:r>
        <w:rPr/>
        <w:t>Unreviewed personalised medical diagnosis/prescription, final legal or investment advice.</w:t>
      </w:r>
    </w:p>
    <w:p>
      <w:pPr>
        <w:pStyle w:val="BodyText"/>
        <w:numPr>
          <w:ilvl w:val="0"/>
          <w:numId w:val="1"/>
        </w:numPr>
        <w:tabs>
          <w:tab w:val="clear" w:pos="1134"/>
          <w:tab w:val="left" w:pos="709" w:leader="none"/>
        </w:tabs>
        <w:bidi w:val="0"/>
        <w:spacing w:before="0" w:after="0"/>
        <w:ind w:hanging="283" w:start="709"/>
        <w:jc w:val="start"/>
        <w:rPr/>
      </w:pPr>
      <w:r>
        <w:rPr/>
        <w:t>IP/privacy/confidentiality infringement.</w:t>
      </w:r>
    </w:p>
    <w:p>
      <w:pPr>
        <w:pStyle w:val="BodyText"/>
        <w:numPr>
          <w:ilvl w:val="0"/>
          <w:numId w:val="1"/>
        </w:numPr>
        <w:tabs>
          <w:tab w:val="clear" w:pos="1134"/>
          <w:tab w:val="left" w:pos="709" w:leader="none"/>
        </w:tabs>
        <w:bidi w:val="0"/>
        <w:spacing w:before="0" w:after="0"/>
        <w:ind w:hanging="283" w:start="709"/>
        <w:jc w:val="start"/>
        <w:rPr/>
      </w:pPr>
      <w:r>
        <w:rPr/>
        <w:t>Unauthorised resale, white-label or sublicensing.</w:t>
      </w:r>
    </w:p>
    <w:p>
      <w:pPr>
        <w:pStyle w:val="BodyText"/>
        <w:numPr>
          <w:ilvl w:val="0"/>
          <w:numId w:val="1"/>
        </w:numPr>
        <w:tabs>
          <w:tab w:val="clear" w:pos="1134"/>
          <w:tab w:val="left" w:pos="709" w:leader="none"/>
        </w:tabs>
        <w:bidi w:val="0"/>
        <w:ind w:hanging="283" w:start="709"/>
        <w:jc w:val="start"/>
        <w:rPr/>
      </w:pPr>
      <w:r>
        <w:rPr/>
        <w:t>Circumventing or falsifying consent.</w:t>
      </w:r>
    </w:p>
    <w:p>
      <w:pPr>
        <w:pStyle w:val="Heading2"/>
        <w:bidi w:val="0"/>
        <w:jc w:val="start"/>
        <w:rPr/>
      </w:pPr>
      <w:r>
        <w:rPr/>
        <w:t>3. Restricted sectors</w:t>
      </w:r>
    </w:p>
    <w:p>
      <w:pPr>
        <w:pStyle w:val="BodyText"/>
        <w:bidi w:val="0"/>
        <w:jc w:val="start"/>
        <w:rPr/>
      </w:pPr>
      <w:r>
        <w:rPr/>
        <w:t>Healthcare, finance, insurance, legal, education, recruitment and child-related businesses may use general information, administrative enquiries, appointments and human follow-up. Higher-risk use requires separate approval.</w:t>
      </w:r>
    </w:p>
    <w:p>
      <w:pPr>
        <w:pStyle w:val="Heading2"/>
        <w:bidi w:val="0"/>
        <w:jc w:val="start"/>
        <w:rPr/>
      </w:pPr>
      <w:r>
        <w:rPr/>
        <w:t>4. Enforcement/reporting</w:t>
      </w:r>
    </w:p>
    <w:p>
      <w:pPr>
        <w:pStyle w:val="BodyText"/>
        <w:bidi w:val="0"/>
        <w:jc w:val="start"/>
        <w:rPr/>
      </w:pPr>
      <w:r>
        <w:rPr/>
        <w:t>Deejai may investigate, disable flows/features, suspend, preserve evidence or terminate. Urgent action may be without notice. Report abuse to legal@djai.academy or security@djai.academy.</w:t>
      </w:r>
    </w:p>
    <w:p>
      <w:pPr>
        <w:pStyle w:val="Heading1"/>
        <w:bidi w:val="0"/>
        <w:jc w:val="start"/>
        <w:rPr/>
      </w:pPr>
      <w:r>
        <w:rPr/>
        <w:t>Merchant Data Processing Agreement</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Parties and scope</w:t>
      </w:r>
    </w:p>
    <w:p>
      <w:pPr>
        <w:pStyle w:val="BodyText"/>
        <w:bidi w:val="0"/>
        <w:jc w:val="start"/>
        <w:rPr/>
      </w:pPr>
      <w:r>
        <w:rPr/>
        <w:t>This DPA forms part of the Master Terms. Merchant is controller and DEEJAI LAB CO., LTD. processor for Personal Data processed on Merchant instructions. It is accepted electronically during registration.</w:t>
      </w:r>
    </w:p>
    <w:p>
      <w:pPr>
        <w:pStyle w:val="Heading2"/>
        <w:bidi w:val="0"/>
        <w:jc w:val="start"/>
        <w:rPr/>
      </w:pPr>
      <w:r>
        <w:rPr/>
        <w:t>2. Definitions</w:t>
      </w:r>
    </w:p>
    <w:p>
      <w:pPr>
        <w:pStyle w:val="BodyText"/>
        <w:bidi w:val="0"/>
        <w:jc w:val="start"/>
        <w:rPr/>
      </w:pPr>
      <w:r>
        <w:rPr/>
        <w:t>PDPA meanings apply. "Merchant Personal Data" means end-customer/staff data processed for Merchant purposes. "Subprocessor" means a processor appointed by Deejai.</w:t>
      </w:r>
    </w:p>
    <w:p>
      <w:pPr>
        <w:pStyle w:val="Heading2"/>
        <w:bidi w:val="0"/>
        <w:jc w:val="start"/>
        <w:rPr/>
      </w:pPr>
      <w:r>
        <w:rPr/>
        <w:t>3. Instructions</w:t>
      </w:r>
    </w:p>
    <w:p>
      <w:pPr>
        <w:pStyle w:val="BodyText"/>
        <w:bidi w:val="0"/>
        <w:jc w:val="start"/>
        <w:rPr/>
      </w:pPr>
      <w:r>
        <w:rPr/>
        <w:t>Deejai processes Merchant Personal Data only to provide, secure, support and improve the subscribed Merchant service, follow documented instructions and comply with law. Terms, schedules, settings and support requests are instructions. An unlawful instruction may be suspended and disclosed to Merchant unless prohibited.</w:t>
      </w:r>
    </w:p>
    <w:p>
      <w:pPr>
        <w:pStyle w:val="BodyText"/>
        <w:bidi w:val="0"/>
        <w:jc w:val="start"/>
        <w:rPr/>
      </w:pPr>
      <w:r>
        <w:rPr/>
        <w:t>Deejai marketing, partner marketing and model development are separate controller activities and not authorised by this DPA.</w:t>
      </w:r>
    </w:p>
    <w:p>
      <w:pPr>
        <w:pStyle w:val="Heading2"/>
        <w:bidi w:val="0"/>
        <w:jc w:val="start"/>
        <w:rPr/>
      </w:pPr>
      <w:r>
        <w:rPr/>
        <w:t>4. Merchant obligations</w:t>
      </w:r>
    </w:p>
    <w:p>
      <w:pPr>
        <w:pStyle w:val="BodyText"/>
        <w:bidi w:val="0"/>
        <w:jc w:val="start"/>
        <w:rPr/>
      </w:pPr>
      <w:r>
        <w:rPr/>
        <w:t>Merchant warrants authority and lawful basis; must provide notices, minimise data, avoid prohibited categories, maintain accuracy, respond to Data Subjects and not instruct unlawful processing.</w:t>
      </w:r>
    </w:p>
    <w:p>
      <w:pPr>
        <w:pStyle w:val="Heading2"/>
        <w:bidi w:val="0"/>
        <w:jc w:val="start"/>
        <w:rPr/>
      </w:pPr>
      <w:r>
        <w:rPr/>
        <w:t>5. Personnel/confidentiality</w:t>
      </w:r>
    </w:p>
    <w:p>
      <w:pPr>
        <w:pStyle w:val="BodyText"/>
        <w:bidi w:val="0"/>
        <w:jc w:val="start"/>
        <w:rPr/>
      </w:pPr>
      <w:r>
        <w:rPr/>
        <w:t>Authorised personnel are subject to confidentiality and role-appropriate access.</w:t>
      </w:r>
    </w:p>
    <w:p>
      <w:pPr>
        <w:pStyle w:val="Heading2"/>
        <w:bidi w:val="0"/>
        <w:jc w:val="start"/>
        <w:rPr/>
      </w:pPr>
      <w:r>
        <w:rPr/>
        <w:t>6. Security</w:t>
      </w:r>
    </w:p>
    <w:p>
      <w:pPr>
        <w:pStyle w:val="BodyText"/>
        <w:bidi w:val="0"/>
        <w:jc w:val="start"/>
        <w:rPr/>
      </w:pPr>
      <w:r>
        <w:rPr/>
        <w:t>Deejai maintains reasonable measures in Schedule 2, considering nature/risk/state of art/cost. Security commitments are a program, not a guarantee against all incidents.</w:t>
      </w:r>
    </w:p>
    <w:p>
      <w:pPr>
        <w:pStyle w:val="Heading2"/>
        <w:bidi w:val="0"/>
        <w:jc w:val="start"/>
        <w:rPr/>
      </w:pPr>
      <w:r>
        <w:rPr/>
        <w:t>7. Subprocessors</w:t>
      </w:r>
    </w:p>
    <w:p>
      <w:pPr>
        <w:pStyle w:val="BodyText"/>
        <w:bidi w:val="0"/>
        <w:jc w:val="start"/>
        <w:rPr/>
      </w:pPr>
      <w:r>
        <w:rPr/>
        <w:t>Merchant gives general authorisation for Schedule 3 providers. Deejai imposes appropriate obligations and remains responsible as required. Material new subprocessors receive reasonable notice; Merchant may object on substantiated protection grounds. If no solution, the affected Service may be terminated without future renewal liability.</w:t>
      </w:r>
    </w:p>
    <w:p>
      <w:pPr>
        <w:pStyle w:val="Heading2"/>
        <w:bidi w:val="0"/>
        <w:jc w:val="start"/>
        <w:rPr/>
      </w:pPr>
      <w:r>
        <w:rPr/>
        <w:t>8. Transfers</w:t>
      </w:r>
    </w:p>
    <w:p>
      <w:pPr>
        <w:pStyle w:val="BodyText"/>
        <w:bidi w:val="0"/>
        <w:jc w:val="start"/>
        <w:rPr/>
      </w:pPr>
      <w:r>
        <w:rPr/>
        <w:t>Merchant Personal Data is currently processed through Neon/AWS in Ohio, USA. Deejai documents safeguards and updates the notice only after verified migration.</w:t>
      </w:r>
    </w:p>
    <w:p>
      <w:pPr>
        <w:pStyle w:val="Heading2"/>
        <w:bidi w:val="0"/>
        <w:jc w:val="start"/>
        <w:rPr/>
      </w:pPr>
      <w:r>
        <w:rPr/>
        <w:t>9. Rights assistance</w:t>
      </w:r>
    </w:p>
    <w:p>
      <w:pPr>
        <w:pStyle w:val="BodyText"/>
        <w:bidi w:val="0"/>
        <w:jc w:val="start"/>
        <w:rPr/>
      </w:pPr>
      <w:r>
        <w:rPr/>
        <w:t>Merchant decides/responds to requests for Merchant purposes. Deejai assists through available export/erasure jobs, subject to authentication, rate limits, legal holds and residuals. Direct requesters may be referred to Merchant.</w:t>
      </w:r>
    </w:p>
    <w:p>
      <w:pPr>
        <w:pStyle w:val="Heading2"/>
        <w:bidi w:val="0"/>
        <w:jc w:val="start"/>
        <w:rPr/>
      </w:pPr>
      <w:r>
        <w:rPr/>
        <w:t>10. Erasure</w:t>
      </w:r>
    </w:p>
    <w:p>
      <w:pPr>
        <w:pStyle w:val="BodyText"/>
        <w:bidi w:val="0"/>
        <w:jc w:val="start"/>
        <w:rPr/>
      </w:pPr>
      <w:r>
        <w:rPr/>
        <w:t>Current erasure removes/replaces identifying content and may retain non-identifying shells for integrity, audit or legal hold. It is not removal of every row. Backups/provider copies expire under implemented controls.</w:t>
      </w:r>
    </w:p>
    <w:p>
      <w:pPr>
        <w:pStyle w:val="Heading2"/>
        <w:bidi w:val="0"/>
        <w:jc w:val="start"/>
        <w:rPr/>
      </w:pPr>
      <w:r>
        <w:rPr/>
        <w:t>11. Breach</w:t>
      </w:r>
    </w:p>
    <w:p>
      <w:pPr>
        <w:pStyle w:val="BodyText"/>
        <w:bidi w:val="0"/>
        <w:jc w:val="start"/>
        <w:rPr/>
      </w:pPr>
      <w:r>
        <w:rPr/>
        <w:t>Deejai notifies Merchant without undue delay after confirming a breach affecting Merchant data and provides available information. Merchant remains responsible for controller notifications; Deejai cooperates and may make notices required of it.</w:t>
      </w:r>
    </w:p>
    <w:p>
      <w:pPr>
        <w:pStyle w:val="Heading2"/>
        <w:bidi w:val="0"/>
        <w:jc w:val="start"/>
        <w:rPr/>
      </w:pPr>
      <w:r>
        <w:rPr/>
        <w:t>12. Records/audits</w:t>
      </w:r>
    </w:p>
    <w:p>
      <w:pPr>
        <w:pStyle w:val="BodyText"/>
        <w:bidi w:val="0"/>
        <w:jc w:val="start"/>
        <w:rPr/>
      </w:pPr>
      <w:r>
        <w:rPr/>
        <w:t>Deejai maintains required records and provides reasonable compliance information. Audits normally use policies, certifications, reports, questionnaires and remote review. On-site audit is limited to legal requirement or material unresolved evidence and is subject to confidentiality, scope, security and cost.</w:t>
      </w:r>
    </w:p>
    <w:p>
      <w:pPr>
        <w:pStyle w:val="Heading2"/>
        <w:bidi w:val="0"/>
        <w:jc w:val="start"/>
        <w:rPr/>
      </w:pPr>
      <w:r>
        <w:rPr/>
        <w:t>13. DPIA assistance</w:t>
      </w:r>
    </w:p>
    <w:p>
      <w:pPr>
        <w:pStyle w:val="BodyText"/>
        <w:bidi w:val="0"/>
        <w:jc w:val="start"/>
        <w:rPr/>
      </w:pPr>
      <w:r>
        <w:rPr/>
        <w:t>Reasonable information is provided. Material custom work may be charged at agreed rates.</w:t>
      </w:r>
    </w:p>
    <w:p>
      <w:pPr>
        <w:pStyle w:val="Heading2"/>
        <w:bidi w:val="0"/>
        <w:jc w:val="start"/>
        <w:rPr/>
      </w:pPr>
      <w:r>
        <w:rPr/>
        <w:t>14. Return/deletion</w:t>
      </w:r>
    </w:p>
    <w:p>
      <w:pPr>
        <w:pStyle w:val="BodyText"/>
        <w:bidi w:val="0"/>
        <w:jc w:val="start"/>
        <w:rPr/>
      </w:pPr>
      <w:r>
        <w:rPr/>
        <w:t>Available exports may be obtained during the applicable window. After termination, data is returned/erased under implemented controls except law, claims, security evidence or legal hold. Current and target states appear in the Retention Standard.</w:t>
      </w:r>
    </w:p>
    <w:p>
      <w:pPr>
        <w:pStyle w:val="Heading2"/>
        <w:bidi w:val="0"/>
        <w:jc w:val="start"/>
        <w:rPr/>
      </w:pPr>
      <w:r>
        <w:rPr/>
        <w:t>15. Liability, precedence and term</w:t>
      </w:r>
    </w:p>
    <w:p>
      <w:pPr>
        <w:pStyle w:val="BodyText"/>
        <w:bidi w:val="0"/>
        <w:jc w:val="start"/>
        <w:rPr/>
      </w:pPr>
      <w:r>
        <w:rPr/>
        <w:t>Master Terms liability applies to the lawful extent. This DPA prevails for processing conflicts. It continues while Deejai processes Merchant data; protective clauses survive.</w:t>
      </w:r>
    </w:p>
    <w:p>
      <w:pPr>
        <w:pStyle w:val="Heading2"/>
        <w:bidi w:val="0"/>
        <w:jc w:val="start"/>
        <w:rPr/>
      </w:pPr>
      <w:r>
        <w:rPr/>
        <w:t>16. Contact</w:t>
      </w:r>
    </w:p>
    <w:p>
      <w:pPr>
        <w:pStyle w:val="BodyText"/>
        <w:bidi w:val="0"/>
        <w:jc w:val="start"/>
        <w:rPr/>
      </w:pPr>
      <w:r>
        <w:rPr/>
        <w:t>Privacy: privacy@djai.academy. Security: security@djai.academy. Address: 48/187 Soi Sukhumvit 64, Sukhumvit Road, Phra Khanong, Bangkok 10260, Thailand.</w:t>
      </w:r>
    </w:p>
    <w:p>
      <w:pPr>
        <w:pStyle w:val="Heading1"/>
        <w:bidi w:val="0"/>
        <w:jc w:val="start"/>
        <w:rPr/>
      </w:pPr>
      <w:r>
        <w:rPr/>
        <w:t>DPA Schedule 1 - Processing Details</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Subject matter and duration</w:t>
      </w:r>
    </w:p>
    <w:p>
      <w:pPr>
        <w:pStyle w:val="BodyText"/>
        <w:bidi w:val="0"/>
        <w:jc w:val="start"/>
        <w:rPr/>
      </w:pPr>
      <w:r>
        <w:rPr/>
        <w:t>Provision of DJBOT during subscription and applicable export, closure, backup and legal-retention periods.</w:t>
      </w:r>
    </w:p>
    <w:p>
      <w:pPr>
        <w:pStyle w:val="Heading2"/>
        <w:bidi w:val="0"/>
        <w:jc w:val="start"/>
        <w:rPr/>
      </w:pPr>
      <w:r>
        <w:rPr/>
        <w:t>Nature/purpose</w:t>
      </w:r>
    </w:p>
    <w:p>
      <w:pPr>
        <w:pStyle w:val="BodyText"/>
        <w:bidi w:val="0"/>
        <w:jc w:val="start"/>
        <w:rPr/>
      </w:pPr>
      <w:r>
        <w:rPr/>
        <w:t>Collection, validation, transmission, organisation, storage, retrieval, display, lead management, website messaging, export, erasure, security monitoring, support and backup as instructed. Social-channel delivery is excluded from the initial release.</w:t>
      </w:r>
    </w:p>
    <w:p>
      <w:pPr>
        <w:pStyle w:val="Heading2"/>
        <w:bidi w:val="0"/>
        <w:jc w:val="start"/>
        <w:rPr/>
      </w:pPr>
      <w:r>
        <w:rPr/>
        <w:t>Data subjects</w:t>
      </w:r>
    </w:p>
    <w:p>
      <w:pPr>
        <w:pStyle w:val="BodyText"/>
        <w:bidi w:val="0"/>
        <w:jc w:val="start"/>
        <w:rPr/>
      </w:pPr>
      <w:r>
        <w:rPr/>
        <w:t>Merchant customers/prospects, website visitors, Merchant staff administered for Merchant, and speakers when AI Voice is approved and active.</w:t>
      </w:r>
    </w:p>
    <w:p>
      <w:pPr>
        <w:pStyle w:val="Heading2"/>
        <w:bidi w:val="0"/>
        <w:jc w:val="start"/>
        <w:rPr/>
      </w:pPr>
      <w:r>
        <w:rPr/>
        <w:t>Data categories</w:t>
      </w:r>
    </w:p>
    <w:p>
      <w:pPr>
        <w:pStyle w:val="BodyText"/>
        <w:bidi w:val="0"/>
        <w:jc w:val="start"/>
        <w:rPr/>
      </w:pPr>
      <w:r>
        <w:rPr/>
        <w:t>Name/display name; email/telephone; contact preference; messages, answers and lead notes; opaque session/channel/deployment identifiers; appointment/general request data; voice audio/transcripts only if approved; knowledge sources only where an approved AI plan permits.</w:t>
      </w:r>
    </w:p>
    <w:p>
      <w:pPr>
        <w:pStyle w:val="Heading2"/>
        <w:bidi w:val="0"/>
        <w:jc w:val="start"/>
        <w:rPr/>
      </w:pPr>
      <w:r>
        <w:rPr/>
        <w:t>Special categories</w:t>
      </w:r>
    </w:p>
    <w:p>
      <w:pPr>
        <w:pStyle w:val="BodyText"/>
        <w:bidi w:val="0"/>
        <w:jc w:val="start"/>
        <w:rPr/>
      </w:pPr>
      <w:r>
        <w:rPr/>
        <w:t>Standard plans are not designed for sensitive data. Passwords, OTPs, full card data and authentication secrets are prohibited. Planned sensitive processing requires separate approval and impact assessment.</w:t>
      </w:r>
    </w:p>
    <w:p>
      <w:pPr>
        <w:pStyle w:val="Heading2"/>
        <w:bidi w:val="0"/>
        <w:jc w:val="start"/>
        <w:rPr/>
      </w:pPr>
      <w:r>
        <w:rPr/>
        <w:t>Current retention</w:t>
      </w:r>
    </w:p>
    <w:p>
      <w:pPr>
        <w:pStyle w:val="BodyText"/>
        <w:numPr>
          <w:ilvl w:val="0"/>
          <w:numId w:val="2"/>
        </w:numPr>
        <w:tabs>
          <w:tab w:val="clear" w:pos="1134"/>
          <w:tab w:val="left" w:pos="709" w:leader="none"/>
        </w:tabs>
        <w:bidi w:val="0"/>
        <w:spacing w:before="0" w:after="0"/>
        <w:ind w:hanging="283" w:start="709"/>
        <w:jc w:val="start"/>
        <w:rPr/>
      </w:pPr>
      <w:r>
        <w:rPr/>
        <w:t>Transcripts: default 365 days, configurable 30-730, then tombstone.</w:t>
      </w:r>
    </w:p>
    <w:p>
      <w:pPr>
        <w:pStyle w:val="BodyText"/>
        <w:numPr>
          <w:ilvl w:val="0"/>
          <w:numId w:val="2"/>
        </w:numPr>
        <w:tabs>
          <w:tab w:val="clear" w:pos="1134"/>
          <w:tab w:val="left" w:pos="709" w:leader="none"/>
        </w:tabs>
        <w:bidi w:val="0"/>
        <w:spacing w:before="0" w:after="0"/>
        <w:ind w:hanging="283" w:start="709"/>
        <w:jc w:val="start"/>
        <w:rPr/>
      </w:pPr>
      <w:r>
        <w:rPr/>
        <w:t>Contacts/leads: until erasure or closure; no time-based purge.</w:t>
      </w:r>
    </w:p>
    <w:p>
      <w:pPr>
        <w:pStyle w:val="BodyText"/>
        <w:numPr>
          <w:ilvl w:val="0"/>
          <w:numId w:val="2"/>
        </w:numPr>
        <w:tabs>
          <w:tab w:val="clear" w:pos="1134"/>
          <w:tab w:val="left" w:pos="709" w:leader="none"/>
        </w:tabs>
        <w:bidi w:val="0"/>
        <w:spacing w:before="0" w:after="0"/>
        <w:ind w:hanging="283" w:start="709"/>
        <w:jc w:val="start"/>
        <w:rPr/>
      </w:pPr>
      <w:r>
        <w:rPr/>
        <w:t>Privacy download: seven days; encrypted-row physical purge pending.</w:t>
      </w:r>
    </w:p>
    <w:p>
      <w:pPr>
        <w:pStyle w:val="BodyText"/>
        <w:numPr>
          <w:ilvl w:val="0"/>
          <w:numId w:val="2"/>
        </w:numPr>
        <w:tabs>
          <w:tab w:val="clear" w:pos="1134"/>
          <w:tab w:val="left" w:pos="709" w:leader="none"/>
        </w:tabs>
        <w:bidi w:val="0"/>
        <w:spacing w:before="0" w:after="0"/>
        <w:ind w:hanging="283" w:start="709"/>
        <w:jc w:val="start"/>
        <w:rPr/>
      </w:pPr>
      <w:r>
        <w:rPr/>
        <w:t>Voice recordings: disabled/zero.</w:t>
      </w:r>
    </w:p>
    <w:p>
      <w:pPr>
        <w:pStyle w:val="BodyText"/>
        <w:numPr>
          <w:ilvl w:val="0"/>
          <w:numId w:val="2"/>
        </w:numPr>
        <w:tabs>
          <w:tab w:val="clear" w:pos="1134"/>
          <w:tab w:val="left" w:pos="709" w:leader="none"/>
        </w:tabs>
        <w:bidi w:val="0"/>
        <w:ind w:hanging="283" w:start="709"/>
        <w:jc w:val="start"/>
        <w:rPr/>
      </w:pPr>
      <w:r>
        <w:rPr/>
        <w:t>Billing/tax controller data: seven years.</w:t>
      </w:r>
    </w:p>
    <w:p>
      <w:pPr>
        <w:pStyle w:val="Heading2"/>
        <w:bidi w:val="0"/>
        <w:jc w:val="start"/>
        <w:rPr/>
      </w:pPr>
      <w:r>
        <w:rPr/>
        <w:t>Target after verification</w:t>
      </w:r>
    </w:p>
    <w:p>
      <w:pPr>
        <w:pStyle w:val="BodyText"/>
        <w:bidi w:val="0"/>
        <w:jc w:val="start"/>
        <w:rPr/>
      </w:pPr>
      <w:r>
        <w:rPr/>
        <w:t>Contacts/leads 24 months inactivity; read-only/reactivation 30 days; production purge; backups within 30 days; app logs 30 days; security/audit 24 months except legal/immutable evidence.</w:t>
      </w:r>
    </w:p>
    <w:p>
      <w:pPr>
        <w:pStyle w:val="Heading2"/>
        <w:bidi w:val="0"/>
        <w:jc w:val="start"/>
        <w:rPr/>
      </w:pPr>
      <w:r>
        <w:rPr/>
        <w:t>Location</w:t>
      </w:r>
    </w:p>
    <w:p>
      <w:pPr>
        <w:pStyle w:val="BodyText"/>
        <w:bidi w:val="0"/>
        <w:jc w:val="start"/>
        <w:rPr/>
      </w:pPr>
      <w:r>
        <w:rPr/>
        <w:t xml:space="preserve">Current primary database: Neon on AWS </w:t>
      </w:r>
      <w:r>
        <w:rPr>
          <w:rStyle w:val="SourceText"/>
        </w:rPr>
        <w:t>us-east-2</w:t>
      </w:r>
      <w:r>
        <w:rPr/>
        <w:t>, Ohio, USA. Planned GCP Asia is not active until verified.</w:t>
      </w:r>
    </w:p>
    <w:p>
      <w:pPr>
        <w:pStyle w:val="Heading1"/>
        <w:bidi w:val="0"/>
        <w:jc w:val="start"/>
        <w:rPr/>
      </w:pPr>
      <w:r>
        <w:rPr/>
        <w:t>DPA Schedule 2 - Technical and Organisational Measures</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Governance/access</w:t>
      </w:r>
    </w:p>
    <w:p>
      <w:pPr>
        <w:pStyle w:val="BodyText"/>
        <w:bidi w:val="0"/>
        <w:jc w:val="start"/>
        <w:rPr/>
      </w:pPr>
      <w:r>
        <w:rPr/>
        <w:t>Assigned security/privacy responsibilities, change control, access approval, incident escalation, vendor review and legal release gates. Role-based least privilege, re-authentication for privacy jobs, access removal, tenant/workspace separation and admin logging.</w:t>
      </w:r>
    </w:p>
    <w:p>
      <w:pPr>
        <w:pStyle w:val="Heading2"/>
        <w:bidi w:val="0"/>
        <w:jc w:val="start"/>
        <w:rPr/>
      </w:pPr>
      <w:r>
        <w:rPr/>
        <w:t>Data/application protection</w:t>
      </w:r>
    </w:p>
    <w:p>
      <w:pPr>
        <w:pStyle w:val="BodyText"/>
        <w:bidi w:val="0"/>
        <w:jc w:val="start"/>
        <w:rPr/>
      </w:pPr>
      <w:r>
        <w:rPr/>
        <w:t>Transport encryption; at-rest encryption where provided by approved host; credential/identifier protection; Stripe-hosted full-card data; logical separation of processor data from Deejai marketing/model datasets; input validation, origin allowlisting, rate limiting, secure configuration/secrets, dependency review and minimised logs.</w:t>
      </w:r>
    </w:p>
    <w:p>
      <w:pPr>
        <w:pStyle w:val="Heading2"/>
        <w:bidi w:val="0"/>
        <w:jc w:val="start"/>
        <w:rPr/>
      </w:pPr>
      <w:r>
        <w:rPr/>
        <w:t>Availability/recovery</w:t>
      </w:r>
    </w:p>
    <w:p>
      <w:pPr>
        <w:pStyle w:val="BodyText"/>
        <w:bidi w:val="0"/>
        <w:jc w:val="start"/>
        <w:rPr/>
      </w:pPr>
      <w:r>
        <w:rPr/>
        <w:t>Backups and restoration follow verified architecture. Planned GCP Cloud SQL has 30 retained backups and seven days transaction logs, subject to deployment verification. No customer SLA without signed enterprise terms.</w:t>
      </w:r>
    </w:p>
    <w:p>
      <w:pPr>
        <w:pStyle w:val="Heading2"/>
        <w:bidi w:val="0"/>
        <w:jc w:val="start"/>
        <w:rPr/>
      </w:pPr>
      <w:r>
        <w:rPr/>
        <w:t>Erasure/retention</w:t>
      </w:r>
    </w:p>
    <w:p>
      <w:pPr>
        <w:pStyle w:val="BodyText"/>
        <w:bidi w:val="0"/>
        <w:jc w:val="start"/>
        <w:rPr/>
      </w:pPr>
      <w:r>
        <w:rPr/>
        <w:t>Transcript tombstoning; seven-day export link; erasure of contact attributes with non-identifying shells; documented legal holds. Contact auto-retention and export-object purge are launch-gated.</w:t>
      </w:r>
    </w:p>
    <w:p>
      <w:pPr>
        <w:pStyle w:val="Heading2"/>
        <w:bidi w:val="0"/>
        <w:jc w:val="start"/>
        <w:rPr/>
      </w:pPr>
      <w:r>
        <w:rPr/>
        <w:t>Model controls</w:t>
      </w:r>
    </w:p>
    <w:p>
      <w:pPr>
        <w:pStyle w:val="BodyText"/>
        <w:bidi w:val="0"/>
        <w:jc w:val="start"/>
        <w:rPr/>
      </w:pPr>
      <w:r>
        <w:rPr/>
        <w:t>Separate consent, direct-identifier removal, free-text screening/quarantine, child/sensitive exclusion, dataset registry/provenance/access and no use of processor data without separate controller workflow.</w:t>
      </w:r>
    </w:p>
    <w:p>
      <w:pPr>
        <w:pStyle w:val="Heading2"/>
        <w:bidi w:val="0"/>
        <w:jc w:val="start"/>
        <w:rPr/>
      </w:pPr>
      <w:r>
        <w:rPr/>
        <w:t>Personnel/incidents/review</w:t>
      </w:r>
    </w:p>
    <w:p>
      <w:pPr>
        <w:pStyle w:val="BodyText"/>
        <w:bidi w:val="0"/>
        <w:jc w:val="start"/>
        <w:rPr/>
      </w:pPr>
      <w:r>
        <w:rPr/>
        <w:t>Confidentiality and training; incident containment/investigation/notification; review after material architecture, incidents, products or law changes.</w:t>
      </w:r>
    </w:p>
    <w:p>
      <w:pPr>
        <w:pStyle w:val="Heading1"/>
        <w:bidi w:val="0"/>
        <w:jc w:val="start"/>
        <w:rPr/>
      </w:pPr>
      <w:r>
        <w:rPr/>
        <w:t>DPA Schedule 3 - Subprocessors and External Platforms</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15 August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Current subprocessors</w:t>
      </w:r>
    </w:p>
    <w:tbl>
      <w:tblPr>
        <w:tblW w:w="7042" w:type="dxa"/>
        <w:jc w:val="start"/>
        <w:tblInd w:w="0" w:type="dxa"/>
        <w:tblLayout w:type="fixed"/>
        <w:tblCellMar>
          <w:top w:w="28" w:type="dxa"/>
          <w:start w:w="28" w:type="dxa"/>
          <w:bottom w:w="28" w:type="dxa"/>
          <w:end w:w="28" w:type="dxa"/>
        </w:tblCellMar>
      </w:tblPr>
      <w:tblGrid>
        <w:gridCol w:w="1131"/>
        <w:gridCol w:w="1891"/>
        <w:gridCol w:w="2325"/>
        <w:gridCol w:w="1695"/>
      </w:tblGrid>
      <w:tr>
        <w:trPr>
          <w:tblHeader w:val="true"/>
        </w:trPr>
        <w:tc>
          <w:tcPr>
            <w:tcW w:w="1131" w:type="dxa"/>
            <w:tcBorders/>
            <w:vAlign w:val="center"/>
          </w:tcPr>
          <w:p>
            <w:pPr>
              <w:pStyle w:val="TableHeading"/>
              <w:suppressLineNumbers/>
              <w:shd w:fill="173F35" w:val="clear"/>
              <w:bidi w:val="0"/>
              <w:spacing w:before="0" w:after="160"/>
              <w:jc w:val="start"/>
              <w:rPr/>
            </w:pPr>
            <w:r>
              <w:rPr/>
              <w:t>Provider</w:t>
            </w:r>
          </w:p>
        </w:tc>
        <w:tc>
          <w:tcPr>
            <w:tcW w:w="1891" w:type="dxa"/>
            <w:tcBorders/>
            <w:vAlign w:val="center"/>
          </w:tcPr>
          <w:p>
            <w:pPr>
              <w:pStyle w:val="TableHeading"/>
              <w:suppressLineNumbers/>
              <w:shd w:fill="173F35" w:val="clear"/>
              <w:bidi w:val="0"/>
              <w:spacing w:before="0" w:after="160"/>
              <w:jc w:val="start"/>
              <w:rPr/>
            </w:pPr>
            <w:r>
              <w:rPr/>
              <w:t>Purpose</w:t>
            </w:r>
          </w:p>
        </w:tc>
        <w:tc>
          <w:tcPr>
            <w:tcW w:w="2325" w:type="dxa"/>
            <w:tcBorders/>
            <w:vAlign w:val="center"/>
          </w:tcPr>
          <w:p>
            <w:pPr>
              <w:pStyle w:val="TableHeading"/>
              <w:suppressLineNumbers/>
              <w:shd w:fill="173F35" w:val="clear"/>
              <w:bidi w:val="0"/>
              <w:spacing w:before="0" w:after="160"/>
              <w:jc w:val="start"/>
              <w:rPr/>
            </w:pPr>
            <w:r>
              <w:rPr/>
              <w:t>Data</w:t>
            </w:r>
          </w:p>
        </w:tc>
        <w:tc>
          <w:tcPr>
            <w:tcW w:w="1695" w:type="dxa"/>
            <w:tcBorders/>
            <w:vAlign w:val="center"/>
          </w:tcPr>
          <w:p>
            <w:pPr>
              <w:pStyle w:val="TableHeading"/>
              <w:suppressLineNumbers/>
              <w:shd w:fill="173F35" w:val="clear"/>
              <w:bidi w:val="0"/>
              <w:spacing w:before="0" w:after="160"/>
              <w:jc w:val="start"/>
              <w:rPr/>
            </w:pPr>
            <w:r>
              <w:rPr/>
              <w:t>Status/region</w:t>
            </w:r>
          </w:p>
        </w:tc>
      </w:tr>
      <w:tr>
        <w:trPr/>
        <w:tc>
          <w:tcPr>
            <w:tcW w:w="1131" w:type="dxa"/>
            <w:tcBorders/>
            <w:vAlign w:val="center"/>
          </w:tcPr>
          <w:p>
            <w:pPr>
              <w:pStyle w:val="TableContents"/>
              <w:bidi w:val="0"/>
              <w:spacing w:before="0" w:after="160"/>
              <w:jc w:val="start"/>
              <w:rPr/>
            </w:pPr>
            <w:r>
              <w:rPr/>
              <w:t>Neon</w:t>
            </w:r>
          </w:p>
        </w:tc>
        <w:tc>
          <w:tcPr>
            <w:tcW w:w="1891" w:type="dxa"/>
            <w:tcBorders/>
            <w:vAlign w:val="center"/>
          </w:tcPr>
          <w:p>
            <w:pPr>
              <w:pStyle w:val="TableContents"/>
              <w:bidi w:val="0"/>
              <w:spacing w:before="0" w:after="160"/>
              <w:jc w:val="start"/>
              <w:rPr/>
            </w:pPr>
            <w:r>
              <w:rPr/>
              <w:t>Primary managed database</w:t>
            </w:r>
          </w:p>
        </w:tc>
        <w:tc>
          <w:tcPr>
            <w:tcW w:w="2325" w:type="dxa"/>
            <w:tcBorders/>
            <w:vAlign w:val="center"/>
          </w:tcPr>
          <w:p>
            <w:pPr>
              <w:pStyle w:val="TableContents"/>
              <w:bidi w:val="0"/>
              <w:spacing w:before="0" w:after="160"/>
              <w:jc w:val="start"/>
              <w:rPr/>
            </w:pPr>
            <w:r>
              <w:rPr/>
              <w:t>Tenant operations, contacts, leads, messages, account metadata</w:t>
            </w:r>
          </w:p>
        </w:tc>
        <w:tc>
          <w:tcPr>
            <w:tcW w:w="1695" w:type="dxa"/>
            <w:tcBorders/>
            <w:vAlign w:val="center"/>
          </w:tcPr>
          <w:p>
            <w:pPr>
              <w:pStyle w:val="TableContents"/>
              <w:bidi w:val="0"/>
              <w:spacing w:before="0" w:after="160"/>
              <w:jc w:val="start"/>
              <w:rPr/>
            </w:pPr>
            <w:r>
              <w:rPr/>
              <w:t xml:space="preserve">Active; AWS </w:t>
            </w:r>
            <w:r>
              <w:rPr>
                <w:rStyle w:val="SourceText"/>
              </w:rPr>
              <w:t>us-east-2</w:t>
            </w:r>
            <w:r>
              <w:rPr/>
              <w:t>, Ohio</w:t>
            </w:r>
          </w:p>
        </w:tc>
      </w:tr>
      <w:tr>
        <w:trPr/>
        <w:tc>
          <w:tcPr>
            <w:tcW w:w="1131" w:type="dxa"/>
            <w:tcBorders/>
            <w:vAlign w:val="center"/>
          </w:tcPr>
          <w:p>
            <w:pPr>
              <w:pStyle w:val="TableContents"/>
              <w:bidi w:val="0"/>
              <w:spacing w:before="0" w:after="160"/>
              <w:jc w:val="start"/>
              <w:rPr/>
            </w:pPr>
            <w:r>
              <w:rPr/>
              <w:t>Amazon Web Services</w:t>
            </w:r>
          </w:p>
        </w:tc>
        <w:tc>
          <w:tcPr>
            <w:tcW w:w="1891" w:type="dxa"/>
            <w:tcBorders/>
            <w:vAlign w:val="center"/>
          </w:tcPr>
          <w:p>
            <w:pPr>
              <w:pStyle w:val="TableContents"/>
              <w:bidi w:val="0"/>
              <w:spacing w:before="0" w:after="160"/>
              <w:jc w:val="start"/>
              <w:rPr/>
            </w:pPr>
            <w:r>
              <w:rPr/>
              <w:t>Neon infrastructure</w:t>
            </w:r>
          </w:p>
        </w:tc>
        <w:tc>
          <w:tcPr>
            <w:tcW w:w="2325" w:type="dxa"/>
            <w:tcBorders/>
            <w:vAlign w:val="center"/>
          </w:tcPr>
          <w:p>
            <w:pPr>
              <w:pStyle w:val="TableContents"/>
              <w:bidi w:val="0"/>
              <w:spacing w:before="0" w:after="160"/>
              <w:jc w:val="start"/>
              <w:rPr/>
            </w:pPr>
            <w:r>
              <w:rPr/>
              <w:t>Same data as technically necessary</w:t>
            </w:r>
          </w:p>
        </w:tc>
        <w:tc>
          <w:tcPr>
            <w:tcW w:w="1695" w:type="dxa"/>
            <w:tcBorders/>
            <w:vAlign w:val="center"/>
          </w:tcPr>
          <w:p>
            <w:pPr>
              <w:pStyle w:val="TableContents"/>
              <w:bidi w:val="0"/>
              <w:spacing w:before="0" w:after="160"/>
              <w:jc w:val="start"/>
              <w:rPr/>
            </w:pPr>
            <w:r>
              <w:rPr/>
              <w:t>Active; USA</w:t>
            </w:r>
          </w:p>
        </w:tc>
      </w:tr>
      <w:tr>
        <w:trPr/>
        <w:tc>
          <w:tcPr>
            <w:tcW w:w="1131" w:type="dxa"/>
            <w:tcBorders/>
            <w:vAlign w:val="center"/>
          </w:tcPr>
          <w:p>
            <w:pPr>
              <w:pStyle w:val="TableContents"/>
              <w:bidi w:val="0"/>
              <w:spacing w:before="0" w:after="160"/>
              <w:jc w:val="start"/>
              <w:rPr/>
            </w:pPr>
            <w:r>
              <w:rPr/>
              <w:t>Stripe</w:t>
            </w:r>
          </w:p>
        </w:tc>
        <w:tc>
          <w:tcPr>
            <w:tcW w:w="1891" w:type="dxa"/>
            <w:tcBorders/>
            <w:vAlign w:val="center"/>
          </w:tcPr>
          <w:p>
            <w:pPr>
              <w:pStyle w:val="TableContents"/>
              <w:bidi w:val="0"/>
              <w:spacing w:before="0" w:after="160"/>
              <w:jc w:val="start"/>
              <w:rPr/>
            </w:pPr>
            <w:r>
              <w:rPr/>
              <w:t>Checkout and billing only after a package becomes sellable</w:t>
            </w:r>
          </w:p>
        </w:tc>
        <w:tc>
          <w:tcPr>
            <w:tcW w:w="2325" w:type="dxa"/>
            <w:tcBorders/>
            <w:vAlign w:val="center"/>
          </w:tcPr>
          <w:p>
            <w:pPr>
              <w:pStyle w:val="TableContents"/>
              <w:bidi w:val="0"/>
              <w:spacing w:before="0" w:after="160"/>
              <w:jc w:val="start"/>
              <w:rPr/>
            </w:pPr>
            <w:r>
              <w:rPr/>
              <w:t>Merchant identity, email, order and subscription status, payment token; full card data stays with Stripe</w:t>
            </w:r>
          </w:p>
        </w:tc>
        <w:tc>
          <w:tcPr>
            <w:tcW w:w="1695" w:type="dxa"/>
            <w:tcBorders/>
            <w:vAlign w:val="center"/>
          </w:tcPr>
          <w:p>
            <w:pPr>
              <w:pStyle w:val="TableContents"/>
              <w:bidi w:val="0"/>
              <w:spacing w:before="0" w:after="160"/>
              <w:jc w:val="start"/>
              <w:rPr/>
            </w:pPr>
            <w:r>
              <w:rPr/>
              <w:t>Intended; no production charge is currently authorised</w:t>
            </w:r>
          </w:p>
        </w:tc>
      </w:tr>
    </w:tbl>
    <w:p>
      <w:pPr>
        <w:pStyle w:val="Heading2"/>
        <w:bidi w:val="0"/>
        <w:jc w:val="start"/>
        <w:rPr/>
      </w:pPr>
      <w:r>
        <w:rPr/>
        <w:t>2. Not appointed for production</w:t>
      </w:r>
    </w:p>
    <w:p>
      <w:pPr>
        <w:pStyle w:val="BodyText"/>
        <w:bidi w:val="0"/>
        <w:jc w:val="start"/>
        <w:rPr/>
      </w:pPr>
      <w:r>
        <w:rPr/>
        <w:t>Google Cloud is the selected future infrastructure direction, Resend is the recommended transactional-email provider, and OpenAI, Google Gemini and xAI Grok are provider candidates for AI Text and/or AI Voice. Google Live and OpenAI Realtime adapters currently exist; xAI is not yet implemented. None is listed as a current production subprocessor until the contracting entity, services, data, regions, retention, training settings, transfer safeguards and live acceptance are verified.</w:t>
      </w:r>
    </w:p>
    <w:p>
      <w:pPr>
        <w:pStyle w:val="BodyText"/>
        <w:bidi w:val="0"/>
        <w:jc w:val="start"/>
        <w:rPr/>
      </w:pPr>
      <w:r>
        <w:rPr/>
        <w:t>LINE, Meta and all other social providers are excluded from the initial release. No telephony carrier, analytics, Sentry, Cloudflare, support-platform or marketing partner is approved for production processing.</w:t>
      </w:r>
    </w:p>
    <w:p>
      <w:pPr>
        <w:pStyle w:val="Heading2"/>
        <w:bidi w:val="0"/>
        <w:jc w:val="start"/>
        <w:rPr/>
      </w:pPr>
      <w:r>
        <w:rPr/>
        <w:t>3. Change control</w:t>
      </w:r>
    </w:p>
    <w:p>
      <w:pPr>
        <w:pStyle w:val="BodyText"/>
        <w:bidi w:val="0"/>
        <w:jc w:val="start"/>
        <w:rPr/>
      </w:pPr>
      <w:r>
        <w:rPr/>
        <w:t>Stripe may also act as an independent controller for its own payment and compliance purposes when activated. Material subprocessor changes receive reasonable prior notice and the DPA objection process. A provider candidate, adapter, environment variable or dormant interface does not appoint that provider or authorise data transfer.</w:t>
      </w:r>
    </w:p>
    <w:p>
      <w:pPr>
        <w:pStyle w:val="Heading1"/>
        <w:bidi w:val="0"/>
        <w:jc w:val="start"/>
        <w:rPr/>
      </w:pPr>
      <w:r>
        <w:rPr/>
        <w:t>Customer Data Use Addendum</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15 August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Purpose and roles</w:t>
      </w:r>
    </w:p>
    <w:p>
      <w:pPr>
        <w:pStyle w:val="BodyText"/>
        <w:bidi w:val="0"/>
        <w:jc w:val="start"/>
        <w:rPr/>
      </w:pPr>
      <w:r>
        <w:rPr/>
        <w:t>This Addendum applies where an end customer separately chooses a Deejai-controlled purpose while using any Flow, AI Text or AI Voice service. Merchant controls enquiry, lead and Merchant-marketing purposes. Deejai controls its own marketing and separately consented model development. Partner disclosure is disabled for the initial release. Each party is independently responsible for its purpose, notice, basis, security, retention, rights and complaints.</w:t>
      </w:r>
    </w:p>
    <w:p>
      <w:pPr>
        <w:pStyle w:val="Heading2"/>
        <w:bidi w:val="0"/>
        <w:jc w:val="start"/>
        <w:rPr/>
      </w:pPr>
      <w:r>
        <w:rPr/>
        <w:t>2. Consent interface</w:t>
      </w:r>
    </w:p>
    <w:p>
      <w:pPr>
        <w:pStyle w:val="BodyText"/>
        <w:bidi w:val="0"/>
        <w:jc w:val="start"/>
        <w:rPr/>
      </w:pPr>
      <w:r>
        <w:rPr/>
        <w:t>Merchant must display Deejai controls exactly as approved. Each purpose is separate, optional, unticked and understandable. Refusal must not block the Merchant enquiry. Merchant must not select, infer, bundle, conceal or improperly reward consent.</w:t>
      </w:r>
    </w:p>
    <w:p>
      <w:pPr>
        <w:pStyle w:val="Heading2"/>
        <w:bidi w:val="0"/>
        <w:jc w:val="start"/>
        <w:rPr/>
      </w:pPr>
      <w:r>
        <w:rPr/>
        <w:t>3. Data separation</w:t>
      </w:r>
    </w:p>
    <w:p>
      <w:pPr>
        <w:pStyle w:val="BodyText"/>
        <w:bidi w:val="0"/>
        <w:jc w:val="start"/>
        <w:rPr/>
      </w:pPr>
      <w:r>
        <w:rPr/>
        <w:t>Processor data stays in the Merchant dataset. On opt-in, only necessary data may be copied to a logically separated Deejai-controller dataset with consent evidence and source deployment.</w:t>
      </w:r>
    </w:p>
    <w:p>
      <w:pPr>
        <w:pStyle w:val="Heading2"/>
        <w:bidi w:val="0"/>
        <w:jc w:val="start"/>
        <w:rPr/>
      </w:pPr>
      <w:r>
        <w:rPr/>
        <w:t>4. Deejai/partner marketing</w:t>
      </w:r>
    </w:p>
    <w:p>
      <w:pPr>
        <w:pStyle w:val="BodyText"/>
        <w:bidi w:val="0"/>
        <w:jc w:val="start"/>
        <w:rPr/>
      </w:pPr>
      <w:r>
        <w:rPr/>
        <w:t>Deejai uses selected contact details only under its Marketing Consent and maintains suppression. No partner receives data in the initial release. Any future partner disclosure requires a named recipient, approved agreement, separate consent and suppression control. Merchant may not conceal optionality.</w:t>
      </w:r>
    </w:p>
    <w:p>
      <w:pPr>
        <w:pStyle w:val="Heading2"/>
        <w:bidi w:val="0"/>
        <w:jc w:val="start"/>
        <w:rPr/>
      </w:pPr>
      <w:r>
        <w:rPr/>
        <w:t>5. Model development</w:t>
      </w:r>
    </w:p>
    <w:p>
      <w:pPr>
        <w:pStyle w:val="BodyText"/>
        <w:bidi w:val="0"/>
        <w:jc w:val="start"/>
        <w:rPr/>
      </w:pPr>
      <w:r>
        <w:rPr/>
        <w:t>Governed by Model Notice/Consent. Direct identifiers are removed before dataset admission. Data is treated as personal data unless identification is no longer reasonably possible.</w:t>
      </w:r>
    </w:p>
    <w:p>
      <w:pPr>
        <w:pStyle w:val="Heading2"/>
        <w:bidi w:val="0"/>
        <w:jc w:val="start"/>
        <w:rPr/>
      </w:pPr>
      <w:r>
        <w:rPr/>
        <w:t>6. Rights, incidents and termination</w:t>
      </w:r>
    </w:p>
    <w:p>
      <w:pPr>
        <w:pStyle w:val="BodyText"/>
        <w:bidi w:val="0"/>
        <w:jc w:val="start"/>
        <w:rPr/>
      </w:pPr>
      <w:r>
        <w:rPr/>
        <w:t>Merchant handles Merchant-purpose requests; Deejai handles its purposes; parties redirect/cooperate. Each protects its data and notifies the other of relevant incidents. Subscription termination stops new collection, but existing Deejai-controller data remains governed by its consent/retention.</w:t>
      </w:r>
    </w:p>
    <w:p>
      <w:pPr>
        <w:pStyle w:val="Heading1"/>
        <w:bidi w:val="0"/>
        <w:jc w:val="start"/>
        <w:rPr/>
      </w:pPr>
      <w:r>
        <w:rPr/>
        <w:t>Marketing Partner Standard Data Sharing Terms</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Application and roles</w:t>
      </w:r>
    </w:p>
    <w:p>
      <w:pPr>
        <w:pStyle w:val="BodyText"/>
        <w:bidi w:val="0"/>
        <w:jc w:val="start"/>
        <w:rPr/>
      </w:pPr>
      <w:r>
        <w:rPr/>
        <w:t>Applies when a partner accepts an electronic partner order incorporating these terms. No partner is active merely because this document exists. Deejai and Partner are independent controllers for the approved marketing purpose.</w:t>
      </w:r>
    </w:p>
    <w:p>
      <w:pPr>
        <w:pStyle w:val="Heading2"/>
        <w:bidi w:val="0"/>
        <w:jc w:val="start"/>
        <w:rPr/>
      </w:pPr>
      <w:r>
        <w:rPr/>
        <w:t>2. Preconditions</w:t>
      </w:r>
    </w:p>
    <w:p>
      <w:pPr>
        <w:pStyle w:val="BodyText"/>
        <w:bidi w:val="0"/>
        <w:jc w:val="start"/>
        <w:rPr/>
      </w:pPr>
      <w:r>
        <w:rPr/>
        <w:t>Deejai must hold auditable separate consent covering the partner/category, data, purpose and channel. Partner must provide legal identity, privacy notice, rights/security contacts, countries and retention.</w:t>
      </w:r>
    </w:p>
    <w:p>
      <w:pPr>
        <w:pStyle w:val="Heading2"/>
        <w:bidi w:val="0"/>
        <w:jc w:val="start"/>
        <w:rPr/>
      </w:pPr>
      <w:r>
        <w:rPr/>
        <w:t>3. Restrictions</w:t>
      </w:r>
    </w:p>
    <w:p>
      <w:pPr>
        <w:pStyle w:val="BodyText"/>
        <w:bidi w:val="0"/>
        <w:jc w:val="start"/>
        <w:rPr/>
      </w:pPr>
      <w:r>
        <w:rPr/>
        <w:t>Partner may use data only for approved category/channels/territory/period and must not sell, profile for unrelated purposes, onward-disclose, contact suppressed persons, infer sensitive traits, target children, make high-impact decisions or over-retain. Campaign subprocessors require appropriate terms.</w:t>
      </w:r>
    </w:p>
    <w:p>
      <w:pPr>
        <w:pStyle w:val="Heading2"/>
        <w:bidi w:val="0"/>
        <w:jc w:val="start"/>
        <w:rPr/>
      </w:pPr>
      <w:r>
        <w:rPr/>
        <w:t>4. Marketing and suppression</w:t>
      </w:r>
    </w:p>
    <w:p>
      <w:pPr>
        <w:pStyle w:val="BodyText"/>
        <w:bidi w:val="0"/>
        <w:jc w:val="start"/>
        <w:rPr/>
      </w:pPr>
      <w:r>
        <w:rPr/>
        <w:t>Every message identifies Partner/purpose and provides simple opt-out. Partner observes lawful hours/frequency. Deejai sends withdrawals; Partner applies them without undue delay and confirms. Partner also reports direct withdrawals.</w:t>
      </w:r>
    </w:p>
    <w:p>
      <w:pPr>
        <w:pStyle w:val="Heading2"/>
        <w:bidi w:val="0"/>
        <w:jc w:val="start"/>
        <w:rPr/>
      </w:pPr>
      <w:r>
        <w:rPr/>
        <w:t>5. Security/incidents/audit</w:t>
      </w:r>
    </w:p>
    <w:p>
      <w:pPr>
        <w:pStyle w:val="BodyText"/>
        <w:bidi w:val="0"/>
        <w:jc w:val="start"/>
        <w:rPr/>
      </w:pPr>
      <w:r>
        <w:rPr/>
        <w:t>Reasonable access, encryption, logging, incident and deletion controls; confidentiality; prompt incident notice to security@djai.academy; cooperation and evidence including campaign samples, suppression and deletion confirmation. Deejai may suspend transfers.</w:t>
      </w:r>
    </w:p>
    <w:p>
      <w:pPr>
        <w:pStyle w:val="Heading2"/>
        <w:bidi w:val="0"/>
        <w:jc w:val="start"/>
        <w:rPr/>
      </w:pPr>
      <w:r>
        <w:rPr/>
        <w:t>6. Termination/liability/law</w:t>
      </w:r>
    </w:p>
    <w:p>
      <w:pPr>
        <w:pStyle w:val="BodyText"/>
        <w:bidi w:val="0"/>
        <w:jc w:val="start"/>
        <w:rPr/>
      </w:pPr>
      <w:r>
        <w:rPr/>
        <w:t>On termination or consent expiry, stop and delete/suppress except required evidence. Each party is responsible for its unlawful processing. Thai law and Bangkok courts apply unless the order lawfully states otherwise.</w:t>
      </w:r>
    </w:p>
    <w:p>
      <w:pPr>
        <w:pStyle w:val="Heading1"/>
        <w:bidi w:val="0"/>
        <w:jc w:val="start"/>
        <w:rPr/>
      </w:pPr>
      <w:r>
        <w:rPr/>
        <w:t>Marketing Partner Schedule</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Current status</w:t>
      </w:r>
    </w:p>
    <w:p>
      <w:pPr>
        <w:pStyle w:val="BodyText"/>
        <w:bidi w:val="0"/>
        <w:jc w:val="start"/>
        <w:rPr/>
      </w:pPr>
      <w:r>
        <w:rPr/>
        <w:t>No marketing partner is approved or active as of 27 July 2026. Partner sharing is disabled.</w:t>
      </w:r>
    </w:p>
    <w:p>
      <w:pPr>
        <w:pStyle w:val="Heading2"/>
        <w:bidi w:val="0"/>
        <w:jc w:val="start"/>
        <w:rPr/>
      </w:pPr>
      <w:r>
        <w:rPr/>
        <w:t>2. Activation</w:t>
      </w:r>
    </w:p>
    <w:p>
      <w:pPr>
        <w:pStyle w:val="BodyText"/>
        <w:bidi w:val="0"/>
        <w:jc w:val="start"/>
        <w:rPr/>
      </w:pPr>
      <w:r>
        <w:rPr/>
        <w:t>A versioned update must state legal name, brand, product category, data fields, channels, countries, retention, privacy notice, rights contact and Partner Terms reference. Consent must be refreshed if the existing wording did not clearly cover the new recipient.</w:t>
      </w:r>
    </w:p>
    <w:p>
      <w:pPr>
        <w:pStyle w:val="Heading2"/>
        <w:bidi w:val="0"/>
        <w:jc w:val="start"/>
        <w:rPr/>
      </w:pPr>
      <w:r>
        <w:rPr/>
        <w:t>3. Maximum data</w:t>
      </w:r>
    </w:p>
    <w:p>
      <w:pPr>
        <w:pStyle w:val="BodyText"/>
        <w:bidi w:val="0"/>
        <w:jc w:val="start"/>
        <w:rPr/>
      </w:pPr>
      <w:r>
        <w:rPr/>
        <w:t>Name, email, telephone, source Merchant, consent timestamp, approved interest category and suppression status. Chat content is not shared for partner marketing.</w:t>
      </w:r>
    </w:p>
    <w:p>
      <w:pPr>
        <w:pStyle w:val="Heading2"/>
        <w:bidi w:val="0"/>
        <w:jc w:val="start"/>
        <w:rPr/>
      </w:pPr>
      <w:r>
        <w:rPr/>
        <w:t>4. Prohibited data</w:t>
      </w:r>
    </w:p>
    <w:p>
      <w:pPr>
        <w:pStyle w:val="BodyText"/>
        <w:bidi w:val="0"/>
        <w:jc w:val="start"/>
        <w:rPr/>
      </w:pPr>
      <w:r>
        <w:rPr/>
        <w:t>No sensitive/child data, credentials, payment data, ID numbers, precise location or Training Conversation Data.</w:t>
      </w:r>
    </w:p>
    <w:p>
      <w:pPr>
        <w:pStyle w:val="Heading1"/>
        <w:bidi w:val="0"/>
        <w:jc w:val="start"/>
        <w:rPr/>
      </w:pPr>
      <w:r>
        <w:rPr/>
        <w:t>Deejai Lab Privacy Notice</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15 August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Who we are</w:t>
      </w:r>
    </w:p>
    <w:p>
      <w:pPr>
        <w:pStyle w:val="BodyText"/>
        <w:bidi w:val="0"/>
        <w:jc w:val="start"/>
        <w:rPr/>
      </w:pPr>
      <w:r>
        <w:rPr/>
        <w:t>DEEJAI LAB CO., LTD. (</w:t>
      </w:r>
      <w:r>
        <w:rPr/>
        <w:t>บริษัท ดีใจ แล็บ จำกัด</w:t>
      </w:r>
      <w:r>
        <w:rPr/>
        <w:t>), registration number 0105569117953, of 48/187 Soi Sukhumvit 64, Sukhumvit Road, Phra Khanong, Bangkok 10260, Thailand, operates DJAI Academy and DJBOT. Contact privacy@djai.academy. A Privacy Lead is appointed; statutory DPO need will be reassessed if legal thresholds apply.</w:t>
      </w:r>
    </w:p>
    <w:p>
      <w:pPr>
        <w:pStyle w:val="Heading2"/>
        <w:bidi w:val="0"/>
        <w:jc w:val="start"/>
        <w:rPr/>
      </w:pPr>
      <w:r>
        <w:rPr/>
        <w:t>2. Scope and roles</w:t>
      </w:r>
    </w:p>
    <w:p>
      <w:pPr>
        <w:pStyle w:val="BodyText"/>
        <w:bidi w:val="0"/>
        <w:jc w:val="start"/>
        <w:rPr/>
      </w:pPr>
      <w:r>
        <w:rPr/>
        <w:t>This Notice covers Merchant owners/staff, billing/support contacts, visitors and end customers where Deejai is controller. For Merchant enquiry/lead data, Merchant is normally controller and Deejai processor under the DPA. Deejai is controller for account administration, billing, security, Deejai marketing, approved partner disclosure and model development.</w:t>
      </w:r>
    </w:p>
    <w:p>
      <w:pPr>
        <w:pStyle w:val="Heading2"/>
        <w:bidi w:val="0"/>
        <w:jc w:val="start"/>
        <w:rPr/>
      </w:pPr>
      <w:r>
        <w:rPr/>
        <w:t>3. Data collected</w:t>
      </w:r>
    </w:p>
    <w:p>
      <w:pPr>
        <w:pStyle w:val="BodyText"/>
        <w:bidi w:val="0"/>
        <w:jc w:val="start"/>
        <w:rPr/>
      </w:pPr>
      <w:r>
        <w:rPr/>
        <w:t>Merchant name; staff name/email; authentication/account/role records; billing identity/subscription; a normalized verified-email claim for Flow trial matching; a keyed hash of the Stripe card fingerprint for Text trial matching; support communications; IP, request/security and device/browser data; consent and preferences. Deejai does not receive or store the full card number.</w:t>
      </w:r>
    </w:p>
    <w:p>
      <w:pPr>
        <w:pStyle w:val="BodyText"/>
        <w:bidi w:val="0"/>
        <w:jc w:val="start"/>
        <w:rPr/>
      </w:pPr>
      <w:r>
        <w:rPr/>
        <w:t>Through Merchant bots: name, email, telephone, free-text messages, lead information, opaque session token and website deployment identifiers. Starter and Advanced are service tiers, not privacy permissions. Deejai marketing and model development require separate optional choices. Partner sharing and social-channel delivery are disabled for the initial release.</w:t>
      </w:r>
    </w:p>
    <w:p>
      <w:pPr>
        <w:pStyle w:val="Heading2"/>
        <w:bidi w:val="0"/>
        <w:jc w:val="start"/>
        <w:rPr/>
      </w:pPr>
      <w:r>
        <w:rPr/>
        <w:t>4. Sources</w:t>
      </w:r>
    </w:p>
    <w:p>
      <w:pPr>
        <w:pStyle w:val="BodyText"/>
        <w:bidi w:val="0"/>
        <w:jc w:val="start"/>
        <w:rPr/>
      </w:pPr>
      <w:r>
        <w:rPr/>
        <w:t>The person, Merchant, Merchant site/channel, Stripe, approved providers and security systems. A Merchant providing another person's data must have authority and give required notice.</w:t>
      </w:r>
    </w:p>
    <w:p>
      <w:pPr>
        <w:pStyle w:val="Heading2"/>
        <w:bidi w:val="0"/>
        <w:jc w:val="start"/>
        <w:rPr/>
      </w:pPr>
      <w:r>
        <w:rPr/>
        <w:t>5. Purposes and bases</w:t>
      </w:r>
    </w:p>
    <w:p>
      <w:pPr>
        <w:pStyle w:val="BodyText"/>
        <w:bidi w:val="0"/>
        <w:jc w:val="start"/>
        <w:rPr/>
      </w:pPr>
      <w:r>
        <w:rPr/>
        <w:t>Account/service/billing/support, enforcing the published one-trial-per-email or one-trial-per-card rules, security/fraud, law/claims and rights administration rely as applicable on contract, legal obligation and legitimate interests. IP and device data are not used as the sole reason to reject a trial.</w:t>
      </w:r>
    </w:p>
    <w:p>
      <w:pPr>
        <w:pStyle w:val="BodyText"/>
        <w:bidi w:val="0"/>
        <w:jc w:val="start"/>
        <w:rPr/>
      </w:pPr>
      <w:r>
        <w:rPr/>
        <w:t>Deejai contact marketing, partner disclosure and model development rely on separate consent in the initial release. Consent may be withdrawn for future processing.</w:t>
      </w:r>
    </w:p>
    <w:p>
      <w:pPr>
        <w:pStyle w:val="Heading2"/>
        <w:bidi w:val="0"/>
        <w:jc w:val="start"/>
        <w:rPr/>
      </w:pPr>
      <w:r>
        <w:rPr/>
        <w:t>6. Model development</w:t>
      </w:r>
    </w:p>
    <w:p>
      <w:pPr>
        <w:pStyle w:val="BodyText"/>
        <w:bidi w:val="0"/>
        <w:jc w:val="start"/>
        <w:rPr/>
      </w:pPr>
      <w:r>
        <w:rPr/>
        <w:t>Training Conversation Data is not described as anonymous. Direct identifiers are removed and free text screened before dataset admission. Known child and sensitive-data conversations are excluded. Data remains protected as personal data unless identification is no longer reasonably possible. See the Model Development Data Notice.</w:t>
      </w:r>
    </w:p>
    <w:p>
      <w:pPr>
        <w:pStyle w:val="Heading2"/>
        <w:bidi w:val="0"/>
        <w:jc w:val="start"/>
        <w:rPr/>
      </w:pPr>
      <w:r>
        <w:rPr/>
        <w:t>7. Cookies/local storage</w:t>
      </w:r>
    </w:p>
    <w:p>
      <w:pPr>
        <w:pStyle w:val="BodyText"/>
        <w:bidi w:val="0"/>
        <w:jc w:val="start"/>
        <w:rPr/>
      </w:pPr>
      <w:r>
        <w:rPr/>
        <w:t>FlowBot sets no cookies. It uses one first-party localStorage entry per deployment containing an opaque session token. Any future optional analytics will require an update and any required choice.</w:t>
      </w:r>
    </w:p>
    <w:p>
      <w:pPr>
        <w:pStyle w:val="Heading2"/>
        <w:bidi w:val="0"/>
        <w:jc w:val="start"/>
        <w:rPr/>
      </w:pPr>
      <w:r>
        <w:rPr/>
        <w:t>8. Recipients</w:t>
      </w:r>
    </w:p>
    <w:p>
      <w:pPr>
        <w:pStyle w:val="BodyText"/>
        <w:bidi w:val="0"/>
        <w:jc w:val="start"/>
        <w:rPr/>
      </w:pPr>
      <w:r>
        <w:rPr/>
        <w:t>Neon and its AWS infrastructure are current hosting recipients. Stripe receives Merchant card and billing data when an approved paid checkout or AI Text trial SetupIntent is used. Google Cloud is planned but its Asian production deployment is not active until verified. No transactional-email, AI or Voice provider is approved for production processing. Social providers, including LINE and Meta, are excluded from the initial release.</w:t>
      </w:r>
    </w:p>
    <w:p>
      <w:pPr>
        <w:pStyle w:val="Heading2"/>
        <w:bidi w:val="0"/>
        <w:jc w:val="start"/>
        <w:rPr/>
      </w:pPr>
      <w:r>
        <w:rPr/>
        <w:t>9. International processing</w:t>
      </w:r>
    </w:p>
    <w:p>
      <w:pPr>
        <w:pStyle w:val="BodyText"/>
        <w:bidi w:val="0"/>
        <w:jc w:val="start"/>
        <w:rPr/>
      </w:pPr>
      <w:r>
        <w:rPr/>
        <w:t xml:space="preserve">The current primary database is Neon on AWS </w:t>
      </w:r>
      <w:r>
        <w:rPr>
          <w:rStyle w:val="SourceText"/>
        </w:rPr>
        <w:t>us-east-2</w:t>
      </w:r>
      <w:r>
        <w:rPr/>
        <w:t>, Ohio, USA. Personal data therefore may be transferred outside Thailand. Provider agreements and applicable safeguards are used and transfer risk is assessed. Notice changes only after verified migration.</w:t>
      </w:r>
    </w:p>
    <w:p>
      <w:pPr>
        <w:pStyle w:val="Heading2"/>
        <w:bidi w:val="0"/>
        <w:jc w:val="start"/>
        <w:rPr/>
      </w:pPr>
      <w:r>
        <w:rPr/>
        <w:t>10. Retention</w:t>
      </w:r>
    </w:p>
    <w:p>
      <w:pPr>
        <w:pStyle w:val="BodyText"/>
        <w:bidi w:val="0"/>
        <w:jc w:val="start"/>
        <w:rPr/>
      </w:pPr>
      <w:r>
        <w:rPr/>
        <w:t>Chat and Voice transcript content defaults to 365 days, and the current Merchant API permits 30-730 days; after expiry, content becomes a non-content tombstone. The database can technically hold a higher value, but the customer-facing policy and API maximum is 730 days. Voice audio recording is disabled with zero recording retention unless a later approved legal version and technical policy enable it.</w:t>
      </w:r>
    </w:p>
    <w:p>
      <w:pPr>
        <w:pStyle w:val="BodyText"/>
        <w:bidi w:val="0"/>
        <w:jc w:val="start"/>
        <w:rPr/>
      </w:pPr>
      <w:r>
        <w:rPr/>
        <w:t>Privacy export downloads are available seven days. The expired encrypted result row is not yet physically purged. Contacts/leads remain until erasure or closure handling; no automatic time purge is active. Billing/tax records: seven years. Consent evidence: five years after withdrawal/last reliance unless claims/law require longer. Legal holds continue until release.</w:t>
      </w:r>
    </w:p>
    <w:p>
      <w:pPr>
        <w:pStyle w:val="BodyText"/>
        <w:bidi w:val="0"/>
        <w:jc w:val="start"/>
        <w:rPr/>
      </w:pPr>
      <w:r>
        <w:rPr/>
        <w:t>Target after verification: contacts/leads 24 months inactivity; 30-day read-only/reactivation after paid term; production purge; backups within 30 additional days. Those controls are not represented as active until verified.</w:t>
      </w:r>
    </w:p>
    <w:p>
      <w:pPr>
        <w:pStyle w:val="Heading2"/>
        <w:bidi w:val="0"/>
        <w:jc w:val="start"/>
        <w:rPr/>
      </w:pPr>
      <w:r>
        <w:rPr/>
        <w:t>11. Rights</w:t>
      </w:r>
    </w:p>
    <w:p>
      <w:pPr>
        <w:pStyle w:val="BodyText"/>
        <w:bidi w:val="0"/>
        <w:jc w:val="start"/>
        <w:rPr/>
      </w:pPr>
      <w:r>
        <w:rPr/>
        <w:t>Subject to law: access/copy, portability where applicable, correction, deletion, restriction, objection and consent withdrawal. Merchant customers should contact Merchant for Merchant purposes. Deejai-purpose requests: privacy@djai.academy or https://djai.academy/privacy/preferences when available.</w:t>
      </w:r>
    </w:p>
    <w:p>
      <w:pPr>
        <w:pStyle w:val="BodyText"/>
        <w:bidi w:val="0"/>
        <w:jc w:val="start"/>
        <w:rPr/>
      </w:pPr>
      <w:r>
        <w:rPr/>
        <w:t>Identity may be verified. Lawful limitations may apply. Erasure may remove identifying content while retaining non-identifying shells, audit evidence, legal-hold data and backup copies until expiry.</w:t>
      </w:r>
    </w:p>
    <w:p>
      <w:pPr>
        <w:pStyle w:val="Heading2"/>
        <w:bidi w:val="0"/>
        <w:jc w:val="start"/>
        <w:rPr/>
      </w:pPr>
      <w:r>
        <w:rPr/>
        <w:t>12. Marketing preferences</w:t>
      </w:r>
    </w:p>
    <w:p>
      <w:pPr>
        <w:pStyle w:val="BodyText"/>
        <w:bidi w:val="0"/>
        <w:jc w:val="start"/>
        <w:rPr/>
      </w:pPr>
      <w:r>
        <w:rPr/>
        <w:t>Every Deejai/partner marketing message provides opt-out. Withdrawal does not affect prior lawful processing. Minimal suppression evidence may be retained to avoid renewed contact.</w:t>
      </w:r>
    </w:p>
    <w:p>
      <w:pPr>
        <w:pStyle w:val="Heading2"/>
        <w:bidi w:val="0"/>
        <w:jc w:val="start"/>
        <w:rPr/>
      </w:pPr>
      <w:r>
        <w:rPr/>
        <w:t>13. Security and breaches</w:t>
      </w:r>
    </w:p>
    <w:p>
      <w:pPr>
        <w:pStyle w:val="BodyText"/>
        <w:bidi w:val="0"/>
        <w:jc w:val="start"/>
        <w:rPr/>
      </w:pPr>
      <w:r>
        <w:rPr/>
        <w:t>Reasonable controls include access restriction, tenant separation, transport encryption, provider security, logging and incident response. No system is completely secure. Breaches are assessed and notified under applicable duties.</w:t>
      </w:r>
    </w:p>
    <w:p>
      <w:pPr>
        <w:pStyle w:val="Heading2"/>
        <w:bidi w:val="0"/>
        <w:jc w:val="start"/>
        <w:rPr/>
      </w:pPr>
      <w:r>
        <w:rPr/>
        <w:t>14. Children and sensitive data</w:t>
      </w:r>
    </w:p>
    <w:p>
      <w:pPr>
        <w:pStyle w:val="BodyText"/>
        <w:bidi w:val="0"/>
        <w:jc w:val="start"/>
        <w:rPr/>
      </w:pPr>
      <w:r>
        <w:rPr/>
        <w:t>Standard Service is not designed to intentionally collect child or sensitive data. Child-related Merchants should collect guardian contact and obtain separate approval for higher-risk processing. Do not submit passwords, OTPs, full card data, identity documents or unrequested sensitive data.</w:t>
      </w:r>
    </w:p>
    <w:p>
      <w:pPr>
        <w:pStyle w:val="Heading2"/>
        <w:bidi w:val="0"/>
        <w:jc w:val="start"/>
        <w:rPr/>
      </w:pPr>
      <w:r>
        <w:rPr/>
        <w:t>15. Changes and contact</w:t>
      </w:r>
    </w:p>
    <w:p>
      <w:pPr>
        <w:pStyle w:val="BodyText"/>
        <w:bidi w:val="0"/>
        <w:jc w:val="start"/>
        <w:rPr/>
      </w:pPr>
      <w:r>
        <w:rPr/>
        <w:t>Material changes are versioned/notified and new consent or acceptance requested where required.</w:t>
      </w:r>
    </w:p>
    <w:p>
      <w:pPr>
        <w:pStyle w:val="BodyText"/>
        <w:bidi w:val="0"/>
        <w:jc w:val="start"/>
        <w:rPr/>
      </w:pPr>
      <w:r>
        <w:rPr/>
        <w:t>Privacy: privacy@djai.academy Security: security@djai.academy Legal: legal@djai.academy Address: 48/187 Soi Sukhumvit 64, Sukhumvit Road, Phra Khanong, Bangkok 10260, Thailand A complaint may be submitted to Thailand's PDPC where applicable.</w:t>
      </w:r>
    </w:p>
    <w:p>
      <w:pPr>
        <w:pStyle w:val="Heading1"/>
        <w:bidi w:val="0"/>
        <w:jc w:val="start"/>
        <w:rPr/>
      </w:pPr>
      <w:r>
        <w:rPr/>
        <w:t>Layered End-Customer Privacy Notice</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Layer 1 - English</w:t>
      </w:r>
    </w:p>
    <w:p>
      <w:pPr>
        <w:pStyle w:val="BodyText"/>
        <w:bidi w:val="0"/>
        <w:jc w:val="start"/>
        <w:rPr/>
      </w:pPr>
      <w:r>
        <w:rPr/>
        <w:t>This chat is operated by the Merchant shown above. DEEJAI LAB CO., LTD. provides DJBOT. Information you provide is used to handle your enquiry. Optional choices for Deejai marketing, marketing partners and model development are separate and not required to chat. Do not submit passwords, OTPs, full card details, identity documents, sensitive information or emergency information. Read the Merchant notice and https://djai.academy/legal/privacy.</w:t>
      </w:r>
    </w:p>
    <w:p>
      <w:pPr>
        <w:pStyle w:val="Heading2"/>
        <w:bidi w:val="0"/>
        <w:jc w:val="start"/>
        <w:rPr/>
      </w:pPr>
      <w:r>
        <w:rPr/>
        <w:t>Layer 1 - Thai</w:t>
      </w:r>
    </w:p>
    <w:p>
      <w:pPr>
        <w:pStyle w:val="BodyText"/>
        <w:bidi w:val="0"/>
        <w:jc w:val="start"/>
        <w:rPr/>
      </w:pPr>
      <w:r>
        <w:rPr/>
        <w:t xml:space="preserve">แชตนี้ดำเนินการโดยร้านค้าหรือผู้ให้บริการที่แสดงชื่อด้านบน และ บริษัท ดีใจ แล็บ จำกัด เป็นผู้ให้บริการแพลตฟอร์ม </w:t>
      </w:r>
      <w:r>
        <w:rPr/>
        <w:t xml:space="preserve">DJBOT </w:t>
      </w:r>
      <w:r>
        <w:rPr/>
        <w:t xml:space="preserve">ข้อมูลที่ท่านให้จะใช้เพื่อดำเนินการตามคำถามหรือคำขอของท่าน การยินยอมเพื่อรับการตลาดจากดีใจ แล็บ การเปิดเผยให้พันธมิตรทางการตลาด และการพัฒนาโมเดล เป็นทางเลือกแยกต่างหากและไม่จำเป็นต่อการใช้งานแชต กรุณาอย่าส่งรหัสผ่าน </w:t>
      </w:r>
      <w:r>
        <w:rPr/>
        <w:t xml:space="preserve">OTP </w:t>
      </w:r>
      <w:r>
        <w:rPr/>
        <w:t>ข้อมูลบัตรชำระเงินเต็มรูปแบบ เอกสารประจำตัว ข้อมูลอ่อนไหว หรือข้อมูลเหตุฉุกเฉิน</w:t>
      </w:r>
    </w:p>
    <w:p>
      <w:pPr>
        <w:pStyle w:val="Heading2"/>
        <w:bidi w:val="0"/>
        <w:jc w:val="start"/>
        <w:rPr/>
      </w:pPr>
      <w:r>
        <w:rPr/>
        <w:t>Layer 2</w:t>
      </w:r>
    </w:p>
    <w:p>
      <w:pPr>
        <w:pStyle w:val="Heading3"/>
        <w:bidi w:val="0"/>
        <w:jc w:val="start"/>
        <w:rPr/>
      </w:pPr>
      <w:r>
        <w:rPr/>
        <w:t>Merchant use</w:t>
      </w:r>
    </w:p>
    <w:p>
      <w:pPr>
        <w:pStyle w:val="BodyText"/>
        <w:bidi w:val="0"/>
        <w:jc w:val="start"/>
        <w:rPr/>
      </w:pPr>
      <w:r>
        <w:rPr/>
        <w:t>Merchant collects information to answer, quote, appoint, follow up or conduct separately authorised Merchant marketing. Merchant is responsible for its notice, basis and rights response.</w:t>
      </w:r>
    </w:p>
    <w:p>
      <w:pPr>
        <w:pStyle w:val="Heading3"/>
        <w:bidi w:val="0"/>
        <w:jc w:val="start"/>
        <w:rPr/>
      </w:pPr>
      <w:r>
        <w:rPr/>
        <w:t>Deejai service</w:t>
      </w:r>
    </w:p>
    <w:p>
      <w:pPr>
        <w:pStyle w:val="BodyText"/>
        <w:bidi w:val="0"/>
        <w:jc w:val="start"/>
        <w:rPr/>
      </w:pPr>
      <w:r>
        <w:rPr/>
        <w:t>Deejai processes conversation/contact data to operate and secure DJBOT for Merchant under the DPA. Current primary database is in the USA.</w:t>
      </w:r>
    </w:p>
    <w:p>
      <w:pPr>
        <w:pStyle w:val="Heading3"/>
        <w:bidi w:val="0"/>
        <w:jc w:val="start"/>
        <w:rPr/>
      </w:pPr>
      <w:r>
        <w:rPr/>
        <w:t>Optional Deejai marketing</w:t>
      </w:r>
    </w:p>
    <w:p>
      <w:pPr>
        <w:pStyle w:val="BodyText"/>
        <w:bidi w:val="0"/>
        <w:jc w:val="start"/>
        <w:rPr/>
      </w:pPr>
      <w:r>
        <w:rPr/>
        <w:t>If selected, Deejai may use contact details for DJBOT, DJAI Academy and related digital-service marketing. Refusal does not affect enquiry.</w:t>
      </w:r>
    </w:p>
    <w:p>
      <w:pPr>
        <w:pStyle w:val="Heading3"/>
        <w:bidi w:val="0"/>
        <w:jc w:val="start"/>
        <w:rPr/>
      </w:pPr>
      <w:r>
        <w:rPr/>
        <w:t>Optional partner marketing</w:t>
      </w:r>
    </w:p>
    <w:p>
      <w:pPr>
        <w:pStyle w:val="BodyText"/>
        <w:bidi w:val="0"/>
        <w:jc w:val="start"/>
        <w:rPr/>
      </w:pPr>
      <w:r>
        <w:rPr/>
        <w:t>Disabled unless separately selected and a Partner Schedule identifies recipient. Chat content is not shared for partner marketing.</w:t>
      </w:r>
    </w:p>
    <w:p>
      <w:pPr>
        <w:pStyle w:val="Heading3"/>
        <w:bidi w:val="0"/>
        <w:jc w:val="start"/>
        <w:rPr/>
      </w:pPr>
      <w:r>
        <w:rPr/>
        <w:t>Optional model development</w:t>
      </w:r>
    </w:p>
    <w:p>
      <w:pPr>
        <w:pStyle w:val="BodyText"/>
        <w:bidi w:val="0"/>
        <w:jc w:val="start"/>
        <w:rPr/>
      </w:pPr>
      <w:r>
        <w:rPr/>
        <w:t>If selected, Deejai may create a controlled conversation copy to develop/test/improve language models. Direct identifiers are removed before dataset admission, but data is not represented as anonymous.</w:t>
      </w:r>
    </w:p>
    <w:p>
      <w:pPr>
        <w:pStyle w:val="Heading3"/>
        <w:bidi w:val="0"/>
        <w:jc w:val="start"/>
        <w:rPr/>
      </w:pPr>
      <w:r>
        <w:rPr/>
        <w:t>Retention/rights</w:t>
      </w:r>
    </w:p>
    <w:p>
      <w:pPr>
        <w:pStyle w:val="BodyText"/>
        <w:bidi w:val="0"/>
        <w:jc w:val="start"/>
        <w:rPr/>
      </w:pPr>
      <w:r>
        <w:rPr/>
        <w:t>Transcript period is Merchant-configured 30-730 days, default 365. Contacts/leads currently remain until erasure/closure. Contact Merchant for its purpose and privacy@djai.academy for Deejai purposes.</w:t>
      </w:r>
    </w:p>
    <w:p>
      <w:pPr>
        <w:pStyle w:val="Heading1"/>
        <w:bidi w:val="0"/>
        <w:jc w:val="start"/>
        <w:rPr/>
      </w:pPr>
      <w:r>
        <w:rPr/>
        <w:t>End-Customer Data Use Notice</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15 August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Merchant service</w:t>
      </w:r>
    </w:p>
    <w:p>
      <w:pPr>
        <w:pStyle w:val="BodyText"/>
        <w:bidi w:val="0"/>
        <w:jc w:val="start"/>
        <w:rPr/>
      </w:pPr>
      <w:r>
        <w:rPr/>
        <w:t>The customer uses a Merchant's Flow Bot, AI Text Bot or AI Voice Bot for an enquiry or other Merchant service. Deejai operates the platform and may offer separate choices for Deejai marketing and model development. Partner sharing and social-channel delivery are disabled for the initial release.</w:t>
      </w:r>
    </w:p>
    <w:p>
      <w:pPr>
        <w:pStyle w:val="Heading2"/>
        <w:bidi w:val="0"/>
        <w:jc w:val="start"/>
        <w:rPr/>
      </w:pPr>
      <w:r>
        <w:rPr/>
        <w:t>2. Core use</w:t>
      </w:r>
    </w:p>
    <w:p>
      <w:pPr>
        <w:pStyle w:val="BodyText"/>
        <w:bidi w:val="0"/>
        <w:jc w:val="start"/>
        <w:rPr/>
      </w:pPr>
      <w:r>
        <w:rPr/>
        <w:t>The customer may chat without optional Deejai consent. Merchant receives submitted contact/message data. Deejai processes it to deliver and secure the Merchant service.</w:t>
      </w:r>
    </w:p>
    <w:p>
      <w:pPr>
        <w:pStyle w:val="Heading2"/>
        <w:bidi w:val="0"/>
        <w:jc w:val="start"/>
        <w:rPr/>
      </w:pPr>
      <w:r>
        <w:rPr/>
        <w:t>3. Deejai marketing</w:t>
      </w:r>
    </w:p>
    <w:p>
      <w:pPr>
        <w:pStyle w:val="BodyText"/>
        <w:bidi w:val="0"/>
        <w:jc w:val="start"/>
        <w:rPr/>
      </w:pPr>
      <w:r>
        <w:rPr/>
        <w:t>Only if separately selected, Deejai may use name/email/telephone for DJBOT, DJAI Academy and related digital-service marketing through selected channels. Withdrawal is available.</w:t>
      </w:r>
    </w:p>
    <w:p>
      <w:pPr>
        <w:pStyle w:val="Heading2"/>
        <w:bidi w:val="0"/>
        <w:jc w:val="start"/>
        <w:rPr/>
      </w:pPr>
      <w:r>
        <w:rPr/>
        <w:t>4. Partner marketing</w:t>
      </w:r>
    </w:p>
    <w:p>
      <w:pPr>
        <w:pStyle w:val="BodyText"/>
        <w:bidi w:val="0"/>
        <w:jc w:val="start"/>
        <w:rPr/>
      </w:pPr>
      <w:r>
        <w:rPr/>
        <w:t>No partner receives end-customer data in the initial release. Any future partner use requires a new notice naming the recipient and a separate optional consent.</w:t>
      </w:r>
    </w:p>
    <w:p>
      <w:pPr>
        <w:pStyle w:val="Heading2"/>
        <w:bidi w:val="0"/>
        <w:jc w:val="start"/>
        <w:rPr/>
      </w:pPr>
      <w:r>
        <w:rPr/>
        <w:t>5. Model development</w:t>
      </w:r>
    </w:p>
    <w:p>
      <w:pPr>
        <w:pStyle w:val="BodyText"/>
        <w:bidi w:val="0"/>
        <w:jc w:val="start"/>
        <w:rPr/>
      </w:pPr>
      <w:r>
        <w:rPr/>
        <w:t>Only if separately selected, a controlled conversation copy may be used. Direct identifiers are removed, free text screened, and known child/sensitive conversations excluded. Data is not called anonymous.</w:t>
      </w:r>
    </w:p>
    <w:p>
      <w:pPr>
        <w:pStyle w:val="Heading2"/>
        <w:bidi w:val="0"/>
        <w:jc w:val="start"/>
        <w:rPr/>
      </w:pPr>
      <w:r>
        <w:rPr/>
        <w:t>6. Retention and rights</w:t>
      </w:r>
    </w:p>
    <w:p>
      <w:pPr>
        <w:pStyle w:val="BodyText"/>
        <w:bidi w:val="0"/>
        <w:jc w:val="start"/>
        <w:rPr/>
      </w:pPr>
      <w:r>
        <w:rPr/>
        <w:t>Transcript period is 30-730 days, default 365. Deejai marketing contact is retained until withdrawal or 24 months after last engagement, whichever first; suppression evidence five years. Model data follows the Model Notice. Merchant handles enquiry rights; Deejai handles its choices at https://djai.academy/privacy/preferences or privacy@djai.academy.</w:t>
      </w:r>
    </w:p>
    <w:p>
      <w:pPr>
        <w:pStyle w:val="Heading1"/>
        <w:bidi w:val="0"/>
        <w:jc w:val="start"/>
        <w:rPr/>
      </w:pPr>
      <w:r>
        <w:rPr/>
        <w:t>AI Data Use Notice</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15 August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Merchant service</w:t>
      </w:r>
    </w:p>
    <w:p>
      <w:pPr>
        <w:pStyle w:val="BodyText"/>
        <w:bidi w:val="0"/>
        <w:jc w:val="start"/>
        <w:rPr/>
      </w:pPr>
      <w:r>
        <w:rPr/>
        <w:t>Merchant collects contact details for enquiry and any separately authorised Merchant marketing. Deejai processes them under the DPA.</w:t>
      </w:r>
    </w:p>
    <w:p>
      <w:pPr>
        <w:pStyle w:val="Heading2"/>
        <w:bidi w:val="0"/>
        <w:jc w:val="start"/>
        <w:rPr/>
      </w:pPr>
      <w:r>
        <w:rPr/>
        <w:t>2. No tier-based reuse</w:t>
      </w:r>
    </w:p>
    <w:p>
      <w:pPr>
        <w:pStyle w:val="BodyText"/>
        <w:bidi w:val="0"/>
        <w:jc w:val="start"/>
        <w:rPr/>
      </w:pPr>
      <w:r>
        <w:rPr/>
        <w:t>Starter and Advanced are service tiers, not different privacy permissions. Deejai does not use end-customer names, emails, telephone numbers, prompts, transcripts or AI outputs for its own marketing or model development merely because a tier was purchased. Partner marketing is disabled for the initial release.</w:t>
      </w:r>
    </w:p>
    <w:p>
      <w:pPr>
        <w:pStyle w:val="Heading2"/>
        <w:bidi w:val="0"/>
        <w:jc w:val="start"/>
        <w:rPr/>
      </w:pPr>
      <w:r>
        <w:rPr/>
        <w:t>3. Optional model development</w:t>
      </w:r>
    </w:p>
    <w:p>
      <w:pPr>
        <w:pStyle w:val="BodyText"/>
        <w:bidi w:val="0"/>
        <w:jc w:val="start"/>
        <w:rPr/>
      </w:pPr>
      <w:r>
        <w:rPr/>
        <w:t>Merchant may disable collection. Where enabled, end customer receives a separate optional choice. Direct identifiers are removed before dataset admission. Data is not represented as anonymous.</w:t>
      </w:r>
    </w:p>
    <w:p>
      <w:pPr>
        <w:pStyle w:val="Heading2"/>
        <w:bidi w:val="0"/>
        <w:jc w:val="start"/>
        <w:rPr/>
      </w:pPr>
      <w:r>
        <w:rPr/>
        <w:t>4. Retention/rights</w:t>
      </w:r>
    </w:p>
    <w:p>
      <w:pPr>
        <w:pStyle w:val="BodyText"/>
        <w:bidi w:val="0"/>
        <w:jc w:val="start"/>
        <w:rPr/>
      </w:pPr>
      <w:r>
        <w:rPr/>
        <w:t>Transcript period follows Merchant setting 30-730 days. Contact Merchant for enquiry data and privacy@djai.academy for model-development rights.</w:t>
      </w:r>
    </w:p>
    <w:p>
      <w:pPr>
        <w:pStyle w:val="Heading1"/>
        <w:bidi w:val="0"/>
        <w:jc w:val="start"/>
        <w:rPr/>
      </w:pPr>
      <w:r>
        <w:rPr/>
        <w:t>Model Development Data Notice</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Purpose</w:t>
      </w:r>
    </w:p>
    <w:p>
      <w:pPr>
        <w:pStyle w:val="BodyText"/>
        <w:bidi w:val="0"/>
        <w:jc w:val="start"/>
        <w:rPr/>
      </w:pPr>
      <w:r>
        <w:rPr/>
        <w:t>With separate consent, Deejai may use Training Conversation Data to develop, test, evaluate and improve language models, retrieval, safety filters, intent classification and conversation quality.</w:t>
      </w:r>
    </w:p>
    <w:p>
      <w:pPr>
        <w:pStyle w:val="Heading2"/>
        <w:bidi w:val="0"/>
        <w:jc w:val="start"/>
        <w:rPr/>
      </w:pPr>
      <w:r>
        <w:rPr/>
        <w:t>2. Data</w:t>
      </w:r>
    </w:p>
    <w:p>
      <w:pPr>
        <w:pStyle w:val="BodyText"/>
        <w:bidi w:val="0"/>
        <w:jc w:val="start"/>
        <w:rPr/>
      </w:pPr>
      <w:r>
        <w:rPr/>
        <w:t>Conversation text, bot response, flow step, broad language, error category and quality label may be used. Direct identifiers such as name, email and telephone are removed before dataset admission. Identity-bearing free text may be quarantined/excluded.</w:t>
      </w:r>
    </w:p>
    <w:p>
      <w:pPr>
        <w:pStyle w:val="Heading2"/>
        <w:bidi w:val="0"/>
        <w:jc w:val="start"/>
        <w:rPr/>
      </w:pPr>
      <w:r>
        <w:rPr/>
        <w:t>3. Not anonymous</w:t>
      </w:r>
    </w:p>
    <w:p>
      <w:pPr>
        <w:pStyle w:val="BodyText"/>
        <w:bidi w:val="0"/>
        <w:jc w:val="start"/>
        <w:rPr/>
      </w:pPr>
      <w:r>
        <w:rPr/>
        <w:t>Removing direct identifiers may not prevent contextual re-identification. Deejai treats the data as personal data unless identification is no longer reasonably possible.</w:t>
      </w:r>
    </w:p>
    <w:p>
      <w:pPr>
        <w:pStyle w:val="Heading2"/>
        <w:bidi w:val="0"/>
        <w:jc w:val="start"/>
        <w:rPr/>
      </w:pPr>
      <w:r>
        <w:rPr/>
        <w:t>4. Exclusions</w:t>
      </w:r>
    </w:p>
    <w:p>
      <w:pPr>
        <w:pStyle w:val="BodyText"/>
        <w:bidi w:val="0"/>
        <w:jc w:val="start"/>
        <w:rPr/>
      </w:pPr>
      <w:r>
        <w:rPr/>
        <w:t>Known children, sensitive data, passwords, OTPs, full cards, identity documents, medical diagnoses, criminal-history and other high-risk content are excluded. Suspected material is quarantined.</w:t>
      </w:r>
    </w:p>
    <w:p>
      <w:pPr>
        <w:pStyle w:val="Heading2"/>
        <w:bidi w:val="0"/>
        <w:jc w:val="start"/>
        <w:rPr/>
      </w:pPr>
      <w:r>
        <w:rPr/>
        <w:t>5. Human review</w:t>
      </w:r>
    </w:p>
    <w:p>
      <w:pPr>
        <w:pStyle w:val="BodyText"/>
        <w:bidi w:val="0"/>
        <w:jc w:val="start"/>
        <w:rPr/>
      </w:pPr>
      <w:r>
        <w:rPr/>
        <w:t>Authorised confidential reviewers may inspect limited samples for quality, safety and de-identification. Access is logged; re-identification and other use are prohibited.</w:t>
      </w:r>
    </w:p>
    <w:p>
      <w:pPr>
        <w:pStyle w:val="Heading2"/>
        <w:bidi w:val="0"/>
        <w:jc w:val="start"/>
        <w:rPr/>
      </w:pPr>
      <w:r>
        <w:rPr/>
        <w:t>6. Providers/transfers</w:t>
      </w:r>
    </w:p>
    <w:p>
      <w:pPr>
        <w:pStyle w:val="BodyText"/>
        <w:bidi w:val="0"/>
        <w:jc w:val="start"/>
        <w:rPr/>
      </w:pPr>
      <w:r>
        <w:rPr/>
        <w:t>No external AI provider is approved. Before any transfer, the Subprocessor Schedule and Notice must identify provider, region, retention and provider-training setting.</w:t>
      </w:r>
    </w:p>
    <w:p>
      <w:pPr>
        <w:pStyle w:val="Heading2"/>
        <w:bidi w:val="0"/>
        <w:jc w:val="start"/>
        <w:rPr/>
      </w:pPr>
      <w:r>
        <w:rPr/>
        <w:t>7. Retention</w:t>
      </w:r>
    </w:p>
    <w:p>
      <w:pPr>
        <w:pStyle w:val="BodyText"/>
        <w:bidi w:val="0"/>
        <w:jc w:val="start"/>
        <w:rPr/>
      </w:pPr>
      <w:r>
        <w:rPr/>
        <w:t>Consent/eligibility evidence: five years after withdrawal/last reliance. Quarantine: up to 30 days. Approved datasets: up to 24 months. Dataset/model provenance: seven years. A completed model may not contain a directly retrievable conversation, but removing one record's influence may be technically impossible.</w:t>
      </w:r>
    </w:p>
    <w:p>
      <w:pPr>
        <w:pStyle w:val="Heading2"/>
        <w:bidi w:val="0"/>
        <w:jc w:val="start"/>
        <w:rPr/>
      </w:pPr>
      <w:r>
        <w:rPr/>
        <w:t>8. Withdrawal</w:t>
      </w:r>
    </w:p>
    <w:p>
      <w:pPr>
        <w:pStyle w:val="BodyText"/>
        <w:bidi w:val="0"/>
        <w:jc w:val="start"/>
        <w:rPr/>
      </w:pPr>
      <w:r>
        <w:rPr/>
        <w:t>Use https://djai.academy/privacy/preferences or privacy@djai.academy. Withdrawal stops future collection/use. Active eligible records are removed where reasonably possible. It does not undo prior lawful processing or necessarily remove effects from a completed model.</w:t>
      </w:r>
    </w:p>
    <w:p>
      <w:pPr>
        <w:pStyle w:val="Heading2"/>
        <w:bidi w:val="0"/>
        <w:jc w:val="start"/>
        <w:rPr/>
      </w:pPr>
      <w:r>
        <w:rPr/>
        <w:t>9. Security/contact</w:t>
      </w:r>
    </w:p>
    <w:p>
      <w:pPr>
        <w:pStyle w:val="BodyText"/>
        <w:bidi w:val="0"/>
        <w:jc w:val="start"/>
        <w:rPr/>
      </w:pPr>
      <w:r>
        <w:rPr/>
        <w:t>Logical separation, access control, registry, minimisation and monitoring apply. Direct identifiers are prohibited in approved training datasets. Contact privacy@djai.academy.</w:t>
      </w:r>
    </w:p>
    <w:p>
      <w:pPr>
        <w:pStyle w:val="Heading1"/>
        <w:bidi w:val="0"/>
        <w:jc w:val="start"/>
        <w:rPr/>
      </w:pPr>
      <w:r>
        <w:rPr/>
        <w:t>Deejai Marketing Consent Text</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English interface text</w:t>
      </w:r>
    </w:p>
    <w:p>
      <w:pPr>
        <w:pStyle w:val="BodyText"/>
        <w:bidi w:val="0"/>
        <w:jc w:val="start"/>
        <w:rPr/>
      </w:pPr>
      <w:r>
        <w:rPr/>
        <w:t xml:space="preserve">☐ </w:t>
      </w:r>
      <w:r>
        <w:rPr/>
        <w:t>I agree that DEEJAI LAB CO., LTD. may use my name and the contact details I provide to send me information about DJBOT, DJAI Academy and related digital products or services by email, telephone or LINE, depending on the details I provide. I can withdraw at any time through https://djai.academy/privacy/preferences or privacy@djai.academy. I can still use the Merchant's chat if I do not agree.</w:t>
      </w:r>
    </w:p>
    <w:p>
      <w:pPr>
        <w:pStyle w:val="Heading2"/>
        <w:bidi w:val="0"/>
        <w:jc w:val="start"/>
        <w:rPr/>
      </w:pPr>
      <w:r>
        <w:rPr/>
        <w:t>Thai interface text</w:t>
      </w:r>
    </w:p>
    <w:p>
      <w:pPr>
        <w:pStyle w:val="BodyText"/>
        <w:bidi w:val="0"/>
        <w:jc w:val="start"/>
        <w:rPr/>
      </w:pPr>
      <w:r>
        <w:rPr/>
        <w:t xml:space="preserve">☐ </w:t>
      </w:r>
      <w:r>
        <w:rPr/>
        <w:t xml:space="preserve">ข้าพเจ้ายินยอมให้ บริษัท ดีใจ แล็บ จำกัด ใช้ชื่อและข้อมูลติดต่อที่ข้าพเจ้าให้ไว้ เพื่อส่งข้อมูลเกี่ยวกับ </w:t>
      </w:r>
      <w:r>
        <w:rPr/>
        <w:t xml:space="preserve">DJBOT, DJAI Academy </w:t>
      </w:r>
      <w:r>
        <w:rPr/>
        <w:t xml:space="preserve">และผลิตภัณฑ์หรือบริการดิจิทัลที่เกี่ยวข้อง ผ่านอีเมล โทรศัพท์ หรือ </w:t>
      </w:r>
      <w:r>
        <w:rPr/>
        <w:t xml:space="preserve">LINE </w:t>
      </w:r>
      <w:r>
        <w:rPr/>
        <w:t>ตามข้อมูลติดต่อที่ข้าพเจ้าให้ไว้ ข้าพเจ้าสามารถถอนความยินยอมได้ทุกเมื่อ และยังสามารถใช้แชตของร้านค้าได้แม้ไม่ยินยอม</w:t>
      </w:r>
    </w:p>
    <w:p>
      <w:pPr>
        <w:pStyle w:val="Heading2"/>
        <w:bidi w:val="0"/>
        <w:jc w:val="start"/>
        <w:rPr/>
      </w:pPr>
      <w:r>
        <w:rPr/>
        <w:t>Scope</w:t>
      </w:r>
    </w:p>
    <w:p>
      <w:pPr>
        <w:pStyle w:val="BodyText"/>
        <w:bidi w:val="0"/>
        <w:jc w:val="start"/>
        <w:rPr/>
      </w:pPr>
      <w:r>
        <w:rPr/>
        <w:t>Only Deejai's own marketing. It excludes Merchant marketing, partner marketing, model development and chat-content disclosure. Contact data is retained until withdrawal or 24 months after last engagement; suppression evidence five years.</w:t>
      </w:r>
    </w:p>
    <w:p>
      <w:pPr>
        <w:pStyle w:val="Heading1"/>
        <w:bidi w:val="0"/>
        <w:jc w:val="start"/>
        <w:rPr/>
      </w:pPr>
      <w:r>
        <w:rPr/>
        <w:t>Marketing Partner Consent Text</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Current status</w:t>
      </w:r>
    </w:p>
    <w:p>
      <w:pPr>
        <w:pStyle w:val="BodyText"/>
        <w:bidi w:val="0"/>
        <w:jc w:val="start"/>
        <w:rPr/>
      </w:pPr>
      <w:r>
        <w:rPr/>
        <w:t>This control must remain hidden/disabled because no partner is active.</w:t>
      </w:r>
    </w:p>
    <w:p>
      <w:pPr>
        <w:pStyle w:val="Heading2"/>
        <w:bidi w:val="0"/>
        <w:jc w:val="start"/>
        <w:rPr/>
      </w:pPr>
      <w:r>
        <w:rPr/>
        <w:t>Future English text</w:t>
      </w:r>
    </w:p>
    <w:p>
      <w:pPr>
        <w:pStyle w:val="BodyText"/>
        <w:bidi w:val="0"/>
        <w:jc w:val="start"/>
        <w:rPr/>
      </w:pPr>
      <w:r>
        <w:rPr/>
        <w:t xml:space="preserve">☐ </w:t>
      </w:r>
      <w:r>
        <w:rPr/>
        <w:t>I agree that DEEJAI LAB CO., LTD. may share my name and contact details with the marketing partners identified in the Partner Schedule so they may contact me about the stated product or service categories. I can withdraw through https://djai.academy/privacy/preferences or privacy@djai.academy. I can still use the Merchant's chat if I do not agree.</w:t>
      </w:r>
    </w:p>
    <w:p>
      <w:pPr>
        <w:pStyle w:val="Heading2"/>
        <w:bidi w:val="0"/>
        <w:jc w:val="start"/>
        <w:rPr/>
      </w:pPr>
      <w:r>
        <w:rPr/>
        <w:t>Future Thai text</w:t>
      </w:r>
    </w:p>
    <w:p>
      <w:pPr>
        <w:pStyle w:val="BodyText"/>
        <w:bidi w:val="0"/>
        <w:jc w:val="start"/>
        <w:rPr/>
      </w:pPr>
      <w:r>
        <w:rPr/>
        <w:t xml:space="preserve">☐ </w:t>
      </w:r>
      <w:r>
        <w:rPr/>
        <w:t>ข้าพเจ้ายินยอมให้ บริษัท ดีใจ แล็บ จำกัด เปิดเผยชื่อและข้อมูลติดต่อที่ข้าพเจ้าให้ไว้แก่พันธมิตรทางการตลาดที่ระบุในตารางพันธมิตร เพื่อให้พันธมิตรดังกล่าวติดต่อข้าพเจ้าเกี่ยวกับประเภทผลิตภัณฑ์หรือบริการที่ระบุไว้ ข้าพเจ้าสามารถถอนความยินยอมได้ทุกเมื่อ และยังสามารถใช้แชตของร้านค้าได้แม้ไม่ยินยอม</w:t>
      </w:r>
    </w:p>
    <w:p>
      <w:pPr>
        <w:pStyle w:val="Heading2"/>
        <w:bidi w:val="0"/>
        <w:jc w:val="start"/>
        <w:rPr/>
      </w:pPr>
      <w:r>
        <w:rPr/>
        <w:t>Limits</w:t>
      </w:r>
    </w:p>
    <w:p>
      <w:pPr>
        <w:pStyle w:val="BodyText"/>
        <w:bidi w:val="0"/>
        <w:jc w:val="start"/>
        <w:rPr/>
      </w:pPr>
      <w:r>
        <w:rPr/>
        <w:t>No chat content, sensitive or child data. Consent is valid only for approved recipients, fields, channels, categories and retention. Material new partners may require fresh consent.</w:t>
      </w:r>
    </w:p>
    <w:p>
      <w:pPr>
        <w:pStyle w:val="Heading1"/>
        <w:bidi w:val="0"/>
        <w:jc w:val="start"/>
        <w:rPr/>
      </w:pPr>
      <w:r>
        <w:rPr/>
        <w:t>Model Development Consent Text</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English interface text</w:t>
      </w:r>
    </w:p>
    <w:p>
      <w:pPr>
        <w:pStyle w:val="BodyText"/>
        <w:bidi w:val="0"/>
        <w:jc w:val="start"/>
        <w:rPr/>
      </w:pPr>
      <w:r>
        <w:rPr/>
        <w:t xml:space="preserve">☐ </w:t>
      </w:r>
      <w:r>
        <w:rPr/>
        <w:t>I agree that DEEJAI LAB CO., LTD. may use a controlled copy of this conversation to develop, test and improve language models after removing direct identifiers such as my name, email address and telephone number. The conversation is not described as anonymous and may be reviewed by authorised personnel under safeguards. I can withdraw future use through https://djai.academy/privacy/preferences or privacy@djai.academy. I can still use the Merchant's chat if I do not agree.</w:t>
      </w:r>
    </w:p>
    <w:p>
      <w:pPr>
        <w:pStyle w:val="Heading2"/>
        <w:bidi w:val="0"/>
        <w:jc w:val="start"/>
        <w:rPr/>
      </w:pPr>
      <w:r>
        <w:rPr/>
        <w:t>Thai interface text</w:t>
      </w:r>
    </w:p>
    <w:p>
      <w:pPr>
        <w:pStyle w:val="BodyText"/>
        <w:bidi w:val="0"/>
        <w:jc w:val="start"/>
        <w:rPr/>
      </w:pPr>
      <w:r>
        <w:rPr/>
        <w:t xml:space="preserve">☐ </w:t>
      </w:r>
      <w:r>
        <w:rPr/>
        <w:t>ข้าพเจ้ายินยอมให้ บริษัท ดีใจ แล็บ จำกัด ใช้สำเนาการสนทนานี้ภายใต้การควบคุม เพื่อพัฒนา ทดสอบ และปรับปรุงโมเดลภาษา หลังจากลบข้อมูลระบุตัวตนโดยตรง เช่น ชื่อ อีเมล และหมายเลขโทรศัพท์ ข้อมูลการสนทนานี้จะไม่ถูกเรียกว่าเป็นข้อมูลนิรนาม และอาจมีผู้ได้รับอนุญาตตรวจสอบภายใต้มาตรการคุ้มครอง ข้าพเจ้าสามารถถอนความยินยอมสำหรับการใช้ในอนาคตได้ และยังสามารถใช้แชตของร้านค้าได้แม้ไม่ยินยอม</w:t>
      </w:r>
    </w:p>
    <w:p>
      <w:pPr>
        <w:pStyle w:val="Heading2"/>
        <w:bidi w:val="0"/>
        <w:jc w:val="start"/>
        <w:rPr/>
      </w:pPr>
      <w:r>
        <w:rPr/>
        <w:t>Scope</w:t>
      </w:r>
    </w:p>
    <w:p>
      <w:pPr>
        <w:pStyle w:val="BodyText"/>
        <w:bidi w:val="0"/>
        <w:jc w:val="start"/>
        <w:rPr/>
      </w:pPr>
      <w:r>
        <w:rPr/>
        <w:t>Model development only; no marketing/partner disclosure. Known child/sensitive conversations excluded. Withdrawal limits are in the Model Notice.</w:t>
      </w:r>
    </w:p>
    <w:p>
      <w:pPr>
        <w:pStyle w:val="Heading1"/>
        <w:bidi w:val="0"/>
        <w:jc w:val="start"/>
        <w:rPr/>
      </w:pPr>
      <w:r>
        <w:rPr/>
        <w:t>Consent Withdrawal and Preference Notice</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Choices</w:t>
      </w:r>
    </w:p>
    <w:p>
      <w:pPr>
        <w:pStyle w:val="BodyText"/>
        <w:bidi w:val="0"/>
        <w:jc w:val="start"/>
        <w:rPr/>
      </w:pPr>
      <w:r>
        <w:rPr/>
        <w:t>A person may separately manage Deejai marketing, partner marketing, model development and, where active, voice recording or marketing-call preferences.</w:t>
      </w:r>
    </w:p>
    <w:p>
      <w:pPr>
        <w:pStyle w:val="Heading2"/>
        <w:bidi w:val="0"/>
        <w:jc w:val="start"/>
        <w:rPr/>
      </w:pPr>
      <w:r>
        <w:rPr/>
        <w:t>2. Channels</w:t>
      </w:r>
    </w:p>
    <w:p>
      <w:pPr>
        <w:pStyle w:val="BodyText"/>
        <w:bidi w:val="0"/>
        <w:jc w:val="start"/>
        <w:rPr/>
      </w:pPr>
      <w:r>
        <w:rPr/>
        <w:t>Use https://djai.academy/privacy/preferences, message unsubscribe or privacy@djai.academy. Telephone/LINE opt-outs must enter the central suppression system.</w:t>
      </w:r>
    </w:p>
    <w:p>
      <w:pPr>
        <w:pStyle w:val="Heading2"/>
        <w:bidi w:val="0"/>
        <w:jc w:val="start"/>
        <w:rPr/>
      </w:pPr>
      <w:r>
        <w:rPr/>
        <w:t>3. Effect</w:t>
      </w:r>
    </w:p>
    <w:p>
      <w:pPr>
        <w:pStyle w:val="BodyText"/>
        <w:bidi w:val="0"/>
        <w:jc w:val="start"/>
        <w:rPr/>
      </w:pPr>
      <w:r>
        <w:rPr/>
        <w:t>Withdrawal stops future processing as soon as reasonably practicable and does not affect prior lawful processing. Model withdrawal removes active eligible records where reasonably possible but may not remove effect from a completed model.</w:t>
      </w:r>
    </w:p>
    <w:p>
      <w:pPr>
        <w:pStyle w:val="Heading2"/>
        <w:bidi w:val="0"/>
        <w:jc w:val="start"/>
        <w:rPr/>
      </w:pPr>
      <w:r>
        <w:rPr/>
        <w:t>4. Suppression</w:t>
      </w:r>
    </w:p>
    <w:p>
      <w:pPr>
        <w:pStyle w:val="BodyText"/>
        <w:bidi w:val="0"/>
        <w:jc w:val="start"/>
        <w:rPr/>
      </w:pPr>
      <w:r>
        <w:rPr/>
        <w:t>A minimal hashed/normalised identifier, purpose, channel, withdrawal date and evidence reference may be retained five years to prevent renewed contact and prove compliance.</w:t>
      </w:r>
    </w:p>
    <w:p>
      <w:pPr>
        <w:pStyle w:val="Heading2"/>
        <w:bidi w:val="0"/>
        <w:jc w:val="start"/>
        <w:rPr/>
      </w:pPr>
      <w:r>
        <w:rPr/>
        <w:t>5. Merchant distinction</w:t>
      </w:r>
    </w:p>
    <w:p>
      <w:pPr>
        <w:pStyle w:val="BodyText"/>
        <w:bidi w:val="0"/>
        <w:jc w:val="start"/>
        <w:rPr/>
      </w:pPr>
      <w:r>
        <w:rPr/>
        <w:t>Deejai withdrawal does not withdraw Merchant marketing. Customer must contact Merchant for Merchant purpose; Deejai will help redirect.</w:t>
      </w:r>
    </w:p>
    <w:p>
      <w:pPr>
        <w:pStyle w:val="Heading2"/>
        <w:bidi w:val="0"/>
        <w:jc w:val="start"/>
        <w:rPr/>
      </w:pPr>
      <w:r>
        <w:rPr/>
        <w:t>6. Response</w:t>
      </w:r>
    </w:p>
    <w:p>
      <w:pPr>
        <w:pStyle w:val="BodyText"/>
        <w:bidi w:val="0"/>
        <w:jc w:val="start"/>
        <w:rPr/>
      </w:pPr>
      <w:r>
        <w:rPr/>
        <w:t>Electronic opt-outs normally apply immediately. Complex rights requests may require identity verification and legal assessment.</w:t>
      </w:r>
    </w:p>
    <w:p>
      <w:pPr>
        <w:pStyle w:val="Heading1"/>
        <w:bidi w:val="0"/>
        <w:jc w:val="start"/>
        <w:rPr/>
      </w:pPr>
      <w:r>
        <w:rPr/>
        <w:t>AI Text Bot Interaction Notice</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Short notice</w:t>
      </w:r>
    </w:p>
    <w:p>
      <w:pPr>
        <w:pStyle w:val="BodyText"/>
        <w:bidi w:val="0"/>
        <w:jc w:val="start"/>
        <w:rPr/>
      </w:pPr>
      <w:r>
        <w:rPr/>
        <w:t>You are chatting with an AI-assisted system operated for the Merchant. Responses may be incomplete or incorrect. Do not submit passwords, OTPs, full card details, identity documents, unrequested sensitive data or emergency information. Confirm important decisions with a qualified person and use the human-help control.</w:t>
      </w:r>
    </w:p>
    <w:p>
      <w:pPr>
        <w:pStyle w:val="Heading2"/>
        <w:bidi w:val="0"/>
        <w:jc w:val="start"/>
        <w:rPr/>
      </w:pPr>
      <w:r>
        <w:rPr/>
        <w:t>Detailed notice</w:t>
      </w:r>
    </w:p>
    <w:p>
      <w:pPr>
        <w:pStyle w:val="BodyText"/>
        <w:bidi w:val="0"/>
        <w:jc w:val="start"/>
        <w:rPr/>
      </w:pPr>
      <w:r>
        <w:rPr/>
        <w:t>Merchant determines business purpose/content sources. Deejai processes prompts/outputs to provide service. An AI provider may receive data only after being listed. Model development requires separate optional choice. The bot may not make final high-impact decisions or replace emergency, medical, legal or financial professionals.</w:t>
      </w:r>
    </w:p>
    <w:p>
      <w:pPr>
        <w:pStyle w:val="Heading2"/>
        <w:bidi w:val="0"/>
        <w:jc w:val="start"/>
        <w:rPr/>
      </w:pPr>
      <w:r>
        <w:rPr/>
        <w:t>Human escalation</w:t>
      </w:r>
    </w:p>
    <w:p>
      <w:pPr>
        <w:pStyle w:val="BodyText"/>
        <w:bidi w:val="0"/>
        <w:jc w:val="start"/>
        <w:rPr/>
      </w:pPr>
      <w:r>
        <w:rPr/>
        <w:t>Merchant must provide a human contact for material complaints, transactions and matters the AI cannot safely resolve. The bot must not falsely claim human review.</w:t>
      </w:r>
    </w:p>
    <w:p>
      <w:pPr>
        <w:pStyle w:val="Heading1"/>
        <w:bidi w:val="0"/>
        <w:jc w:val="start"/>
        <w:rPr/>
      </w:pPr>
      <w:r>
        <w:rPr/>
        <w:t>Voice Call Notice and Consent Scripts</w:t>
      </w:r>
    </w:p>
    <w:p>
      <w:pPr>
        <w:pStyle w:val="BodyText"/>
        <w:bidi w:val="0"/>
        <w:jc w:val="start"/>
        <w:rPr/>
      </w:pPr>
      <w:r>
        <w:rPr>
          <w:rStyle w:val="Strong"/>
        </w:rPr>
        <w:t>Status:</w:t>
      </w:r>
      <w:r>
        <w:rPr/>
        <w:t xml:space="preserve"> COUNSEL APPROVED BY OWNER ATTESTATION ON 15 AUGUST 2026 - EFFECTIVE ONLY WHEN RELEASE-GATED</w:t>
      </w:r>
    </w:p>
    <w:p>
      <w:pPr>
        <w:pStyle w:val="BodyText"/>
        <w:bidi w:val="0"/>
        <w:jc w:val="start"/>
        <w:rPr/>
      </w:pPr>
      <w:r>
        <w:rPr>
          <w:rStyle w:val="Strong"/>
        </w:rPr>
        <w:t>Drafting date:</w:t>
      </w:r>
      <w:r>
        <w:rPr/>
        <w:t xml:space="preserve"> 27 July 2026</w:t>
      </w:r>
    </w:p>
    <w:p>
      <w:pPr>
        <w:pStyle w:val="BodyText"/>
        <w:bidi w:val="0"/>
        <w:jc w:val="start"/>
        <w:rPr/>
      </w:pPr>
      <w:r>
        <w:rPr>
          <w:rStyle w:val="Strong"/>
        </w:rPr>
        <w:t>Operator:</w:t>
      </w:r>
      <w:r>
        <w:rPr/>
        <w:t xml:space="preserve"> DEEJAI LAB CO., LTD. (</w:t>
      </w:r>
      <w:r>
        <w:rPr/>
        <w:t>บริษัท ดีใจ แล็บ จำกัด</w:t>
      </w:r>
      <w:r>
        <w:rPr/>
        <w:t>), company registration number 0105569117953, operating DJAI Academy and DJBOT.</w:t>
      </w:r>
    </w:p>
    <w:p>
      <w:pPr>
        <w:pStyle w:val="BodyText"/>
        <w:bidi w:val="0"/>
        <w:jc w:val="start"/>
        <w:rPr/>
      </w:pPr>
      <w:r>
        <w:rPr>
          <w:rStyle w:val="Strong"/>
        </w:rPr>
        <w:t>Release rule:</w:t>
      </w:r>
      <w:r>
        <w:rPr/>
        <w:t xml:space="preserve"> This document must not be published or relied upon as a production promise until the Launch Readiness Certificate confirms that every dependent control has been implemented, tested and approved. Current-state facts control over target policy until verification.</w:t>
      </w:r>
    </w:p>
    <w:p>
      <w:pPr>
        <w:pStyle w:val="Heading2"/>
        <w:bidi w:val="0"/>
        <w:jc w:val="start"/>
        <w:rPr/>
      </w:pPr>
      <w:r>
        <w:rPr/>
        <w:t>1. Inbound, no recording</w:t>
      </w:r>
    </w:p>
    <w:p>
      <w:pPr>
        <w:pStyle w:val="BodyText"/>
        <w:bidi w:val="0"/>
        <w:jc w:val="start"/>
        <w:rPr/>
      </w:pPr>
      <w:r>
        <w:rPr/>
        <w:t>"Hello, you have reached the Merchant identified in the call configuration. This call is handled by an automated voice assistant provided through DJBOT. The assistant may create a text transcript to answer your request. The call is not recorded. Please do not provide passwords, one-time codes or full card details. Say 'human' at any time to request a person."</w:t>
      </w:r>
    </w:p>
    <w:p>
      <w:pPr>
        <w:pStyle w:val="Heading2"/>
        <w:bidi w:val="0"/>
        <w:jc w:val="start"/>
        <w:rPr/>
      </w:pPr>
      <w:r>
        <w:rPr/>
        <w:t>2. Inbound, recording after approval</w:t>
      </w:r>
    </w:p>
    <w:p>
      <w:pPr>
        <w:pStyle w:val="BodyText"/>
        <w:bidi w:val="0"/>
        <w:jc w:val="start"/>
        <w:rPr/>
      </w:pPr>
      <w:r>
        <w:rPr/>
        <w:t>"Hello, you have reached the Merchant identified in the call configuration. This call is handled by an automated voice assistant through DJBOT. With your permission, this call will be recorded and transcribed for handling your request and the purposes in the privacy notice. Say 'I agree' to continue with recording, or 'no recording' to continue without recording where available. Say 'human' for a person."</w:t>
      </w:r>
    </w:p>
    <w:p>
      <w:pPr>
        <w:pStyle w:val="Heading2"/>
        <w:bidi w:val="0"/>
        <w:jc w:val="start"/>
        <w:rPr/>
      </w:pPr>
      <w:r>
        <w:rPr/>
        <w:t>3. Outbound service</w:t>
      </w:r>
    </w:p>
    <w:p>
      <w:pPr>
        <w:pStyle w:val="BodyText"/>
        <w:bidi w:val="0"/>
        <w:jc w:val="start"/>
        <w:rPr/>
      </w:pPr>
      <w:r>
        <w:rPr/>
        <w:t>"Hello, this is the automated voice assistant of the Merchant identified in the call configuration calling about your request. This is not an emergency service. The call may be transcribed. Say 'human' for a person or 'stop' to end."</w:t>
      </w:r>
    </w:p>
    <w:p>
      <w:pPr>
        <w:pStyle w:val="Heading2"/>
        <w:bidi w:val="0"/>
        <w:jc w:val="start"/>
        <w:rPr/>
      </w:pPr>
      <w:r>
        <w:rPr/>
        <w:t>4. Outbound marketing</w:t>
      </w:r>
    </w:p>
    <w:p>
      <w:pPr>
        <w:pStyle w:val="BodyText"/>
        <w:bidi w:val="0"/>
        <w:jc w:val="start"/>
        <w:rPr/>
      </w:pPr>
      <w:r>
        <w:rPr/>
        <w:t>"Hello, this is the automated voice assistant of the Merchant identified in the call configuration. You previously agreed to receive this type of call. Say 'stop marketing' at any time to join the do-not-call list. This call is automated."</w:t>
      </w:r>
    </w:p>
    <w:p>
      <w:pPr>
        <w:pStyle w:val="Heading2"/>
        <w:bidi w:val="0"/>
        <w:jc w:val="start"/>
        <w:rPr/>
      </w:pPr>
      <w:r>
        <w:rPr/>
        <w:t>5. Thai inbound, no recording</w:t>
      </w:r>
    </w:p>
    <w:p>
      <w:pPr>
        <w:pStyle w:val="BodyText"/>
        <w:bidi w:val="0"/>
        <w:jc w:val="start"/>
        <w:rPr/>
      </w:pPr>
      <w:r>
        <w:rPr/>
        <w:t>"</w:t>
      </w:r>
      <w:r>
        <w:rPr/>
        <w:t>สวัสดีค่ะ</w:t>
      </w:r>
      <w:r>
        <w:rPr/>
        <w:t>/</w:t>
      </w:r>
      <w:r>
        <w:rPr/>
        <w:t xml:space="preserve">ครับ ท่านกำลังติดต่อ ร้านค้าที่ระบุไว้ในการตั้งค่าการโทร สายนี้ให้บริการโดยผู้ช่วยเสียงอัตโนมัติผ่าน </w:t>
      </w:r>
      <w:r>
        <w:rPr/>
        <w:t xml:space="preserve">DJBOT </w:t>
      </w:r>
      <w:r>
        <w:rPr/>
        <w:t xml:space="preserve">ระบบอาจสร้างข้อความถอดเสียงเพื่อดำเนินการตามคำขอของท่าน แต่จะไม่บันทึกเสียง กรุณาอย่าแจ้งรหัสผ่าน รหัส </w:t>
      </w:r>
      <w:r>
        <w:rPr/>
        <w:t xml:space="preserve">OTP </w:t>
      </w:r>
      <w:r>
        <w:rPr/>
        <w:t xml:space="preserve">หรือข้อมูลบัตรชำระเงินเต็มรูปแบบ หากต้องการติดต่อเจ้าหน้าที่ กรุณาพูดว่า </w:t>
      </w:r>
      <w:r>
        <w:rPr/>
        <w:t>'</w:t>
      </w:r>
      <w:r>
        <w:rPr/>
        <w:t>เจ้าหน้าที่</w:t>
      </w:r>
      <w:r>
        <w:rPr/>
        <w:t>'"</w:t>
      </w:r>
    </w:p>
    <w:p>
      <w:pPr>
        <w:pStyle w:val="Heading2"/>
        <w:bidi w:val="0"/>
        <w:jc w:val="start"/>
        <w:rPr/>
      </w:pPr>
      <w:r>
        <w:rPr/>
        <w:t>6. Rules</w:t>
      </w:r>
    </w:p>
    <w:p>
      <w:pPr>
        <w:pStyle w:val="BodyText"/>
        <w:bidi w:val="0"/>
        <w:spacing w:before="0" w:after="160"/>
        <w:jc w:val="start"/>
        <w:rPr/>
      </w:pPr>
      <w:r>
        <w:rPr/>
        <w:t>Recording stays disabled until provider, consent, retention and legal approval are active. Refusal is honoured. Merchant maintains lawful basis, hours and do-not-call list. Emergency/professional decisions require human transfer.</w:t>
      </w:r>
    </w:p>
    <w:sectPr>
      <w:type w:val="nextPage"/>
      <w:pgSz w:w="11906" w:h="16838"/>
      <w:pgMar w:left="1134" w:right="1134" w:gutter="0" w:header="0" w:top="1247" w:footer="0" w:bottom="124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Noto Sans Thai"/>
    <w:charset w:val="01" w:characterSet="utf-8"/>
    <w:family w:val="auto"/>
    <w:pitch w:val="default"/>
  </w:font>
  <w:font w:name="Noto Sans">
    <w:charset w:val="01" w:characterSet="utf-8"/>
    <w:family w:val="auto"/>
    <w:pitch w:val="variable"/>
  </w:font>
  <w:font w:name="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Arial;Noto Sans Thai;sans-serif" w:hAnsi="Arial;Noto Sans Thai;sans-serif" w:eastAsia="Arial;Noto Sans Thai;sans-serif" w:cs="Arial;Noto Sans Thai;sans-serif"/>
      <w:color w:val="171A1F"/>
      <w:sz w:val="21"/>
      <w:szCs w:val="21"/>
      <w:lang w:val="en-US" w:eastAsia="zh-CN" w:bidi="hi-IN"/>
    </w:rPr>
  </w:style>
  <w:style w:type="paragraph" w:styleId="Heading1">
    <w:name w:val="Heading 1"/>
    <w:basedOn w:val="Heading"/>
    <w:next w:val="BodyText"/>
    <w:qFormat/>
    <w:pPr>
      <w:spacing w:before="240" w:after="320"/>
    </w:pPr>
    <w:rPr>
      <w:rFonts w:ascii="Noto Sans" w:hAnsi="Noto Sans"/>
      <w:b/>
      <w:bCs/>
      <w:color w:val="0D4D3A"/>
      <w:sz w:val="46"/>
      <w:szCs w:val="46"/>
    </w:rPr>
  </w:style>
  <w:style w:type="paragraph" w:styleId="Heading2">
    <w:name w:val="Heading 2"/>
    <w:basedOn w:val="Heading"/>
    <w:next w:val="BodyText"/>
    <w:qFormat/>
    <w:pPr>
      <w:spacing w:before="360" w:after="160"/>
      <w:ind w:start="360" w:end="360"/>
      <w:outlineLvl w:val="1"/>
    </w:pPr>
    <w:rPr>
      <w:rFonts w:ascii="Liberation Serif" w:hAnsi="Liberation Serif" w:eastAsia="Noto Serif CJK SC" w:cs="Noto Sans Devanagari"/>
      <w:b/>
      <w:bCs/>
      <w:color w:val="126149"/>
      <w:sz w:val="30"/>
      <w:szCs w:val="30"/>
    </w:rPr>
  </w:style>
  <w:style w:type="paragraph" w:styleId="Heading3">
    <w:name w:val="Heading 3"/>
    <w:basedOn w:val="Heading"/>
    <w:next w:val="BodyText"/>
    <w:qFormat/>
    <w:pPr>
      <w:spacing w:before="280" w:after="120"/>
      <w:ind w:start="280" w:end="280"/>
      <w:outlineLvl w:val="2"/>
    </w:pPr>
    <w:rPr>
      <w:rFonts w:ascii="Liberation Serif" w:hAnsi="Liberation Serif" w:eastAsia="Noto Serif CJK SC" w:cs="Noto Sans Devanagari"/>
      <w:b/>
      <w:bCs/>
      <w:color w:val="173F35"/>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126149"/>
      <w:u w:val="single"/>
    </w:rPr>
  </w:style>
  <w:style w:type="character" w:styleId="SourceText">
    <w:name w:val="Source Text"/>
    <w:qFormat/>
    <w:rPr>
      <w:rFonts w:ascii="monospace" w:hAnsi="monospace" w:eastAsia="monospace" w:cs="monospace"/>
      <w:shd w:fill="F4F6F5"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FollowedHyperlink">
    <w:name w:val="FollowedHyperlink"/>
    <w:rPr>
      <w:color w:val="126149"/>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6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73F35"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DJBOT Public Contracts and Notices</dc:title>
</cp:coreProperties>
</file>

<file path=docProps/custom.xml><?xml version="1.0" encoding="utf-8"?>
<Properties xmlns="http://schemas.openxmlformats.org/officeDocument/2006/custom-properties" xmlns:vt="http://schemas.openxmlformats.org/officeDocument/2006/docPropsVTypes"/>
</file>