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20"/>
        <w:jc w:val="start"/>
        <w:rPr/>
      </w:pPr>
      <w:r>
        <w:rPr/>
        <w:t>Consolidated Counsel Brief - DJBOT Platform</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Instruction and scope</w:t>
      </w:r>
    </w:p>
    <w:p>
      <w:pPr>
        <w:pStyle w:val="BodyText"/>
        <w:bidi w:val="0"/>
        <w:jc w:val="start"/>
        <w:rPr/>
      </w:pPr>
      <w:r>
        <w:rPr/>
        <w:t>This brief requests legal approval for a B2B Thai SaaS framework. It supersedes the earlier Basic/Premium legal structure and preserves the rule that each product family requires documented approval before activation.</w:t>
      </w:r>
    </w:p>
    <w:p>
      <w:pPr>
        <w:pStyle w:val="BodyText"/>
        <w:bidi w:val="0"/>
        <w:jc w:val="start"/>
        <w:rPr/>
      </w:pPr>
      <w:r>
        <w:rPr/>
        <w:t>Covered products and uses:</w:t>
      </w:r>
    </w:p>
    <w:p>
      <w:pPr>
        <w:pStyle w:val="BodyText"/>
        <w:numPr>
          <w:ilvl w:val="0"/>
          <w:numId w:val="1"/>
        </w:numPr>
        <w:tabs>
          <w:tab w:val="clear" w:pos="1134"/>
          <w:tab w:val="left" w:pos="709" w:leader="none"/>
        </w:tabs>
        <w:bidi w:val="0"/>
        <w:spacing w:before="0" w:after="0"/>
        <w:ind w:hanging="283" w:start="709"/>
        <w:jc w:val="start"/>
        <w:rPr/>
      </w:pPr>
      <w:r>
        <w:rPr/>
        <w:t>Flow Bot Starter and Advanced: deterministic website journeys, forms, lead capture and handover.</w:t>
      </w:r>
    </w:p>
    <w:p>
      <w:pPr>
        <w:pStyle w:val="BodyText"/>
        <w:numPr>
          <w:ilvl w:val="0"/>
          <w:numId w:val="1"/>
        </w:numPr>
        <w:tabs>
          <w:tab w:val="clear" w:pos="1134"/>
          <w:tab w:val="left" w:pos="709" w:leader="none"/>
        </w:tabs>
        <w:bidi w:val="0"/>
        <w:spacing w:before="0" w:after="0"/>
        <w:ind w:hanging="283" w:start="709"/>
        <w:jc w:val="start"/>
        <w:rPr/>
      </w:pPr>
      <w:r>
        <w:rPr/>
        <w:t>AI Text Bot Starter and Advanced: dormant until an approved live AI provider route and release evidence are recorded.</w:t>
      </w:r>
    </w:p>
    <w:p>
      <w:pPr>
        <w:pStyle w:val="BodyText"/>
        <w:numPr>
          <w:ilvl w:val="0"/>
          <w:numId w:val="1"/>
        </w:numPr>
        <w:tabs>
          <w:tab w:val="clear" w:pos="1134"/>
          <w:tab w:val="left" w:pos="709" w:leader="none"/>
        </w:tabs>
        <w:bidi w:val="0"/>
        <w:spacing w:before="0" w:after="0"/>
        <w:ind w:hanging="283" w:start="709"/>
        <w:jc w:val="start"/>
        <w:rPr/>
      </w:pPr>
      <w:r>
        <w:rPr/>
        <w:t>AI Voice Bot Starter and Advanced: dormant until an approved live Voice route, disclosure and recording controls are recorded.</w:t>
      </w:r>
    </w:p>
    <w:p>
      <w:pPr>
        <w:pStyle w:val="BodyText"/>
        <w:numPr>
          <w:ilvl w:val="0"/>
          <w:numId w:val="1"/>
        </w:numPr>
        <w:tabs>
          <w:tab w:val="clear" w:pos="1134"/>
          <w:tab w:val="left" w:pos="709" w:leader="none"/>
        </w:tabs>
        <w:bidi w:val="0"/>
        <w:spacing w:before="0" w:after="0"/>
        <w:ind w:hanging="283" w:start="709"/>
        <w:jc w:val="start"/>
        <w:rPr/>
      </w:pPr>
      <w:r>
        <w:rPr/>
        <w:t>Flow Bot Starter and AI Text Bot Starter trials under the fixed approved terms; AI Voice Bot has no trial.</w:t>
      </w:r>
    </w:p>
    <w:p>
      <w:pPr>
        <w:pStyle w:val="BodyText"/>
        <w:numPr>
          <w:ilvl w:val="0"/>
          <w:numId w:val="1"/>
        </w:numPr>
        <w:tabs>
          <w:tab w:val="clear" w:pos="1134"/>
          <w:tab w:val="left" w:pos="709" w:leader="none"/>
        </w:tabs>
        <w:bidi w:val="0"/>
        <w:spacing w:before="0" w:after="0"/>
        <w:ind w:hanging="283" w:start="709"/>
        <w:jc w:val="start"/>
        <w:rPr/>
      </w:pPr>
      <w:r>
        <w:rPr/>
        <w:t>Social and messaging channels: excluded from the initial release.</w:t>
      </w:r>
    </w:p>
    <w:p>
      <w:pPr>
        <w:pStyle w:val="BodyText"/>
        <w:numPr>
          <w:ilvl w:val="0"/>
          <w:numId w:val="1"/>
        </w:numPr>
        <w:tabs>
          <w:tab w:val="clear" w:pos="1134"/>
          <w:tab w:val="left" w:pos="709" w:leader="none"/>
        </w:tabs>
        <w:bidi w:val="0"/>
        <w:ind w:hanging="283" w:start="709"/>
        <w:jc w:val="start"/>
        <w:rPr/>
      </w:pPr>
      <w:r>
        <w:rPr/>
        <w:t>Deejai marketing, partner marketing and model development, each separated from merchant-service processing.</w:t>
      </w:r>
    </w:p>
    <w:p>
      <w:pPr>
        <w:pStyle w:val="Heading2"/>
        <w:bidi w:val="0"/>
        <w:jc w:val="start"/>
        <w:rPr/>
      </w:pPr>
      <w:r>
        <w:rPr/>
        <w:t>2. Legal entity</w:t>
      </w:r>
    </w:p>
    <w:p>
      <w:pPr>
        <w:pStyle w:val="BodyText"/>
        <w:bidi w:val="0"/>
        <w:jc w:val="start"/>
        <w:rPr/>
      </w:pPr>
      <w:r>
        <w:rPr/>
        <w:t>The contracting entity is DEEJAI LAB CO., LTD., registration number 0105569117953, with registered office at 48/187 Soi Sukhumvit 64, Sukhumvit Road, Phra Khanong, Bangkok 10260, Thailand. DJAI Academy and DJBOT are brands. Company registry materials state that one director may sign and bind the company. Registered objectives include digital platforms, SaaS, AI/technology training, consulting, software, cloud systems and IT outsourcing.</w:t>
      </w:r>
    </w:p>
    <w:p>
      <w:pPr>
        <w:pStyle w:val="Heading2"/>
        <w:bidi w:val="0"/>
        <w:jc w:val="start"/>
        <w:rPr/>
      </w:pPr>
      <w:r>
        <w:rPr/>
        <w:t>3. Commercial facts</w:t>
      </w:r>
    </w:p>
    <w:p>
      <w:pPr>
        <w:pStyle w:val="BodyText"/>
        <w:bidi w:val="0"/>
        <w:jc w:val="start"/>
        <w:rPr/>
      </w:pPr>
      <w:r>
        <w:rPr/>
        <w:t>The six annual first-term/renewal prices are Flow Bot Starter THB 2,499/4,999; Flow Bot Advanced THB 4,450/8,900; AI Text Bot Starter THB 5,950/11,900; AI Text Bot Advanced THB 12,450/24,900; AI Voice Bot Starter THB 14,950/29,900; and AI Voice Bot Advanced THB 29,950/59,900. DEEJAI LAB CO., LTD. is not VAT registered, so no VAT is charged and each amount is the total contract price while that status continues. Deejai issues a lawful non-VAT receipt or payment record, not a VAT tax invoice. No unresolved overage or add-on is charged automatically.</w:t>
      </w:r>
    </w:p>
    <w:p>
      <w:pPr>
        <w:pStyle w:val="BodyText"/>
        <w:bidi w:val="0"/>
        <w:jc w:val="start"/>
        <w:rPr/>
      </w:pPr>
      <w:r>
        <w:rPr/>
        <w:t>A target maximum of three authorised website domains per bot is adopted, but the platform must enforce it before the Product Schedule becomes effective.</w:t>
      </w:r>
    </w:p>
    <w:p>
      <w:pPr>
        <w:pStyle w:val="Heading2"/>
        <w:bidi w:val="0"/>
        <w:jc w:val="start"/>
        <w:rPr/>
      </w:pPr>
      <w:r>
        <w:rPr/>
        <w:t>4. Role model</w:t>
      </w:r>
    </w:p>
    <w:p>
      <w:pPr>
        <w:pStyle w:val="BodyText"/>
        <w:bidi w:val="0"/>
        <w:jc w:val="start"/>
        <w:rPr/>
      </w:pPr>
      <w:r>
        <w:rPr/>
        <w:t>For a merchant enquiry, lead, merchant workspace and merchant-directed marketing, the Merchant is controller and Deejai is processor under the DPA.</w:t>
      </w:r>
    </w:p>
    <w:p>
      <w:pPr>
        <w:pStyle w:val="BodyText"/>
        <w:bidi w:val="0"/>
        <w:jc w:val="start"/>
        <w:rPr/>
      </w:pPr>
      <w:r>
        <w:rPr/>
        <w:t>For merchant accounts, billing, security, fraud prevention, Deejai marketing, partner marketing and model development, Deejai determines its own purpose and acts as controller. Independent Deejai uses are governed by the Customer Data Use Addendum and separate end-customer choices, regardless of service tier.</w:t>
      </w:r>
    </w:p>
    <w:p>
      <w:pPr>
        <w:pStyle w:val="BodyText"/>
        <w:bidi w:val="0"/>
        <w:jc w:val="start"/>
        <w:rPr/>
      </w:pPr>
      <w:r>
        <w:rPr/>
        <w:t>The following must be separate, unticked and optional:</w:t>
      </w:r>
    </w:p>
    <w:p>
      <w:pPr>
        <w:pStyle w:val="BodyText"/>
        <w:numPr>
          <w:ilvl w:val="0"/>
          <w:numId w:val="2"/>
        </w:numPr>
        <w:tabs>
          <w:tab w:val="clear" w:pos="1134"/>
          <w:tab w:val="left" w:pos="709" w:leader="none"/>
        </w:tabs>
        <w:bidi w:val="0"/>
        <w:spacing w:before="0" w:after="0"/>
        <w:ind w:hanging="283" w:start="709"/>
        <w:jc w:val="start"/>
        <w:rPr/>
      </w:pPr>
      <w:r>
        <w:rPr/>
        <w:t>Deejai marketing.</w:t>
      </w:r>
    </w:p>
    <w:p>
      <w:pPr>
        <w:pStyle w:val="BodyText"/>
        <w:numPr>
          <w:ilvl w:val="0"/>
          <w:numId w:val="2"/>
        </w:numPr>
        <w:tabs>
          <w:tab w:val="clear" w:pos="1134"/>
          <w:tab w:val="left" w:pos="709" w:leader="none"/>
        </w:tabs>
        <w:bidi w:val="0"/>
        <w:spacing w:before="0" w:after="0"/>
        <w:ind w:hanging="283" w:start="709"/>
        <w:jc w:val="start"/>
        <w:rPr/>
      </w:pPr>
      <w:r>
        <w:rPr/>
        <w:t>Marketing-partner disclosure.</w:t>
      </w:r>
    </w:p>
    <w:p>
      <w:pPr>
        <w:pStyle w:val="BodyText"/>
        <w:numPr>
          <w:ilvl w:val="0"/>
          <w:numId w:val="2"/>
        </w:numPr>
        <w:tabs>
          <w:tab w:val="clear" w:pos="1134"/>
          <w:tab w:val="left" w:pos="709" w:leader="none"/>
        </w:tabs>
        <w:bidi w:val="0"/>
        <w:ind w:hanging="283" w:start="709"/>
        <w:jc w:val="start"/>
        <w:rPr/>
      </w:pPr>
      <w:r>
        <w:rPr/>
        <w:t>Model development.</w:t>
      </w:r>
    </w:p>
    <w:p>
      <w:pPr>
        <w:pStyle w:val="BodyText"/>
        <w:bidi w:val="0"/>
        <w:jc w:val="start"/>
        <w:rPr/>
      </w:pPr>
      <w:r>
        <w:rPr/>
        <w:t>Partner sharing remains disabled until a named partner is approved and contracted.</w:t>
      </w:r>
    </w:p>
    <w:p>
      <w:pPr>
        <w:pStyle w:val="Heading2"/>
        <w:bidi w:val="0"/>
        <w:jc w:val="start"/>
        <w:rPr/>
      </w:pPr>
      <w:r>
        <w:rPr/>
        <w:t>5. Model-development rule</w:t>
      </w:r>
    </w:p>
    <w:p>
      <w:pPr>
        <w:pStyle w:val="BodyText"/>
        <w:bidi w:val="0"/>
        <w:jc w:val="start"/>
        <w:rPr/>
      </w:pPr>
      <w:r>
        <w:rPr/>
        <w:t xml:space="preserve">The package does not call conversation data anonymous. It uses </w:t>
      </w:r>
      <w:r>
        <w:rPr>
          <w:rStyle w:val="Strong"/>
        </w:rPr>
        <w:t>Training Conversation Data</w:t>
      </w:r>
      <w:r>
        <w:rPr/>
        <w:t xml:space="preserve"> or </w:t>
      </w:r>
      <w:r>
        <w:rPr>
          <w:rStyle w:val="Strong"/>
        </w:rPr>
        <w:t>Model Development Data</w:t>
      </w:r>
      <w:r>
        <w:rPr/>
        <w:t>. Direct identifiers must be removed before dataset admission; free-text screening, child/sensitive-data exclusion, provenance, access control and consent verification are mandatory. The data remains treated as personal data unless identification is no longer reasonably possible.</w:t>
      </w:r>
    </w:p>
    <w:p>
      <w:pPr>
        <w:pStyle w:val="Heading2"/>
        <w:bidi w:val="0"/>
        <w:jc w:val="start"/>
        <w:rPr/>
      </w:pPr>
      <w:r>
        <w:rPr/>
        <w:t>6. Current infrastructure</w:t>
      </w:r>
    </w:p>
    <w:p>
      <w:pPr>
        <w:pStyle w:val="BodyText"/>
        <w:bidi w:val="0"/>
        <w:jc w:val="start"/>
        <w:rPr/>
      </w:pPr>
      <w:r>
        <w:rPr/>
        <w:t xml:space="preserve">The primary database is currently Neon on AWS </w:t>
      </w:r>
      <w:r>
        <w:rPr>
          <w:rStyle w:val="SourceText"/>
        </w:rPr>
        <w:t>us-east-2</w:t>
      </w:r>
      <w:r>
        <w:rPr/>
        <w:t xml:space="preserve"> (Ohio, United States). The proposed GCP deployment declares </w:t>
      </w:r>
      <w:r>
        <w:rPr>
          <w:rStyle w:val="SourceText"/>
        </w:rPr>
        <w:t>asia-southeast3</w:t>
      </w:r>
      <w:r>
        <w:rPr/>
        <w:t xml:space="preserve"> primary and </w:t>
      </w:r>
      <w:r>
        <w:rPr>
          <w:rStyle w:val="SourceText"/>
        </w:rPr>
        <w:t>asia-southeast1</w:t>
      </w:r>
      <w:r>
        <w:rPr/>
        <w:t xml:space="preserve"> recovery, but it has not been applied or independently verified. Public documents must disclose US processing now and change only after verified migration.</w:t>
      </w:r>
    </w:p>
    <w:p>
      <w:pPr>
        <w:pStyle w:val="BodyText"/>
        <w:bidi w:val="0"/>
        <w:jc w:val="start"/>
        <w:rPr/>
      </w:pPr>
      <w:r>
        <w:rPr/>
        <w:t>Current hosting uses Neon and its AWS infrastructure. Stripe, Google Cloud, Resend, OpenAI Responses, Google Live and OpenAI Realtime remain intended or candidate routes until their exact production services and transfers are approved. No AI, Voice, telephony, social, analytics, Sentry, Cloudflare or marketing-partner production processing is approved.</w:t>
      </w:r>
    </w:p>
    <w:p>
      <w:pPr>
        <w:pStyle w:val="Heading2"/>
        <w:bidi w:val="0"/>
        <w:jc w:val="start"/>
        <w:rPr/>
      </w:pPr>
      <w:r>
        <w:rPr/>
        <w:t>7. Current retention facts</w:t>
      </w:r>
    </w:p>
    <w:p>
      <w:pPr>
        <w:pStyle w:val="BodyText"/>
        <w:numPr>
          <w:ilvl w:val="0"/>
          <w:numId w:val="3"/>
        </w:numPr>
        <w:tabs>
          <w:tab w:val="clear" w:pos="1134"/>
          <w:tab w:val="left" w:pos="709" w:leader="none"/>
        </w:tabs>
        <w:bidi w:val="0"/>
        <w:spacing w:before="0" w:after="0"/>
        <w:ind w:hanging="283" w:start="709"/>
        <w:jc w:val="start"/>
        <w:rPr/>
      </w:pPr>
      <w:r>
        <w:rPr/>
        <w:t>Chat content defaults to 365 days and is then replaced by a non-content tombstone.</w:t>
      </w:r>
    </w:p>
    <w:p>
      <w:pPr>
        <w:pStyle w:val="BodyText"/>
        <w:numPr>
          <w:ilvl w:val="0"/>
          <w:numId w:val="3"/>
        </w:numPr>
        <w:tabs>
          <w:tab w:val="clear" w:pos="1134"/>
          <w:tab w:val="left" w:pos="709" w:leader="none"/>
        </w:tabs>
        <w:bidi w:val="0"/>
        <w:spacing w:before="0" w:after="0"/>
        <w:ind w:hanging="283" w:start="709"/>
        <w:jc w:val="start"/>
        <w:rPr/>
      </w:pPr>
      <w:r>
        <w:rPr/>
        <w:t>Merchants can configure transcripts from 30 to 730 days.</w:t>
      </w:r>
    </w:p>
    <w:p>
      <w:pPr>
        <w:pStyle w:val="BodyText"/>
        <w:numPr>
          <w:ilvl w:val="0"/>
          <w:numId w:val="3"/>
        </w:numPr>
        <w:tabs>
          <w:tab w:val="clear" w:pos="1134"/>
          <w:tab w:val="left" w:pos="709" w:leader="none"/>
        </w:tabs>
        <w:bidi w:val="0"/>
        <w:spacing w:before="0" w:after="0"/>
        <w:ind w:hanging="283" w:start="709"/>
        <w:jc w:val="start"/>
        <w:rPr/>
      </w:pPr>
      <w:r>
        <w:rPr/>
        <w:t>Voice recording is disabled and forced to zero retention.</w:t>
      </w:r>
    </w:p>
    <w:p>
      <w:pPr>
        <w:pStyle w:val="BodyText"/>
        <w:numPr>
          <w:ilvl w:val="0"/>
          <w:numId w:val="3"/>
        </w:numPr>
        <w:tabs>
          <w:tab w:val="clear" w:pos="1134"/>
          <w:tab w:val="left" w:pos="709" w:leader="none"/>
        </w:tabs>
        <w:bidi w:val="0"/>
        <w:spacing w:before="0" w:after="0"/>
        <w:ind w:hanging="283" w:start="709"/>
        <w:jc w:val="start"/>
        <w:rPr/>
      </w:pPr>
      <w:r>
        <w:rPr/>
        <w:t>Privacy export access expires after seven days; the expired encrypted row is not yet physically purged.</w:t>
      </w:r>
    </w:p>
    <w:p>
      <w:pPr>
        <w:pStyle w:val="BodyText"/>
        <w:numPr>
          <w:ilvl w:val="0"/>
          <w:numId w:val="3"/>
        </w:numPr>
        <w:tabs>
          <w:tab w:val="clear" w:pos="1134"/>
          <w:tab w:val="left" w:pos="709" w:leader="none"/>
        </w:tabs>
        <w:bidi w:val="0"/>
        <w:spacing w:before="0" w:after="0"/>
        <w:ind w:hanging="283" w:start="709"/>
        <w:jc w:val="start"/>
        <w:rPr/>
      </w:pPr>
      <w:r>
        <w:rPr/>
        <w:t>Contacts and leads persist until erasure or closure handling; no time-based purge is active.</w:t>
      </w:r>
    </w:p>
    <w:p>
      <w:pPr>
        <w:pStyle w:val="BodyText"/>
        <w:numPr>
          <w:ilvl w:val="0"/>
          <w:numId w:val="3"/>
        </w:numPr>
        <w:tabs>
          <w:tab w:val="clear" w:pos="1134"/>
          <w:tab w:val="left" w:pos="709" w:leader="none"/>
        </w:tabs>
        <w:bidi w:val="0"/>
        <w:spacing w:before="0" w:after="0"/>
        <w:ind w:hanging="283" w:start="709"/>
        <w:jc w:val="start"/>
        <w:rPr/>
      </w:pPr>
      <w:r>
        <w:rPr/>
        <w:t>Closure, read-only export, production purge, reactivation, application-log retention and tax-record retention are not implemented as an approved automated schedule.</w:t>
      </w:r>
    </w:p>
    <w:p>
      <w:pPr>
        <w:pStyle w:val="BodyText"/>
        <w:numPr>
          <w:ilvl w:val="0"/>
          <w:numId w:val="3"/>
        </w:numPr>
        <w:tabs>
          <w:tab w:val="clear" w:pos="1134"/>
          <w:tab w:val="left" w:pos="709" w:leader="none"/>
        </w:tabs>
        <w:bidi w:val="0"/>
        <w:ind w:hanging="283" w:start="709"/>
        <w:jc w:val="start"/>
        <w:rPr/>
      </w:pPr>
      <w:r>
        <w:rPr/>
        <w:t>Planned GCP Cloud SQL specifies 30 retained backups and seven days of transaction logs.</w:t>
      </w:r>
    </w:p>
    <w:p>
      <w:pPr>
        <w:pStyle w:val="Heading2"/>
        <w:bidi w:val="0"/>
        <w:jc w:val="start"/>
        <w:rPr/>
      </w:pPr>
      <w:r>
        <w:rPr/>
        <w:t>8. Target policy, subject to implementation</w:t>
      </w:r>
    </w:p>
    <w:p>
      <w:pPr>
        <w:pStyle w:val="BodyText"/>
        <w:numPr>
          <w:ilvl w:val="0"/>
          <w:numId w:val="4"/>
        </w:numPr>
        <w:tabs>
          <w:tab w:val="clear" w:pos="1134"/>
          <w:tab w:val="left" w:pos="709" w:leader="none"/>
        </w:tabs>
        <w:bidi w:val="0"/>
        <w:spacing w:before="0" w:after="0"/>
        <w:ind w:hanging="283" w:start="709"/>
        <w:jc w:val="start"/>
        <w:rPr/>
      </w:pPr>
      <w:r>
        <w:rPr/>
        <w:t>Contacts/leads: 24 months after last activity.</w:t>
      </w:r>
    </w:p>
    <w:p>
      <w:pPr>
        <w:pStyle w:val="BodyText"/>
        <w:numPr>
          <w:ilvl w:val="0"/>
          <w:numId w:val="4"/>
        </w:numPr>
        <w:tabs>
          <w:tab w:val="clear" w:pos="1134"/>
          <w:tab w:val="left" w:pos="709" w:leader="none"/>
        </w:tabs>
        <w:bidi w:val="0"/>
        <w:spacing w:before="0" w:after="0"/>
        <w:ind w:hanging="283" w:start="709"/>
        <w:jc w:val="start"/>
        <w:rPr/>
      </w:pPr>
      <w:r>
        <w:rPr/>
        <w:t>Voluntary cancellation: access through paid term.</w:t>
      </w:r>
    </w:p>
    <w:p>
      <w:pPr>
        <w:pStyle w:val="BodyText"/>
        <w:numPr>
          <w:ilvl w:val="0"/>
          <w:numId w:val="4"/>
        </w:numPr>
        <w:tabs>
          <w:tab w:val="clear" w:pos="1134"/>
          <w:tab w:val="left" w:pos="709" w:leader="none"/>
        </w:tabs>
        <w:bidi w:val="0"/>
        <w:spacing w:before="0" w:after="0"/>
        <w:ind w:hanging="283" w:start="709"/>
        <w:jc w:val="start"/>
        <w:rPr/>
      </w:pPr>
      <w:r>
        <w:rPr/>
        <w:t>Read-only export/reactivation: 30 days after paid term.</w:t>
      </w:r>
    </w:p>
    <w:p>
      <w:pPr>
        <w:pStyle w:val="BodyText"/>
        <w:numPr>
          <w:ilvl w:val="0"/>
          <w:numId w:val="4"/>
        </w:numPr>
        <w:tabs>
          <w:tab w:val="clear" w:pos="1134"/>
          <w:tab w:val="left" w:pos="709" w:leader="none"/>
        </w:tabs>
        <w:bidi w:val="0"/>
        <w:spacing w:before="0" w:after="0"/>
        <w:ind w:hanging="283" w:start="709"/>
        <w:jc w:val="start"/>
        <w:rPr/>
      </w:pPr>
      <w:r>
        <w:rPr/>
        <w:t>Production purge after that window.</w:t>
      </w:r>
    </w:p>
    <w:p>
      <w:pPr>
        <w:pStyle w:val="BodyText"/>
        <w:numPr>
          <w:ilvl w:val="0"/>
          <w:numId w:val="4"/>
        </w:numPr>
        <w:tabs>
          <w:tab w:val="clear" w:pos="1134"/>
          <w:tab w:val="left" w:pos="709" w:leader="none"/>
        </w:tabs>
        <w:bidi w:val="0"/>
        <w:spacing w:before="0" w:after="0"/>
        <w:ind w:hanging="283" w:start="709"/>
        <w:jc w:val="start"/>
        <w:rPr/>
      </w:pPr>
      <w:r>
        <w:rPr/>
        <w:t>Backups expire within 30 additional days.</w:t>
      </w:r>
    </w:p>
    <w:p>
      <w:pPr>
        <w:pStyle w:val="BodyText"/>
        <w:numPr>
          <w:ilvl w:val="0"/>
          <w:numId w:val="4"/>
        </w:numPr>
        <w:tabs>
          <w:tab w:val="clear" w:pos="1134"/>
          <w:tab w:val="left" w:pos="709" w:leader="none"/>
        </w:tabs>
        <w:bidi w:val="0"/>
        <w:spacing w:before="0" w:after="0"/>
        <w:ind w:hanging="283" w:start="709"/>
        <w:jc w:val="start"/>
        <w:rPr/>
      </w:pPr>
      <w:r>
        <w:rPr/>
        <w:t>Application logs: 30 days.</w:t>
      </w:r>
    </w:p>
    <w:p>
      <w:pPr>
        <w:pStyle w:val="BodyText"/>
        <w:numPr>
          <w:ilvl w:val="0"/>
          <w:numId w:val="4"/>
        </w:numPr>
        <w:tabs>
          <w:tab w:val="clear" w:pos="1134"/>
          <w:tab w:val="left" w:pos="709" w:leader="none"/>
        </w:tabs>
        <w:bidi w:val="0"/>
        <w:spacing w:before="0" w:after="0"/>
        <w:ind w:hanging="283" w:start="709"/>
        <w:jc w:val="start"/>
        <w:rPr/>
      </w:pPr>
      <w:r>
        <w:rPr/>
        <w:t>Security/audit metadata: 24 months except legal/immutable evidence.</w:t>
      </w:r>
    </w:p>
    <w:p>
      <w:pPr>
        <w:pStyle w:val="BodyText"/>
        <w:numPr>
          <w:ilvl w:val="0"/>
          <w:numId w:val="4"/>
        </w:numPr>
        <w:tabs>
          <w:tab w:val="clear" w:pos="1134"/>
          <w:tab w:val="left" w:pos="709" w:leader="none"/>
        </w:tabs>
        <w:bidi w:val="0"/>
        <w:spacing w:before="0" w:after="0"/>
        <w:ind w:hanging="283" w:start="709"/>
        <w:jc w:val="start"/>
        <w:rPr/>
      </w:pPr>
      <w:r>
        <w:rPr/>
        <w:t>Billing/tax: seven years.</w:t>
      </w:r>
    </w:p>
    <w:p>
      <w:pPr>
        <w:pStyle w:val="BodyText"/>
        <w:numPr>
          <w:ilvl w:val="0"/>
          <w:numId w:val="4"/>
        </w:numPr>
        <w:tabs>
          <w:tab w:val="clear" w:pos="1134"/>
          <w:tab w:val="left" w:pos="709" w:leader="none"/>
        </w:tabs>
        <w:bidi w:val="0"/>
        <w:ind w:hanging="283" w:start="709"/>
        <w:jc w:val="start"/>
        <w:rPr/>
      </w:pPr>
      <w:r>
        <w:rPr/>
        <w:t>Legal holds: until released, then deletion resumes.</w:t>
      </w:r>
    </w:p>
    <w:p>
      <w:pPr>
        <w:pStyle w:val="Heading2"/>
        <w:bidi w:val="0"/>
        <w:jc w:val="start"/>
        <w:rPr/>
      </w:pPr>
      <w:r>
        <w:rPr/>
        <w:t>9. Decisions requested</w:t>
      </w:r>
    </w:p>
    <w:p>
      <w:pPr>
        <w:pStyle w:val="BodyText"/>
        <w:bidi w:val="0"/>
        <w:jc w:val="start"/>
        <w:rPr/>
      </w:pPr>
      <w:r>
        <w:rPr/>
        <w:t xml:space="preserve">The business owner attests that external Thai counsel approved the exact 15 August 2026 package, covering roles, legal bases, consent architecture, children/sensitive-data restrictions, transfers, target retention, liability, indemnity, model-development safeguards, Voice rules, DPO threshold assessment, B2B scope and non-VAT clarification. The lawyer communication is retained outside Git under internal reference </w:t>
      </w:r>
      <w:r>
        <w:rPr>
          <w:rStyle w:val="SourceText"/>
        </w:rPr>
        <w:t>OWNER-ATTESTED-COUNSEL-APPROVAL-2026-08-15-DJBOT-LEGAL-PACKAGE</w:t>
      </w:r>
      <w:r>
        <w:rPr/>
        <w:t>.</w:t>
      </w:r>
    </w:p>
    <w:p>
      <w:pPr>
        <w:pStyle w:val="BodyText"/>
        <w:bidi w:val="0"/>
        <w:jc w:val="start"/>
        <w:rPr/>
      </w:pPr>
      <w:r>
        <w:rPr/>
        <w:t>Each package may be approved separately. AI Text and AI Voice remain dormant until their specific gates pass. Social channels and partner sharing remain excluded from the initial release.</w:t>
      </w:r>
    </w:p>
    <w:p>
      <w:pPr>
        <w:pStyle w:val="Heading1"/>
        <w:bidi w:val="0"/>
        <w:jc w:val="start"/>
        <w:rPr/>
      </w:pPr>
      <w:r>
        <w:rPr/>
        <w:t>Controller and Processor Role Matrix</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Role matrix</w:t>
      </w:r>
    </w:p>
    <w:tbl>
      <w:tblPr>
        <w:tblW w:w="8000" w:type="dxa"/>
        <w:jc w:val="start"/>
        <w:tblInd w:w="0" w:type="dxa"/>
        <w:tblLayout w:type="fixed"/>
        <w:tblCellMar>
          <w:top w:w="28" w:type="dxa"/>
          <w:start w:w="28" w:type="dxa"/>
          <w:bottom w:w="28" w:type="dxa"/>
          <w:end w:w="28" w:type="dxa"/>
        </w:tblCellMar>
      </w:tblPr>
      <w:tblGrid>
        <w:gridCol w:w="1816"/>
        <w:gridCol w:w="1891"/>
        <w:gridCol w:w="1261"/>
        <w:gridCol w:w="1156"/>
        <w:gridCol w:w="1876"/>
      </w:tblGrid>
      <w:tr>
        <w:trPr>
          <w:tblHeader w:val="true"/>
        </w:trPr>
        <w:tc>
          <w:tcPr>
            <w:tcW w:w="1816" w:type="dxa"/>
            <w:tcBorders/>
            <w:vAlign w:val="center"/>
          </w:tcPr>
          <w:p>
            <w:pPr>
              <w:pStyle w:val="TableHeading"/>
              <w:suppressLineNumbers/>
              <w:shd w:fill="173F35" w:val="clear"/>
              <w:bidi w:val="0"/>
              <w:spacing w:before="0" w:after="160"/>
              <w:jc w:val="start"/>
              <w:rPr/>
            </w:pPr>
            <w:r>
              <w:rPr/>
              <w:t>Activity</w:t>
            </w:r>
          </w:p>
        </w:tc>
        <w:tc>
          <w:tcPr>
            <w:tcW w:w="1891" w:type="dxa"/>
            <w:tcBorders/>
            <w:vAlign w:val="center"/>
          </w:tcPr>
          <w:p>
            <w:pPr>
              <w:pStyle w:val="TableHeading"/>
              <w:suppressLineNumbers/>
              <w:shd w:fill="173F35" w:val="clear"/>
              <w:bidi w:val="0"/>
              <w:spacing w:before="0" w:after="160"/>
              <w:jc w:val="start"/>
              <w:rPr/>
            </w:pPr>
            <w:r>
              <w:rPr/>
              <w:t>Merchant role</w:t>
            </w:r>
          </w:p>
        </w:tc>
        <w:tc>
          <w:tcPr>
            <w:tcW w:w="1261" w:type="dxa"/>
            <w:tcBorders/>
            <w:vAlign w:val="center"/>
          </w:tcPr>
          <w:p>
            <w:pPr>
              <w:pStyle w:val="TableHeading"/>
              <w:suppressLineNumbers/>
              <w:shd w:fill="173F35" w:val="clear"/>
              <w:bidi w:val="0"/>
              <w:spacing w:before="0" w:after="160"/>
              <w:jc w:val="start"/>
              <w:rPr/>
            </w:pPr>
            <w:r>
              <w:rPr/>
              <w:t>Deejai role</w:t>
            </w:r>
          </w:p>
        </w:tc>
        <w:tc>
          <w:tcPr>
            <w:tcW w:w="1156" w:type="dxa"/>
            <w:tcBorders/>
            <w:vAlign w:val="center"/>
          </w:tcPr>
          <w:p>
            <w:pPr>
              <w:pStyle w:val="TableHeading"/>
              <w:suppressLineNumbers/>
              <w:shd w:fill="173F35" w:val="clear"/>
              <w:bidi w:val="0"/>
              <w:spacing w:before="0" w:after="160"/>
              <w:jc w:val="start"/>
              <w:rPr/>
            </w:pPr>
            <w:r>
              <w:rPr/>
              <w:t>Governing document</w:t>
            </w:r>
          </w:p>
        </w:tc>
        <w:tc>
          <w:tcPr>
            <w:tcW w:w="1876" w:type="dxa"/>
            <w:tcBorders/>
            <w:vAlign w:val="center"/>
          </w:tcPr>
          <w:p>
            <w:pPr>
              <w:pStyle w:val="TableHeading"/>
              <w:suppressLineNumbers/>
              <w:shd w:fill="173F35" w:val="clear"/>
              <w:bidi w:val="0"/>
              <w:spacing w:before="0" w:after="160"/>
              <w:jc w:val="start"/>
              <w:rPr/>
            </w:pPr>
            <w:r>
              <w:rPr/>
              <w:t>Condition</w:t>
            </w:r>
          </w:p>
        </w:tc>
      </w:tr>
      <w:tr>
        <w:trPr/>
        <w:tc>
          <w:tcPr>
            <w:tcW w:w="1816" w:type="dxa"/>
            <w:tcBorders/>
            <w:vAlign w:val="center"/>
          </w:tcPr>
          <w:p>
            <w:pPr>
              <w:pStyle w:val="TableContents"/>
              <w:bidi w:val="0"/>
              <w:spacing w:before="0" w:after="160"/>
              <w:jc w:val="start"/>
              <w:rPr/>
            </w:pPr>
            <w:r>
              <w:rPr/>
              <w:t>Merchant registration/authentication</w:t>
            </w:r>
          </w:p>
        </w:tc>
        <w:tc>
          <w:tcPr>
            <w:tcW w:w="1891" w:type="dxa"/>
            <w:tcBorders/>
            <w:vAlign w:val="center"/>
          </w:tcPr>
          <w:p>
            <w:pPr>
              <w:pStyle w:val="TableContents"/>
              <w:bidi w:val="0"/>
              <w:spacing w:before="0" w:after="160"/>
              <w:jc w:val="start"/>
              <w:rPr/>
            </w:pPr>
            <w:r>
              <w:rPr/>
              <w:t>Business customer/data source</w:t>
            </w:r>
          </w:p>
        </w:tc>
        <w:tc>
          <w:tcPr>
            <w:tcW w:w="1261" w:type="dxa"/>
            <w:tcBorders/>
            <w:vAlign w:val="center"/>
          </w:tcPr>
          <w:p>
            <w:pPr>
              <w:pStyle w:val="TableContents"/>
              <w:bidi w:val="0"/>
              <w:spacing w:before="0" w:after="160"/>
              <w:jc w:val="start"/>
              <w:rPr/>
            </w:pPr>
            <w:r>
              <w:rPr/>
              <w:t>Controller</w:t>
            </w:r>
          </w:p>
        </w:tc>
        <w:tc>
          <w:tcPr>
            <w:tcW w:w="1156" w:type="dxa"/>
            <w:tcBorders/>
            <w:vAlign w:val="center"/>
          </w:tcPr>
          <w:p>
            <w:pPr>
              <w:pStyle w:val="TableContents"/>
              <w:bidi w:val="0"/>
              <w:spacing w:before="0" w:after="160"/>
              <w:jc w:val="start"/>
              <w:rPr/>
            </w:pPr>
            <w:r>
              <w:rPr/>
              <w:t>Main Privacy Notice</w:t>
            </w:r>
          </w:p>
        </w:tc>
        <w:tc>
          <w:tcPr>
            <w:tcW w:w="1876" w:type="dxa"/>
            <w:tcBorders/>
            <w:vAlign w:val="center"/>
          </w:tcPr>
          <w:p>
            <w:pPr>
              <w:pStyle w:val="TableContents"/>
              <w:bidi w:val="0"/>
              <w:spacing w:before="0" w:after="160"/>
              <w:jc w:val="start"/>
              <w:rPr/>
            </w:pPr>
            <w:r>
              <w:rPr/>
              <w:t>Active</w:t>
            </w:r>
          </w:p>
        </w:tc>
      </w:tr>
      <w:tr>
        <w:trPr/>
        <w:tc>
          <w:tcPr>
            <w:tcW w:w="1816" w:type="dxa"/>
            <w:tcBorders/>
            <w:vAlign w:val="center"/>
          </w:tcPr>
          <w:p>
            <w:pPr>
              <w:pStyle w:val="TableContents"/>
              <w:bidi w:val="0"/>
              <w:spacing w:before="0" w:after="160"/>
              <w:jc w:val="start"/>
              <w:rPr/>
            </w:pPr>
            <w:r>
              <w:rPr/>
              <w:t>Billing/tax</w:t>
            </w:r>
          </w:p>
        </w:tc>
        <w:tc>
          <w:tcPr>
            <w:tcW w:w="1891" w:type="dxa"/>
            <w:tcBorders/>
            <w:vAlign w:val="center"/>
          </w:tcPr>
          <w:p>
            <w:pPr>
              <w:pStyle w:val="TableContents"/>
              <w:bidi w:val="0"/>
              <w:spacing w:before="0" w:after="160"/>
              <w:jc w:val="start"/>
              <w:rPr/>
            </w:pPr>
            <w:r>
              <w:rPr/>
              <w:t>Business customer</w:t>
            </w:r>
          </w:p>
        </w:tc>
        <w:tc>
          <w:tcPr>
            <w:tcW w:w="1261" w:type="dxa"/>
            <w:tcBorders/>
            <w:vAlign w:val="center"/>
          </w:tcPr>
          <w:p>
            <w:pPr>
              <w:pStyle w:val="TableContents"/>
              <w:bidi w:val="0"/>
              <w:spacing w:before="0" w:after="160"/>
              <w:jc w:val="start"/>
              <w:rPr/>
            </w:pPr>
            <w:r>
              <w:rPr/>
              <w:t>Controller</w:t>
            </w:r>
          </w:p>
        </w:tc>
        <w:tc>
          <w:tcPr>
            <w:tcW w:w="1156" w:type="dxa"/>
            <w:tcBorders/>
            <w:vAlign w:val="center"/>
          </w:tcPr>
          <w:p>
            <w:pPr>
              <w:pStyle w:val="TableContents"/>
              <w:bidi w:val="0"/>
              <w:spacing w:before="0" w:after="160"/>
              <w:jc w:val="start"/>
              <w:rPr/>
            </w:pPr>
            <w:r>
              <w:rPr/>
              <w:t>Terms; Privacy Notice</w:t>
            </w:r>
          </w:p>
        </w:tc>
        <w:tc>
          <w:tcPr>
            <w:tcW w:w="1876" w:type="dxa"/>
            <w:tcBorders/>
            <w:vAlign w:val="center"/>
          </w:tcPr>
          <w:p>
            <w:pPr>
              <w:pStyle w:val="TableContents"/>
              <w:bidi w:val="0"/>
              <w:spacing w:before="0" w:after="160"/>
              <w:jc w:val="start"/>
              <w:rPr/>
            </w:pPr>
            <w:r>
              <w:rPr/>
              <w:t>Stripe active</w:t>
            </w:r>
          </w:p>
        </w:tc>
      </w:tr>
      <w:tr>
        <w:trPr/>
        <w:tc>
          <w:tcPr>
            <w:tcW w:w="1816" w:type="dxa"/>
            <w:tcBorders/>
            <w:vAlign w:val="center"/>
          </w:tcPr>
          <w:p>
            <w:pPr>
              <w:pStyle w:val="TableContents"/>
              <w:bidi w:val="0"/>
              <w:spacing w:before="0" w:after="160"/>
              <w:jc w:val="start"/>
              <w:rPr/>
            </w:pPr>
            <w:r>
              <w:rPr/>
              <w:t>Website enquiry and lead</w:t>
            </w:r>
          </w:p>
        </w:tc>
        <w:tc>
          <w:tcPr>
            <w:tcW w:w="1891" w:type="dxa"/>
            <w:tcBorders/>
            <w:vAlign w:val="center"/>
          </w:tcPr>
          <w:p>
            <w:pPr>
              <w:pStyle w:val="TableContents"/>
              <w:bidi w:val="0"/>
              <w:spacing w:before="0" w:after="160"/>
              <w:jc w:val="start"/>
              <w:rPr/>
            </w:pPr>
            <w:r>
              <w:rPr/>
              <w:t>Controller</w:t>
            </w:r>
          </w:p>
        </w:tc>
        <w:tc>
          <w:tcPr>
            <w:tcW w:w="1261" w:type="dxa"/>
            <w:tcBorders/>
            <w:vAlign w:val="center"/>
          </w:tcPr>
          <w:p>
            <w:pPr>
              <w:pStyle w:val="TableContents"/>
              <w:bidi w:val="0"/>
              <w:spacing w:before="0" w:after="160"/>
              <w:jc w:val="start"/>
              <w:rPr/>
            </w:pPr>
            <w:r>
              <w:rPr/>
              <w:t>Processor</w:t>
            </w:r>
          </w:p>
        </w:tc>
        <w:tc>
          <w:tcPr>
            <w:tcW w:w="1156" w:type="dxa"/>
            <w:tcBorders/>
            <w:vAlign w:val="center"/>
          </w:tcPr>
          <w:p>
            <w:pPr>
              <w:pStyle w:val="TableContents"/>
              <w:bidi w:val="0"/>
              <w:spacing w:before="0" w:after="160"/>
              <w:jc w:val="start"/>
              <w:rPr/>
            </w:pPr>
            <w:r>
              <w:rPr/>
              <w:t>DPA</w:t>
            </w:r>
          </w:p>
        </w:tc>
        <w:tc>
          <w:tcPr>
            <w:tcW w:w="1876" w:type="dxa"/>
            <w:tcBorders/>
            <w:vAlign w:val="center"/>
          </w:tcPr>
          <w:p>
            <w:pPr>
              <w:pStyle w:val="TableContents"/>
              <w:bidi w:val="0"/>
              <w:spacing w:before="0" w:after="160"/>
              <w:jc w:val="start"/>
              <w:rPr/>
            </w:pPr>
            <w:r>
              <w:rPr/>
              <w:t>Flow service only after package approval</w:t>
            </w:r>
          </w:p>
        </w:tc>
      </w:tr>
      <w:tr>
        <w:trPr/>
        <w:tc>
          <w:tcPr>
            <w:tcW w:w="1816" w:type="dxa"/>
            <w:tcBorders/>
            <w:vAlign w:val="center"/>
          </w:tcPr>
          <w:p>
            <w:pPr>
              <w:pStyle w:val="TableContents"/>
              <w:bidi w:val="0"/>
              <w:spacing w:before="0" w:after="160"/>
              <w:jc w:val="start"/>
              <w:rPr/>
            </w:pPr>
            <w:r>
              <w:rPr/>
              <w:t>Merchant marketing</w:t>
            </w:r>
          </w:p>
        </w:tc>
        <w:tc>
          <w:tcPr>
            <w:tcW w:w="1891" w:type="dxa"/>
            <w:tcBorders/>
            <w:vAlign w:val="center"/>
          </w:tcPr>
          <w:p>
            <w:pPr>
              <w:pStyle w:val="TableContents"/>
              <w:bidi w:val="0"/>
              <w:spacing w:before="0" w:after="160"/>
              <w:jc w:val="start"/>
              <w:rPr/>
            </w:pPr>
            <w:r>
              <w:rPr/>
              <w:t>Controller</w:t>
            </w:r>
          </w:p>
        </w:tc>
        <w:tc>
          <w:tcPr>
            <w:tcW w:w="1261" w:type="dxa"/>
            <w:tcBorders/>
            <w:vAlign w:val="center"/>
          </w:tcPr>
          <w:p>
            <w:pPr>
              <w:pStyle w:val="TableContents"/>
              <w:bidi w:val="0"/>
              <w:spacing w:before="0" w:after="160"/>
              <w:jc w:val="start"/>
              <w:rPr/>
            </w:pPr>
            <w:r>
              <w:rPr/>
              <w:t>Processor to documented instructions</w:t>
            </w:r>
          </w:p>
        </w:tc>
        <w:tc>
          <w:tcPr>
            <w:tcW w:w="1156" w:type="dxa"/>
            <w:tcBorders/>
            <w:vAlign w:val="center"/>
          </w:tcPr>
          <w:p>
            <w:pPr>
              <w:pStyle w:val="TableContents"/>
              <w:bidi w:val="0"/>
              <w:spacing w:before="0" w:after="160"/>
              <w:jc w:val="start"/>
              <w:rPr/>
            </w:pPr>
            <w:r>
              <w:rPr/>
              <w:t>DPA; Merchant notice</w:t>
            </w:r>
          </w:p>
        </w:tc>
        <w:tc>
          <w:tcPr>
            <w:tcW w:w="1876" w:type="dxa"/>
            <w:tcBorders/>
            <w:vAlign w:val="center"/>
          </w:tcPr>
          <w:p>
            <w:pPr>
              <w:pStyle w:val="TableContents"/>
              <w:bidi w:val="0"/>
              <w:spacing w:before="0" w:after="160"/>
              <w:jc w:val="start"/>
              <w:rPr/>
            </w:pPr>
            <w:r>
              <w:rPr/>
              <w:t>Merchant lawful basis</w:t>
            </w:r>
          </w:p>
        </w:tc>
      </w:tr>
      <w:tr>
        <w:trPr/>
        <w:tc>
          <w:tcPr>
            <w:tcW w:w="1816" w:type="dxa"/>
            <w:tcBorders/>
            <w:vAlign w:val="center"/>
          </w:tcPr>
          <w:p>
            <w:pPr>
              <w:pStyle w:val="TableContents"/>
              <w:bidi w:val="0"/>
              <w:spacing w:before="0" w:after="160"/>
              <w:jc w:val="start"/>
              <w:rPr/>
            </w:pPr>
            <w:r>
              <w:rPr/>
              <w:t>Security/abuse monitoring</w:t>
            </w:r>
          </w:p>
        </w:tc>
        <w:tc>
          <w:tcPr>
            <w:tcW w:w="1891" w:type="dxa"/>
            <w:tcBorders/>
            <w:vAlign w:val="center"/>
          </w:tcPr>
          <w:p>
            <w:pPr>
              <w:pStyle w:val="TableContents"/>
              <w:bidi w:val="0"/>
              <w:spacing w:before="0" w:after="160"/>
              <w:jc w:val="start"/>
              <w:rPr/>
            </w:pPr>
            <w:r>
              <w:rPr/>
              <w:t>Service user</w:t>
            </w:r>
          </w:p>
        </w:tc>
        <w:tc>
          <w:tcPr>
            <w:tcW w:w="1261" w:type="dxa"/>
            <w:tcBorders/>
            <w:vAlign w:val="center"/>
          </w:tcPr>
          <w:p>
            <w:pPr>
              <w:pStyle w:val="TableContents"/>
              <w:bidi w:val="0"/>
              <w:spacing w:before="0" w:after="160"/>
              <w:jc w:val="start"/>
              <w:rPr/>
            </w:pPr>
            <w:r>
              <w:rPr/>
              <w:t>Controller</w:t>
            </w:r>
          </w:p>
        </w:tc>
        <w:tc>
          <w:tcPr>
            <w:tcW w:w="1156" w:type="dxa"/>
            <w:tcBorders/>
            <w:vAlign w:val="center"/>
          </w:tcPr>
          <w:p>
            <w:pPr>
              <w:pStyle w:val="TableContents"/>
              <w:bidi w:val="0"/>
              <w:spacing w:before="0" w:after="160"/>
              <w:jc w:val="start"/>
              <w:rPr/>
            </w:pPr>
            <w:r>
              <w:rPr/>
              <w:t>Main Privacy Notice</w:t>
            </w:r>
          </w:p>
        </w:tc>
        <w:tc>
          <w:tcPr>
            <w:tcW w:w="1876" w:type="dxa"/>
            <w:tcBorders/>
            <w:vAlign w:val="center"/>
          </w:tcPr>
          <w:p>
            <w:pPr>
              <w:pStyle w:val="TableContents"/>
              <w:bidi w:val="0"/>
              <w:spacing w:before="0" w:after="160"/>
              <w:jc w:val="start"/>
              <w:rPr/>
            </w:pPr>
            <w:r>
              <w:rPr/>
              <w:t>Legitimate-interest review</w:t>
            </w:r>
          </w:p>
        </w:tc>
      </w:tr>
      <w:tr>
        <w:trPr/>
        <w:tc>
          <w:tcPr>
            <w:tcW w:w="1816" w:type="dxa"/>
            <w:tcBorders/>
            <w:vAlign w:val="center"/>
          </w:tcPr>
          <w:p>
            <w:pPr>
              <w:pStyle w:val="TableContents"/>
              <w:bidi w:val="0"/>
              <w:spacing w:before="0" w:after="160"/>
              <w:jc w:val="start"/>
              <w:rPr/>
            </w:pPr>
            <w:r>
              <w:rPr/>
              <w:t>Deejai marketing to end customer</w:t>
            </w:r>
          </w:p>
        </w:tc>
        <w:tc>
          <w:tcPr>
            <w:tcW w:w="1891" w:type="dxa"/>
            <w:tcBorders/>
            <w:vAlign w:val="center"/>
          </w:tcPr>
          <w:p>
            <w:pPr>
              <w:pStyle w:val="TableContents"/>
              <w:bidi w:val="0"/>
              <w:spacing w:before="0" w:after="160"/>
              <w:jc w:val="start"/>
              <w:rPr/>
            </w:pPr>
            <w:r>
              <w:rPr/>
              <w:t>Collection-interface participant</w:t>
            </w:r>
          </w:p>
        </w:tc>
        <w:tc>
          <w:tcPr>
            <w:tcW w:w="1261" w:type="dxa"/>
            <w:tcBorders/>
            <w:vAlign w:val="center"/>
          </w:tcPr>
          <w:p>
            <w:pPr>
              <w:pStyle w:val="TableContents"/>
              <w:bidi w:val="0"/>
              <w:spacing w:before="0" w:after="160"/>
              <w:jc w:val="start"/>
              <w:rPr/>
            </w:pPr>
            <w:r>
              <w:rPr/>
              <w:t>Independent controller</w:t>
            </w:r>
          </w:p>
        </w:tc>
        <w:tc>
          <w:tcPr>
            <w:tcW w:w="1156" w:type="dxa"/>
            <w:tcBorders/>
            <w:vAlign w:val="center"/>
          </w:tcPr>
          <w:p>
            <w:pPr>
              <w:pStyle w:val="TableContents"/>
              <w:bidi w:val="0"/>
              <w:spacing w:before="0" w:after="160"/>
              <w:jc w:val="start"/>
              <w:rPr/>
            </w:pPr>
            <w:r>
              <w:rPr/>
              <w:t>Customer Data Use Addendum; Consent</w:t>
            </w:r>
          </w:p>
        </w:tc>
        <w:tc>
          <w:tcPr>
            <w:tcW w:w="1876" w:type="dxa"/>
            <w:tcBorders/>
            <w:vAlign w:val="center"/>
          </w:tcPr>
          <w:p>
            <w:pPr>
              <w:pStyle w:val="TableContents"/>
              <w:bidi w:val="0"/>
              <w:spacing w:before="0" w:after="160"/>
              <w:jc w:val="start"/>
              <w:rPr/>
            </w:pPr>
            <w:r>
              <w:rPr/>
              <w:t>Separate opt-in for every tier</w:t>
            </w:r>
          </w:p>
        </w:tc>
      </w:tr>
      <w:tr>
        <w:trPr/>
        <w:tc>
          <w:tcPr>
            <w:tcW w:w="1816" w:type="dxa"/>
            <w:tcBorders/>
            <w:vAlign w:val="center"/>
          </w:tcPr>
          <w:p>
            <w:pPr>
              <w:pStyle w:val="TableContents"/>
              <w:bidi w:val="0"/>
              <w:spacing w:before="0" w:after="160"/>
              <w:jc w:val="start"/>
              <w:rPr/>
            </w:pPr>
            <w:r>
              <w:rPr/>
              <w:t>Partner disclosure</w:t>
            </w:r>
          </w:p>
        </w:tc>
        <w:tc>
          <w:tcPr>
            <w:tcW w:w="1891" w:type="dxa"/>
            <w:tcBorders/>
            <w:vAlign w:val="center"/>
          </w:tcPr>
          <w:p>
            <w:pPr>
              <w:pStyle w:val="TableContents"/>
              <w:bidi w:val="0"/>
              <w:spacing w:before="0" w:after="160"/>
              <w:jc w:val="start"/>
              <w:rPr/>
            </w:pPr>
            <w:r>
              <w:rPr/>
              <w:t>Collection-interface participant</w:t>
            </w:r>
          </w:p>
        </w:tc>
        <w:tc>
          <w:tcPr>
            <w:tcW w:w="1261" w:type="dxa"/>
            <w:tcBorders/>
            <w:vAlign w:val="center"/>
          </w:tcPr>
          <w:p>
            <w:pPr>
              <w:pStyle w:val="TableContents"/>
              <w:bidi w:val="0"/>
              <w:spacing w:before="0" w:after="160"/>
              <w:jc w:val="start"/>
              <w:rPr/>
            </w:pPr>
            <w:r>
              <w:rPr/>
              <w:t>Disclosing controller</w:t>
            </w:r>
          </w:p>
        </w:tc>
        <w:tc>
          <w:tcPr>
            <w:tcW w:w="1156" w:type="dxa"/>
            <w:tcBorders/>
            <w:vAlign w:val="center"/>
          </w:tcPr>
          <w:p>
            <w:pPr>
              <w:pStyle w:val="TableContents"/>
              <w:bidi w:val="0"/>
              <w:spacing w:before="0" w:after="160"/>
              <w:jc w:val="start"/>
              <w:rPr/>
            </w:pPr>
            <w:r>
              <w:rPr/>
              <w:t>Addendum; Partner Consent/Terms</w:t>
            </w:r>
          </w:p>
        </w:tc>
        <w:tc>
          <w:tcPr>
            <w:tcW w:w="1876" w:type="dxa"/>
            <w:tcBorders/>
            <w:vAlign w:val="center"/>
          </w:tcPr>
          <w:p>
            <w:pPr>
              <w:pStyle w:val="TableContents"/>
              <w:bidi w:val="0"/>
              <w:spacing w:before="0" w:after="160"/>
              <w:jc w:val="start"/>
              <w:rPr/>
            </w:pPr>
            <w:r>
              <w:rPr/>
              <w:t>Disabled until named partner</w:t>
            </w:r>
          </w:p>
        </w:tc>
      </w:tr>
      <w:tr>
        <w:trPr/>
        <w:tc>
          <w:tcPr>
            <w:tcW w:w="1816" w:type="dxa"/>
            <w:tcBorders/>
            <w:vAlign w:val="center"/>
          </w:tcPr>
          <w:p>
            <w:pPr>
              <w:pStyle w:val="TableContents"/>
              <w:bidi w:val="0"/>
              <w:spacing w:before="0" w:after="160"/>
              <w:jc w:val="start"/>
              <w:rPr/>
            </w:pPr>
            <w:r>
              <w:rPr/>
              <w:t>Model development</w:t>
            </w:r>
          </w:p>
        </w:tc>
        <w:tc>
          <w:tcPr>
            <w:tcW w:w="1891" w:type="dxa"/>
            <w:tcBorders/>
            <w:vAlign w:val="center"/>
          </w:tcPr>
          <w:p>
            <w:pPr>
              <w:pStyle w:val="TableContents"/>
              <w:bidi w:val="0"/>
              <w:spacing w:before="0" w:after="160"/>
              <w:jc w:val="start"/>
              <w:rPr/>
            </w:pPr>
            <w:r>
              <w:rPr/>
              <w:t>Collection-interface participant</w:t>
            </w:r>
          </w:p>
        </w:tc>
        <w:tc>
          <w:tcPr>
            <w:tcW w:w="1261" w:type="dxa"/>
            <w:tcBorders/>
            <w:vAlign w:val="center"/>
          </w:tcPr>
          <w:p>
            <w:pPr>
              <w:pStyle w:val="TableContents"/>
              <w:bidi w:val="0"/>
              <w:spacing w:before="0" w:after="160"/>
              <w:jc w:val="start"/>
              <w:rPr/>
            </w:pPr>
            <w:r>
              <w:rPr/>
              <w:t>Controller</w:t>
            </w:r>
          </w:p>
        </w:tc>
        <w:tc>
          <w:tcPr>
            <w:tcW w:w="1156" w:type="dxa"/>
            <w:tcBorders/>
            <w:vAlign w:val="center"/>
          </w:tcPr>
          <w:p>
            <w:pPr>
              <w:pStyle w:val="TableContents"/>
              <w:bidi w:val="0"/>
              <w:spacing w:before="0" w:after="160"/>
              <w:jc w:val="start"/>
              <w:rPr/>
            </w:pPr>
            <w:r>
              <w:rPr/>
              <w:t>Model Notice and Consent</w:t>
            </w:r>
          </w:p>
        </w:tc>
        <w:tc>
          <w:tcPr>
            <w:tcW w:w="1876" w:type="dxa"/>
            <w:tcBorders/>
            <w:vAlign w:val="center"/>
          </w:tcPr>
          <w:p>
            <w:pPr>
              <w:pStyle w:val="TableContents"/>
              <w:bidi w:val="0"/>
              <w:spacing w:before="0" w:after="160"/>
              <w:jc w:val="start"/>
              <w:rPr/>
            </w:pPr>
            <w:r>
              <w:rPr/>
              <w:t>Governance gate</w:t>
            </w:r>
          </w:p>
        </w:tc>
      </w:tr>
      <w:tr>
        <w:trPr/>
        <w:tc>
          <w:tcPr>
            <w:tcW w:w="1816" w:type="dxa"/>
            <w:tcBorders/>
            <w:vAlign w:val="center"/>
          </w:tcPr>
          <w:p>
            <w:pPr>
              <w:pStyle w:val="TableContents"/>
              <w:bidi w:val="0"/>
              <w:spacing w:before="0" w:after="160"/>
              <w:jc w:val="start"/>
              <w:rPr/>
            </w:pPr>
            <w:r>
              <w:rPr/>
              <w:t>End-customer service data</w:t>
            </w:r>
          </w:p>
        </w:tc>
        <w:tc>
          <w:tcPr>
            <w:tcW w:w="1891" w:type="dxa"/>
            <w:tcBorders/>
            <w:vAlign w:val="center"/>
          </w:tcPr>
          <w:p>
            <w:pPr>
              <w:pStyle w:val="TableContents"/>
              <w:bidi w:val="0"/>
              <w:spacing w:before="0" w:after="160"/>
              <w:jc w:val="start"/>
              <w:rPr/>
            </w:pPr>
            <w:r>
              <w:rPr/>
              <w:t>Controller</w:t>
            </w:r>
          </w:p>
        </w:tc>
        <w:tc>
          <w:tcPr>
            <w:tcW w:w="1261" w:type="dxa"/>
            <w:tcBorders/>
            <w:vAlign w:val="center"/>
          </w:tcPr>
          <w:p>
            <w:pPr>
              <w:pStyle w:val="TableContents"/>
              <w:bidi w:val="0"/>
              <w:spacing w:before="0" w:after="160"/>
              <w:jc w:val="start"/>
              <w:rPr/>
            </w:pPr>
            <w:r>
              <w:rPr/>
              <w:t>Processor; no tier-based reuse</w:t>
            </w:r>
          </w:p>
        </w:tc>
        <w:tc>
          <w:tcPr>
            <w:tcW w:w="1156" w:type="dxa"/>
            <w:tcBorders/>
            <w:vAlign w:val="center"/>
          </w:tcPr>
          <w:p>
            <w:pPr>
              <w:pStyle w:val="TableContents"/>
              <w:bidi w:val="0"/>
              <w:spacing w:before="0" w:after="160"/>
              <w:jc w:val="start"/>
              <w:rPr/>
            </w:pPr>
            <w:r>
              <w:rPr/>
              <w:t>DPA; AI Data Use Notice</w:t>
            </w:r>
          </w:p>
        </w:tc>
        <w:tc>
          <w:tcPr>
            <w:tcW w:w="1876" w:type="dxa"/>
            <w:tcBorders/>
            <w:vAlign w:val="center"/>
          </w:tcPr>
          <w:p>
            <w:pPr>
              <w:pStyle w:val="TableContents"/>
              <w:bidi w:val="0"/>
              <w:spacing w:before="0" w:after="160"/>
              <w:jc w:val="start"/>
              <w:rPr/>
            </w:pPr>
            <w:r>
              <w:rPr/>
              <w:t>Applies to Starter and Advanced</w:t>
            </w:r>
          </w:p>
        </w:tc>
      </w:tr>
      <w:tr>
        <w:trPr/>
        <w:tc>
          <w:tcPr>
            <w:tcW w:w="1816" w:type="dxa"/>
            <w:tcBorders/>
            <w:vAlign w:val="center"/>
          </w:tcPr>
          <w:p>
            <w:pPr>
              <w:pStyle w:val="TableContents"/>
              <w:bidi w:val="0"/>
              <w:spacing w:before="0" w:after="160"/>
              <w:jc w:val="start"/>
              <w:rPr/>
            </w:pPr>
            <w:r>
              <w:rPr/>
              <w:t>AI response delivery</w:t>
            </w:r>
          </w:p>
        </w:tc>
        <w:tc>
          <w:tcPr>
            <w:tcW w:w="1891" w:type="dxa"/>
            <w:tcBorders/>
            <w:vAlign w:val="center"/>
          </w:tcPr>
          <w:p>
            <w:pPr>
              <w:pStyle w:val="TableContents"/>
              <w:bidi w:val="0"/>
              <w:spacing w:before="0" w:after="160"/>
              <w:jc w:val="start"/>
              <w:rPr/>
            </w:pPr>
            <w:r>
              <w:rPr/>
              <w:t>Controller of business purpose</w:t>
            </w:r>
          </w:p>
        </w:tc>
        <w:tc>
          <w:tcPr>
            <w:tcW w:w="1261" w:type="dxa"/>
            <w:tcBorders/>
            <w:vAlign w:val="center"/>
          </w:tcPr>
          <w:p>
            <w:pPr>
              <w:pStyle w:val="TableContents"/>
              <w:bidi w:val="0"/>
              <w:spacing w:before="0" w:after="160"/>
              <w:jc w:val="start"/>
              <w:rPr/>
            </w:pPr>
            <w:r>
              <w:rPr/>
              <w:t>Processor for delivery; controller for separate security/model purposes</w:t>
            </w:r>
          </w:p>
        </w:tc>
        <w:tc>
          <w:tcPr>
            <w:tcW w:w="1156" w:type="dxa"/>
            <w:tcBorders/>
            <w:vAlign w:val="center"/>
          </w:tcPr>
          <w:p>
            <w:pPr>
              <w:pStyle w:val="TableContents"/>
              <w:bidi w:val="0"/>
              <w:spacing w:before="0" w:after="160"/>
              <w:jc w:val="start"/>
              <w:rPr/>
            </w:pPr>
            <w:r>
              <w:rPr/>
              <w:t>AI Schedule</w:t>
            </w:r>
          </w:p>
        </w:tc>
        <w:tc>
          <w:tcPr>
            <w:tcW w:w="1876" w:type="dxa"/>
            <w:tcBorders/>
            <w:vAlign w:val="center"/>
          </w:tcPr>
          <w:p>
            <w:pPr>
              <w:pStyle w:val="TableContents"/>
              <w:bidi w:val="0"/>
              <w:spacing w:before="0" w:after="160"/>
              <w:jc w:val="start"/>
              <w:rPr/>
            </w:pPr>
            <w:r>
              <w:rPr/>
              <w:t>Provider approved</w:t>
            </w:r>
          </w:p>
        </w:tc>
      </w:tr>
      <w:tr>
        <w:trPr/>
        <w:tc>
          <w:tcPr>
            <w:tcW w:w="1816" w:type="dxa"/>
            <w:tcBorders/>
            <w:vAlign w:val="center"/>
          </w:tcPr>
          <w:p>
            <w:pPr>
              <w:pStyle w:val="TableContents"/>
              <w:bidi w:val="0"/>
              <w:spacing w:before="0" w:after="160"/>
              <w:jc w:val="start"/>
              <w:rPr/>
            </w:pPr>
            <w:r>
              <w:rPr/>
              <w:t>Voice call delivery</w:t>
            </w:r>
          </w:p>
        </w:tc>
        <w:tc>
          <w:tcPr>
            <w:tcW w:w="1891" w:type="dxa"/>
            <w:tcBorders/>
            <w:vAlign w:val="center"/>
          </w:tcPr>
          <w:p>
            <w:pPr>
              <w:pStyle w:val="TableContents"/>
              <w:bidi w:val="0"/>
              <w:spacing w:before="0" w:after="160"/>
              <w:jc w:val="start"/>
              <w:rPr/>
            </w:pPr>
            <w:r>
              <w:rPr/>
              <w:t>Controller of call purpose/list</w:t>
            </w:r>
          </w:p>
        </w:tc>
        <w:tc>
          <w:tcPr>
            <w:tcW w:w="1261" w:type="dxa"/>
            <w:tcBorders/>
            <w:vAlign w:val="center"/>
          </w:tcPr>
          <w:p>
            <w:pPr>
              <w:pStyle w:val="TableContents"/>
              <w:bidi w:val="0"/>
              <w:spacing w:before="0" w:after="160"/>
              <w:jc w:val="start"/>
              <w:rPr/>
            </w:pPr>
            <w:r>
              <w:rPr/>
              <w:t>Processor for merchant call; controller for separate uses</w:t>
            </w:r>
          </w:p>
        </w:tc>
        <w:tc>
          <w:tcPr>
            <w:tcW w:w="1156" w:type="dxa"/>
            <w:tcBorders/>
            <w:vAlign w:val="center"/>
          </w:tcPr>
          <w:p>
            <w:pPr>
              <w:pStyle w:val="TableContents"/>
              <w:bidi w:val="0"/>
              <w:spacing w:before="0" w:after="160"/>
              <w:jc w:val="start"/>
              <w:rPr/>
            </w:pPr>
            <w:r>
              <w:rPr/>
              <w:t>Voice Schedule</w:t>
            </w:r>
          </w:p>
        </w:tc>
        <w:tc>
          <w:tcPr>
            <w:tcW w:w="1876" w:type="dxa"/>
            <w:tcBorders/>
            <w:vAlign w:val="center"/>
          </w:tcPr>
          <w:p>
            <w:pPr>
              <w:pStyle w:val="TableContents"/>
              <w:bidi w:val="0"/>
              <w:spacing w:before="0" w:after="160"/>
              <w:jc w:val="start"/>
              <w:rPr/>
            </w:pPr>
            <w:r>
              <w:rPr/>
              <w:t>Providers approved</w:t>
            </w:r>
          </w:p>
        </w:tc>
      </w:tr>
      <w:tr>
        <w:trPr/>
        <w:tc>
          <w:tcPr>
            <w:tcW w:w="1816" w:type="dxa"/>
            <w:tcBorders/>
            <w:vAlign w:val="center"/>
          </w:tcPr>
          <w:p>
            <w:pPr>
              <w:pStyle w:val="TableContents"/>
              <w:bidi w:val="0"/>
              <w:spacing w:before="0" w:after="160"/>
              <w:jc w:val="start"/>
              <w:rPr/>
            </w:pPr>
            <w:r>
              <w:rPr/>
              <w:t>Social-channel delivery</w:t>
            </w:r>
          </w:p>
        </w:tc>
        <w:tc>
          <w:tcPr>
            <w:tcW w:w="1891" w:type="dxa"/>
            <w:tcBorders/>
            <w:vAlign w:val="center"/>
          </w:tcPr>
          <w:p>
            <w:pPr>
              <w:pStyle w:val="TableContents"/>
              <w:bidi w:val="0"/>
              <w:spacing w:before="0" w:after="160"/>
              <w:jc w:val="start"/>
              <w:rPr/>
            </w:pPr>
            <w:r>
              <w:rPr/>
              <w:t>Controller</w:t>
            </w:r>
          </w:p>
        </w:tc>
        <w:tc>
          <w:tcPr>
            <w:tcW w:w="1261" w:type="dxa"/>
            <w:tcBorders/>
            <w:vAlign w:val="center"/>
          </w:tcPr>
          <w:p>
            <w:pPr>
              <w:pStyle w:val="TableContents"/>
              <w:bidi w:val="0"/>
              <w:spacing w:before="0" w:after="160"/>
              <w:jc w:val="start"/>
              <w:rPr/>
            </w:pPr>
            <w:r>
              <w:rPr/>
              <w:t>Not active</w:t>
            </w:r>
          </w:p>
        </w:tc>
        <w:tc>
          <w:tcPr>
            <w:tcW w:w="1156" w:type="dxa"/>
            <w:tcBorders/>
            <w:vAlign w:val="center"/>
          </w:tcPr>
          <w:p>
            <w:pPr>
              <w:pStyle w:val="TableContents"/>
              <w:bidi w:val="0"/>
              <w:spacing w:before="0" w:after="160"/>
              <w:jc w:val="start"/>
              <w:rPr/>
            </w:pPr>
            <w:r>
              <w:rPr/>
              <w:t>Social Channels Exclusion Schedule</w:t>
            </w:r>
          </w:p>
        </w:tc>
        <w:tc>
          <w:tcPr>
            <w:tcW w:w="1876" w:type="dxa"/>
            <w:tcBorders/>
            <w:vAlign w:val="center"/>
          </w:tcPr>
          <w:p>
            <w:pPr>
              <w:pStyle w:val="TableContents"/>
              <w:bidi w:val="0"/>
              <w:spacing w:before="0" w:after="160"/>
              <w:jc w:val="start"/>
              <w:rPr/>
            </w:pPr>
            <w:r>
              <w:rPr/>
              <w:t>Excluded from initial release</w:t>
            </w:r>
          </w:p>
        </w:tc>
      </w:tr>
      <w:tr>
        <w:trPr/>
        <w:tc>
          <w:tcPr>
            <w:tcW w:w="1816" w:type="dxa"/>
            <w:tcBorders/>
            <w:vAlign w:val="center"/>
          </w:tcPr>
          <w:p>
            <w:pPr>
              <w:pStyle w:val="TableContents"/>
              <w:bidi w:val="0"/>
              <w:spacing w:before="0" w:after="160"/>
              <w:jc w:val="start"/>
              <w:rPr/>
            </w:pPr>
            <w:r>
              <w:rPr/>
              <w:t>Merchant-purpose rights request</w:t>
            </w:r>
          </w:p>
        </w:tc>
        <w:tc>
          <w:tcPr>
            <w:tcW w:w="1891" w:type="dxa"/>
            <w:tcBorders/>
            <w:vAlign w:val="center"/>
          </w:tcPr>
          <w:p>
            <w:pPr>
              <w:pStyle w:val="TableContents"/>
              <w:bidi w:val="0"/>
              <w:spacing w:before="0" w:after="160"/>
              <w:jc w:val="start"/>
              <w:rPr/>
            </w:pPr>
            <w:r>
              <w:rPr/>
              <w:t>Controller</w:t>
            </w:r>
          </w:p>
        </w:tc>
        <w:tc>
          <w:tcPr>
            <w:tcW w:w="1261" w:type="dxa"/>
            <w:tcBorders/>
            <w:vAlign w:val="center"/>
          </w:tcPr>
          <w:p>
            <w:pPr>
              <w:pStyle w:val="TableContents"/>
              <w:bidi w:val="0"/>
              <w:spacing w:before="0" w:after="160"/>
              <w:jc w:val="start"/>
              <w:rPr/>
            </w:pPr>
            <w:r>
              <w:rPr/>
              <w:t>Processor assisting</w:t>
            </w:r>
          </w:p>
        </w:tc>
        <w:tc>
          <w:tcPr>
            <w:tcW w:w="1156" w:type="dxa"/>
            <w:tcBorders/>
            <w:vAlign w:val="center"/>
          </w:tcPr>
          <w:p>
            <w:pPr>
              <w:pStyle w:val="TableContents"/>
              <w:bidi w:val="0"/>
              <w:spacing w:before="0" w:after="160"/>
              <w:jc w:val="start"/>
              <w:rPr/>
            </w:pPr>
            <w:r>
              <w:rPr/>
              <w:t>DPA</w:t>
            </w:r>
          </w:p>
        </w:tc>
        <w:tc>
          <w:tcPr>
            <w:tcW w:w="1876" w:type="dxa"/>
            <w:tcBorders/>
            <w:vAlign w:val="center"/>
          </w:tcPr>
          <w:p>
            <w:pPr>
              <w:pStyle w:val="TableContents"/>
              <w:bidi w:val="0"/>
              <w:spacing w:before="0" w:after="160"/>
              <w:jc w:val="start"/>
              <w:rPr/>
            </w:pPr>
            <w:r>
              <w:rPr/>
              <w:t>Privacy jobs</w:t>
            </w:r>
          </w:p>
        </w:tc>
      </w:tr>
      <w:tr>
        <w:trPr/>
        <w:tc>
          <w:tcPr>
            <w:tcW w:w="1816" w:type="dxa"/>
            <w:tcBorders/>
            <w:vAlign w:val="center"/>
          </w:tcPr>
          <w:p>
            <w:pPr>
              <w:pStyle w:val="TableContents"/>
              <w:bidi w:val="0"/>
              <w:spacing w:before="0" w:after="160"/>
              <w:jc w:val="start"/>
              <w:rPr/>
            </w:pPr>
            <w:r>
              <w:rPr/>
              <w:t>Deejai-purpose rights request</w:t>
            </w:r>
          </w:p>
        </w:tc>
        <w:tc>
          <w:tcPr>
            <w:tcW w:w="1891" w:type="dxa"/>
            <w:tcBorders/>
            <w:vAlign w:val="center"/>
          </w:tcPr>
          <w:p>
            <w:pPr>
              <w:pStyle w:val="TableContents"/>
              <w:bidi w:val="0"/>
              <w:spacing w:before="0" w:after="160"/>
              <w:jc w:val="start"/>
              <w:rPr/>
            </w:pPr>
            <w:r>
              <w:rPr/>
              <w:t>Cooperation duty</w:t>
            </w:r>
          </w:p>
        </w:tc>
        <w:tc>
          <w:tcPr>
            <w:tcW w:w="1261" w:type="dxa"/>
            <w:tcBorders/>
            <w:vAlign w:val="center"/>
          </w:tcPr>
          <w:p>
            <w:pPr>
              <w:pStyle w:val="TableContents"/>
              <w:bidi w:val="0"/>
              <w:spacing w:before="0" w:after="160"/>
              <w:jc w:val="start"/>
              <w:rPr/>
            </w:pPr>
            <w:r>
              <w:rPr/>
              <w:t>Controller</w:t>
            </w:r>
          </w:p>
        </w:tc>
        <w:tc>
          <w:tcPr>
            <w:tcW w:w="1156" w:type="dxa"/>
            <w:tcBorders/>
            <w:vAlign w:val="center"/>
          </w:tcPr>
          <w:p>
            <w:pPr>
              <w:pStyle w:val="TableContents"/>
              <w:bidi w:val="0"/>
              <w:spacing w:before="0" w:after="160"/>
              <w:jc w:val="start"/>
              <w:rPr/>
            </w:pPr>
            <w:r>
              <w:rPr/>
              <w:t>Privacy/Preference Notice</w:t>
            </w:r>
          </w:p>
        </w:tc>
        <w:tc>
          <w:tcPr>
            <w:tcW w:w="1876" w:type="dxa"/>
            <w:tcBorders/>
            <w:vAlign w:val="center"/>
          </w:tcPr>
          <w:p>
            <w:pPr>
              <w:pStyle w:val="TableContents"/>
              <w:bidi w:val="0"/>
              <w:spacing w:before="0" w:after="160"/>
              <w:jc w:val="start"/>
              <w:rPr/>
            </w:pPr>
            <w:r>
              <w:rPr/>
              <w:t>Direct channel</w:t>
            </w:r>
          </w:p>
        </w:tc>
      </w:tr>
    </w:tbl>
    <w:p>
      <w:pPr>
        <w:pStyle w:val="Heading2"/>
        <w:bidi w:val="0"/>
        <w:jc w:val="start"/>
        <w:rPr/>
      </w:pPr>
      <w:r>
        <w:rPr/>
        <w:t>2. Joint-controller caution</w:t>
      </w:r>
    </w:p>
    <w:p>
      <w:pPr>
        <w:pStyle w:val="BodyText"/>
        <w:bidi w:val="0"/>
        <w:jc w:val="start"/>
        <w:rPr/>
      </w:pPr>
      <w:r>
        <w:rPr/>
        <w:t>The parties will not use joint-controller language by default. It will be added only where both parties jointly determine essential purposes and means. The interface must clearly separate Merchant and Deejai purposes.</w:t>
      </w:r>
    </w:p>
    <w:p>
      <w:pPr>
        <w:pStyle w:val="Heading2"/>
        <w:bidi w:val="0"/>
        <w:jc w:val="start"/>
        <w:rPr/>
      </w:pPr>
      <w:r>
        <w:rPr/>
        <w:t>3. Processor boundary</w:t>
      </w:r>
    </w:p>
    <w:p>
      <w:pPr>
        <w:pStyle w:val="BodyText"/>
        <w:bidi w:val="0"/>
        <w:jc w:val="start"/>
        <w:rPr/>
      </w:pPr>
      <w:r>
        <w:rPr/>
        <w:t>Processor data may not be used for Deejai marketing, partner disclosure or model development unless the person separately authorises that purpose and the necessary data is copied into a logically separated Deejai-controller dataset.</w:t>
      </w:r>
    </w:p>
    <w:p>
      <w:pPr>
        <w:pStyle w:val="Heading1"/>
        <w:bidi w:val="0"/>
        <w:jc w:val="start"/>
        <w:rPr/>
      </w:pPr>
      <w:r>
        <w:rPr/>
        <w:t>Counsel Decision Schedule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Proposed decisions</w:t>
      </w:r>
    </w:p>
    <w:tbl>
      <w:tblPr>
        <w:tblW w:w="8000" w:type="dxa"/>
        <w:jc w:val="start"/>
        <w:tblInd w:w="0" w:type="dxa"/>
        <w:tblLayout w:type="fixed"/>
        <w:tblCellMar>
          <w:top w:w="28" w:type="dxa"/>
          <w:start w:w="28" w:type="dxa"/>
          <w:bottom w:w="28" w:type="dxa"/>
          <w:end w:w="28" w:type="dxa"/>
        </w:tblCellMar>
      </w:tblPr>
      <w:tblGrid>
        <w:gridCol w:w="577"/>
        <w:gridCol w:w="2232"/>
        <w:gridCol w:w="3825"/>
        <w:gridCol w:w="1366"/>
      </w:tblGrid>
      <w:tr>
        <w:trPr>
          <w:tblHeader w:val="true"/>
        </w:trPr>
        <w:tc>
          <w:tcPr>
            <w:tcW w:w="577" w:type="dxa"/>
            <w:tcBorders/>
            <w:vAlign w:val="center"/>
          </w:tcPr>
          <w:p>
            <w:pPr>
              <w:pStyle w:val="TableHeading"/>
              <w:suppressLineNumbers/>
              <w:shd w:fill="173F35" w:val="clear"/>
              <w:bidi w:val="0"/>
              <w:spacing w:before="0" w:after="160"/>
              <w:jc w:val="start"/>
              <w:rPr/>
            </w:pPr>
            <w:r>
              <w:rPr/>
              <w:t>Ref</w:t>
            </w:r>
          </w:p>
        </w:tc>
        <w:tc>
          <w:tcPr>
            <w:tcW w:w="2232" w:type="dxa"/>
            <w:tcBorders/>
            <w:vAlign w:val="center"/>
          </w:tcPr>
          <w:p>
            <w:pPr>
              <w:pStyle w:val="TableHeading"/>
              <w:suppressLineNumbers/>
              <w:shd w:fill="173F35" w:val="clear"/>
              <w:bidi w:val="0"/>
              <w:spacing w:before="0" w:after="160"/>
              <w:jc w:val="start"/>
              <w:rPr/>
            </w:pPr>
            <w:r>
              <w:rPr/>
              <w:t>Issue</w:t>
            </w:r>
          </w:p>
        </w:tc>
        <w:tc>
          <w:tcPr>
            <w:tcW w:w="3825" w:type="dxa"/>
            <w:tcBorders/>
            <w:vAlign w:val="center"/>
          </w:tcPr>
          <w:p>
            <w:pPr>
              <w:pStyle w:val="TableHeading"/>
              <w:suppressLineNumbers/>
              <w:shd w:fill="173F35" w:val="clear"/>
              <w:bidi w:val="0"/>
              <w:spacing w:before="0" w:after="160"/>
              <w:jc w:val="start"/>
              <w:rPr/>
            </w:pPr>
            <w:r>
              <w:rPr/>
              <w:t>Proposed decision</w:t>
            </w:r>
          </w:p>
        </w:tc>
        <w:tc>
          <w:tcPr>
            <w:tcW w:w="1366" w:type="dxa"/>
            <w:tcBorders/>
            <w:vAlign w:val="center"/>
          </w:tcPr>
          <w:p>
            <w:pPr>
              <w:pStyle w:val="TableHeading"/>
              <w:suppressLineNumbers/>
              <w:shd w:fill="173F35" w:val="clear"/>
              <w:bidi w:val="0"/>
              <w:spacing w:before="0" w:after="160"/>
              <w:jc w:val="start"/>
              <w:rPr/>
            </w:pPr>
            <w:r>
              <w:rPr/>
              <w:t>Status</w:t>
            </w:r>
          </w:p>
        </w:tc>
      </w:tr>
      <w:tr>
        <w:trPr/>
        <w:tc>
          <w:tcPr>
            <w:tcW w:w="577" w:type="dxa"/>
            <w:tcBorders/>
            <w:vAlign w:val="center"/>
          </w:tcPr>
          <w:p>
            <w:pPr>
              <w:pStyle w:val="TableContents"/>
              <w:bidi w:val="0"/>
              <w:spacing w:before="0" w:after="160"/>
              <w:jc w:val="start"/>
              <w:rPr/>
            </w:pPr>
            <w:r>
              <w:rPr/>
              <w:t>CD-01</w:t>
            </w:r>
          </w:p>
        </w:tc>
        <w:tc>
          <w:tcPr>
            <w:tcW w:w="2232" w:type="dxa"/>
            <w:tcBorders/>
            <w:vAlign w:val="center"/>
          </w:tcPr>
          <w:p>
            <w:pPr>
              <w:pStyle w:val="TableContents"/>
              <w:bidi w:val="0"/>
              <w:spacing w:before="0" w:after="160"/>
              <w:jc w:val="start"/>
              <w:rPr/>
            </w:pPr>
            <w:r>
              <w:rPr/>
              <w:t>Entity</w:t>
            </w:r>
          </w:p>
        </w:tc>
        <w:tc>
          <w:tcPr>
            <w:tcW w:w="3825" w:type="dxa"/>
            <w:tcBorders/>
            <w:vAlign w:val="center"/>
          </w:tcPr>
          <w:p>
            <w:pPr>
              <w:pStyle w:val="TableContents"/>
              <w:bidi w:val="0"/>
              <w:spacing w:before="0" w:after="160"/>
              <w:jc w:val="start"/>
              <w:rPr/>
            </w:pPr>
            <w:r>
              <w:rPr/>
              <w:t>DEEJAI LAB CO., LTD.; DJAI Academy/DJBOT are brands</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CD-02</w:t>
            </w:r>
          </w:p>
        </w:tc>
        <w:tc>
          <w:tcPr>
            <w:tcW w:w="2232" w:type="dxa"/>
            <w:tcBorders/>
            <w:vAlign w:val="center"/>
          </w:tcPr>
          <w:p>
            <w:pPr>
              <w:pStyle w:val="TableContents"/>
              <w:bidi w:val="0"/>
              <w:spacing w:before="0" w:after="160"/>
              <w:jc w:val="start"/>
              <w:rPr/>
            </w:pPr>
            <w:r>
              <w:rPr/>
              <w:t>Merchant-service role</w:t>
            </w:r>
          </w:p>
        </w:tc>
        <w:tc>
          <w:tcPr>
            <w:tcW w:w="3825" w:type="dxa"/>
            <w:tcBorders/>
            <w:vAlign w:val="center"/>
          </w:tcPr>
          <w:p>
            <w:pPr>
              <w:pStyle w:val="TableContents"/>
              <w:bidi w:val="0"/>
              <w:spacing w:before="0" w:after="160"/>
              <w:jc w:val="start"/>
              <w:rPr/>
            </w:pPr>
            <w:r>
              <w:rPr/>
              <w:t>Merchant controller; Deejai processor</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CD-03</w:t>
            </w:r>
          </w:p>
        </w:tc>
        <w:tc>
          <w:tcPr>
            <w:tcW w:w="2232" w:type="dxa"/>
            <w:tcBorders/>
            <w:vAlign w:val="center"/>
          </w:tcPr>
          <w:p>
            <w:pPr>
              <w:pStyle w:val="TableContents"/>
              <w:bidi w:val="0"/>
              <w:spacing w:before="0" w:after="160"/>
              <w:jc w:val="start"/>
              <w:rPr/>
            </w:pPr>
            <w:r>
              <w:rPr/>
              <w:t>Deejai marketing</w:t>
            </w:r>
          </w:p>
        </w:tc>
        <w:tc>
          <w:tcPr>
            <w:tcW w:w="3825" w:type="dxa"/>
            <w:tcBorders/>
            <w:vAlign w:val="center"/>
          </w:tcPr>
          <w:p>
            <w:pPr>
              <w:pStyle w:val="TableContents"/>
              <w:bidi w:val="0"/>
              <w:spacing w:before="0" w:after="160"/>
              <w:jc w:val="start"/>
              <w:rPr/>
            </w:pPr>
            <w:r>
              <w:rPr/>
              <w:t>Independent controller; separate opt-in</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CD-04</w:t>
            </w:r>
          </w:p>
        </w:tc>
        <w:tc>
          <w:tcPr>
            <w:tcW w:w="2232" w:type="dxa"/>
            <w:tcBorders/>
            <w:vAlign w:val="center"/>
          </w:tcPr>
          <w:p>
            <w:pPr>
              <w:pStyle w:val="TableContents"/>
              <w:bidi w:val="0"/>
              <w:spacing w:before="0" w:after="160"/>
              <w:jc w:val="start"/>
              <w:rPr/>
            </w:pPr>
            <w:r>
              <w:rPr/>
              <w:t>Partner marketing</w:t>
            </w:r>
          </w:p>
        </w:tc>
        <w:tc>
          <w:tcPr>
            <w:tcW w:w="3825" w:type="dxa"/>
            <w:tcBorders/>
            <w:vAlign w:val="center"/>
          </w:tcPr>
          <w:p>
            <w:pPr>
              <w:pStyle w:val="TableContents"/>
              <w:bidi w:val="0"/>
              <w:spacing w:before="0" w:after="160"/>
              <w:jc w:val="start"/>
              <w:rPr/>
            </w:pPr>
            <w:r>
              <w:rPr/>
              <w:t>Separate opt-in; disabled until partner named/contracted</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CD-05</w:t>
            </w:r>
          </w:p>
        </w:tc>
        <w:tc>
          <w:tcPr>
            <w:tcW w:w="2232" w:type="dxa"/>
            <w:tcBorders/>
            <w:vAlign w:val="center"/>
          </w:tcPr>
          <w:p>
            <w:pPr>
              <w:pStyle w:val="TableContents"/>
              <w:bidi w:val="0"/>
              <w:spacing w:before="0" w:after="160"/>
              <w:jc w:val="start"/>
              <w:rPr/>
            </w:pPr>
            <w:r>
              <w:rPr/>
              <w:t>Model development</w:t>
            </w:r>
          </w:p>
        </w:tc>
        <w:tc>
          <w:tcPr>
            <w:tcW w:w="3825" w:type="dxa"/>
            <w:tcBorders/>
            <w:vAlign w:val="center"/>
          </w:tcPr>
          <w:p>
            <w:pPr>
              <w:pStyle w:val="TableContents"/>
              <w:bidi w:val="0"/>
              <w:spacing w:before="0" w:after="160"/>
              <w:jc w:val="start"/>
              <w:rPr/>
            </w:pPr>
            <w:r>
              <w:rPr/>
              <w:t>Controller; separate opt-in; no anonymous claim</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CD-06</w:t>
            </w:r>
          </w:p>
        </w:tc>
        <w:tc>
          <w:tcPr>
            <w:tcW w:w="2232" w:type="dxa"/>
            <w:tcBorders/>
            <w:vAlign w:val="center"/>
          </w:tcPr>
          <w:p>
            <w:pPr>
              <w:pStyle w:val="TableContents"/>
              <w:bidi w:val="0"/>
              <w:spacing w:before="0" w:after="160"/>
              <w:jc w:val="start"/>
              <w:rPr/>
            </w:pPr>
            <w:r>
              <w:rPr/>
              <w:t>DPA acceptance</w:t>
            </w:r>
          </w:p>
        </w:tc>
        <w:tc>
          <w:tcPr>
            <w:tcW w:w="3825" w:type="dxa"/>
            <w:tcBorders/>
            <w:vAlign w:val="center"/>
          </w:tcPr>
          <w:p>
            <w:pPr>
              <w:pStyle w:val="TableContents"/>
              <w:bidi w:val="0"/>
              <w:spacing w:before="0" w:after="160"/>
              <w:jc w:val="start"/>
              <w:rPr/>
            </w:pPr>
            <w:r>
              <w:rPr/>
              <w:t>Mandatory electronic acceptance during registration</w:t>
            </w:r>
          </w:p>
        </w:tc>
        <w:tc>
          <w:tcPr>
            <w:tcW w:w="1366" w:type="dxa"/>
            <w:tcBorders/>
            <w:vAlign w:val="center"/>
          </w:tcPr>
          <w:p>
            <w:pPr>
              <w:pStyle w:val="TableContents"/>
              <w:bidi w:val="0"/>
              <w:spacing w:before="0" w:after="160"/>
              <w:jc w:val="start"/>
              <w:rPr/>
            </w:pPr>
            <w:r>
              <w:rPr/>
              <w:t>Adopted</w:t>
            </w:r>
          </w:p>
        </w:tc>
      </w:tr>
      <w:tr>
        <w:trPr/>
        <w:tc>
          <w:tcPr>
            <w:tcW w:w="577" w:type="dxa"/>
            <w:tcBorders/>
            <w:vAlign w:val="center"/>
          </w:tcPr>
          <w:p>
            <w:pPr>
              <w:pStyle w:val="TableContents"/>
              <w:bidi w:val="0"/>
              <w:spacing w:before="0" w:after="160"/>
              <w:jc w:val="start"/>
              <w:rPr/>
            </w:pPr>
            <w:r>
              <w:rPr/>
              <w:t>CD-07</w:t>
            </w:r>
          </w:p>
        </w:tc>
        <w:tc>
          <w:tcPr>
            <w:tcW w:w="2232" w:type="dxa"/>
            <w:tcBorders/>
            <w:vAlign w:val="center"/>
          </w:tcPr>
          <w:p>
            <w:pPr>
              <w:pStyle w:val="TableContents"/>
              <w:bidi w:val="0"/>
              <w:spacing w:before="0" w:after="160"/>
              <w:jc w:val="start"/>
              <w:rPr/>
            </w:pPr>
            <w:r>
              <w:rPr/>
              <w:t>Deejai contact use</w:t>
            </w:r>
          </w:p>
        </w:tc>
        <w:tc>
          <w:tcPr>
            <w:tcW w:w="3825" w:type="dxa"/>
            <w:tcBorders/>
            <w:vAlign w:val="center"/>
          </w:tcPr>
          <w:p>
            <w:pPr>
              <w:pStyle w:val="TableContents"/>
              <w:bidi w:val="0"/>
              <w:spacing w:before="0" w:after="160"/>
              <w:jc w:val="start"/>
              <w:rPr/>
            </w:pPr>
            <w:r>
              <w:rPr/>
              <w:t>Only with separate end-customer Deejai-marketing consent for every tier</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CD-08</w:t>
            </w:r>
          </w:p>
        </w:tc>
        <w:tc>
          <w:tcPr>
            <w:tcW w:w="2232" w:type="dxa"/>
            <w:tcBorders/>
            <w:vAlign w:val="center"/>
          </w:tcPr>
          <w:p>
            <w:pPr>
              <w:pStyle w:val="TableContents"/>
              <w:bidi w:val="0"/>
              <w:spacing w:before="0" w:after="160"/>
              <w:jc w:val="start"/>
              <w:rPr/>
            </w:pPr>
            <w:r>
              <w:rPr/>
              <w:t>Tier-neutral customer-data use</w:t>
            </w:r>
          </w:p>
        </w:tc>
        <w:tc>
          <w:tcPr>
            <w:tcW w:w="3825" w:type="dxa"/>
            <w:tcBorders/>
            <w:vAlign w:val="center"/>
          </w:tcPr>
          <w:p>
            <w:pPr>
              <w:pStyle w:val="TableContents"/>
              <w:bidi w:val="0"/>
              <w:spacing w:before="0" w:after="160"/>
              <w:jc w:val="start"/>
              <w:rPr/>
            </w:pPr>
            <w:r>
              <w:rPr/>
              <w:t>No tier permits Deejai/partner reuse without separate authority</w:t>
            </w:r>
          </w:p>
        </w:tc>
        <w:tc>
          <w:tcPr>
            <w:tcW w:w="1366" w:type="dxa"/>
            <w:tcBorders/>
            <w:vAlign w:val="center"/>
          </w:tcPr>
          <w:p>
            <w:pPr>
              <w:pStyle w:val="TableContents"/>
              <w:bidi w:val="0"/>
              <w:spacing w:before="0" w:after="160"/>
              <w:jc w:val="start"/>
              <w:rPr/>
            </w:pPr>
            <w:r>
              <w:rPr/>
              <w:t>Adopted policy</w:t>
            </w:r>
          </w:p>
        </w:tc>
      </w:tr>
      <w:tr>
        <w:trPr/>
        <w:tc>
          <w:tcPr>
            <w:tcW w:w="577" w:type="dxa"/>
            <w:tcBorders/>
            <w:vAlign w:val="center"/>
          </w:tcPr>
          <w:p>
            <w:pPr>
              <w:pStyle w:val="TableContents"/>
              <w:bidi w:val="0"/>
              <w:spacing w:before="0" w:after="160"/>
              <w:jc w:val="start"/>
              <w:rPr/>
            </w:pPr>
            <w:r>
              <w:rPr/>
              <w:t>CD-09</w:t>
            </w:r>
          </w:p>
        </w:tc>
        <w:tc>
          <w:tcPr>
            <w:tcW w:w="2232" w:type="dxa"/>
            <w:tcBorders/>
            <w:vAlign w:val="center"/>
          </w:tcPr>
          <w:p>
            <w:pPr>
              <w:pStyle w:val="TableContents"/>
              <w:bidi w:val="0"/>
              <w:spacing w:before="0" w:after="160"/>
              <w:jc w:val="start"/>
              <w:rPr/>
            </w:pPr>
            <w:r>
              <w:rPr/>
              <w:t>Hosting</w:t>
            </w:r>
          </w:p>
        </w:tc>
        <w:tc>
          <w:tcPr>
            <w:tcW w:w="3825" w:type="dxa"/>
            <w:tcBorders/>
            <w:vAlign w:val="center"/>
          </w:tcPr>
          <w:p>
            <w:pPr>
              <w:pStyle w:val="TableContents"/>
              <w:bidi w:val="0"/>
              <w:spacing w:before="0" w:after="160"/>
              <w:jc w:val="start"/>
              <w:rPr/>
            </w:pPr>
            <w:r>
              <w:rPr/>
              <w:t>Disclose Neon/AWS Ohio until verified migration</w:t>
            </w:r>
          </w:p>
        </w:tc>
        <w:tc>
          <w:tcPr>
            <w:tcW w:w="1366" w:type="dxa"/>
            <w:tcBorders/>
            <w:vAlign w:val="center"/>
          </w:tcPr>
          <w:p>
            <w:pPr>
              <w:pStyle w:val="TableContents"/>
              <w:bidi w:val="0"/>
              <w:spacing w:before="0" w:after="160"/>
              <w:jc w:val="start"/>
              <w:rPr/>
            </w:pPr>
            <w:r>
              <w:rPr/>
              <w:t>Current fact</w:t>
            </w:r>
          </w:p>
        </w:tc>
      </w:tr>
      <w:tr>
        <w:trPr/>
        <w:tc>
          <w:tcPr>
            <w:tcW w:w="577" w:type="dxa"/>
            <w:tcBorders/>
            <w:vAlign w:val="center"/>
          </w:tcPr>
          <w:p>
            <w:pPr>
              <w:pStyle w:val="TableContents"/>
              <w:bidi w:val="0"/>
              <w:spacing w:before="0" w:after="160"/>
              <w:jc w:val="start"/>
              <w:rPr/>
            </w:pPr>
            <w:r>
              <w:rPr/>
              <w:t>CD-10</w:t>
            </w:r>
          </w:p>
        </w:tc>
        <w:tc>
          <w:tcPr>
            <w:tcW w:w="2232" w:type="dxa"/>
            <w:tcBorders/>
            <w:vAlign w:val="center"/>
          </w:tcPr>
          <w:p>
            <w:pPr>
              <w:pStyle w:val="TableContents"/>
              <w:bidi w:val="0"/>
              <w:spacing w:before="0" w:after="160"/>
              <w:jc w:val="start"/>
              <w:rPr/>
            </w:pPr>
            <w:r>
              <w:rPr/>
              <w:t>Transcript retention</w:t>
            </w:r>
          </w:p>
        </w:tc>
        <w:tc>
          <w:tcPr>
            <w:tcW w:w="3825" w:type="dxa"/>
            <w:tcBorders/>
            <w:vAlign w:val="center"/>
          </w:tcPr>
          <w:p>
            <w:pPr>
              <w:pStyle w:val="TableContents"/>
              <w:bidi w:val="0"/>
              <w:spacing w:before="0" w:after="160"/>
              <w:jc w:val="start"/>
              <w:rPr/>
            </w:pPr>
            <w:r>
              <w:rPr/>
              <w:t>Default 365; customer-facing API configurable 30-730</w:t>
            </w:r>
          </w:p>
        </w:tc>
        <w:tc>
          <w:tcPr>
            <w:tcW w:w="1366" w:type="dxa"/>
            <w:tcBorders/>
            <w:vAlign w:val="center"/>
          </w:tcPr>
          <w:p>
            <w:pPr>
              <w:pStyle w:val="TableContents"/>
              <w:bidi w:val="0"/>
              <w:spacing w:before="0" w:after="160"/>
              <w:jc w:val="start"/>
              <w:rPr/>
            </w:pPr>
            <w:r>
              <w:rPr/>
              <w:t>Current fact</w:t>
            </w:r>
          </w:p>
        </w:tc>
      </w:tr>
      <w:tr>
        <w:trPr/>
        <w:tc>
          <w:tcPr>
            <w:tcW w:w="577" w:type="dxa"/>
            <w:tcBorders/>
            <w:vAlign w:val="center"/>
          </w:tcPr>
          <w:p>
            <w:pPr>
              <w:pStyle w:val="TableContents"/>
              <w:bidi w:val="0"/>
              <w:spacing w:before="0" w:after="160"/>
              <w:jc w:val="start"/>
              <w:rPr/>
            </w:pPr>
            <w:r>
              <w:rPr/>
              <w:t>CD-11</w:t>
            </w:r>
          </w:p>
        </w:tc>
        <w:tc>
          <w:tcPr>
            <w:tcW w:w="2232" w:type="dxa"/>
            <w:tcBorders/>
            <w:vAlign w:val="center"/>
          </w:tcPr>
          <w:p>
            <w:pPr>
              <w:pStyle w:val="TableContents"/>
              <w:bidi w:val="0"/>
              <w:spacing w:before="0" w:after="160"/>
              <w:jc w:val="start"/>
              <w:rPr/>
            </w:pPr>
            <w:r>
              <w:rPr/>
              <w:t>Contacts/leads</w:t>
            </w:r>
          </w:p>
        </w:tc>
        <w:tc>
          <w:tcPr>
            <w:tcW w:w="3825" w:type="dxa"/>
            <w:tcBorders/>
            <w:vAlign w:val="center"/>
          </w:tcPr>
          <w:p>
            <w:pPr>
              <w:pStyle w:val="TableContents"/>
              <w:bidi w:val="0"/>
              <w:spacing w:before="0" w:after="160"/>
              <w:jc w:val="start"/>
              <w:rPr/>
            </w:pPr>
            <w:r>
              <w:rPr/>
              <w:t>Current until erasure/closure; target 24 months inactivity</w:t>
            </w:r>
          </w:p>
        </w:tc>
        <w:tc>
          <w:tcPr>
            <w:tcW w:w="1366" w:type="dxa"/>
            <w:tcBorders/>
            <w:vAlign w:val="center"/>
          </w:tcPr>
          <w:p>
            <w:pPr>
              <w:pStyle w:val="TableContents"/>
              <w:bidi w:val="0"/>
              <w:spacing w:before="0" w:after="160"/>
              <w:jc w:val="start"/>
              <w:rPr/>
            </w:pPr>
            <w:r>
              <w:rPr/>
              <w:t>Proposed target</w:t>
            </w:r>
          </w:p>
        </w:tc>
      </w:tr>
      <w:tr>
        <w:trPr/>
        <w:tc>
          <w:tcPr>
            <w:tcW w:w="577" w:type="dxa"/>
            <w:tcBorders/>
            <w:vAlign w:val="center"/>
          </w:tcPr>
          <w:p>
            <w:pPr>
              <w:pStyle w:val="TableContents"/>
              <w:bidi w:val="0"/>
              <w:spacing w:before="0" w:after="160"/>
              <w:jc w:val="start"/>
              <w:rPr/>
            </w:pPr>
            <w:r>
              <w:rPr/>
              <w:t>CD-12</w:t>
            </w:r>
          </w:p>
        </w:tc>
        <w:tc>
          <w:tcPr>
            <w:tcW w:w="2232" w:type="dxa"/>
            <w:tcBorders/>
            <w:vAlign w:val="center"/>
          </w:tcPr>
          <w:p>
            <w:pPr>
              <w:pStyle w:val="TableContents"/>
              <w:bidi w:val="0"/>
              <w:spacing w:before="0" w:after="160"/>
              <w:jc w:val="start"/>
              <w:rPr/>
            </w:pPr>
            <w:r>
              <w:rPr/>
              <w:t>Closure</w:t>
            </w:r>
          </w:p>
        </w:tc>
        <w:tc>
          <w:tcPr>
            <w:tcW w:w="3825" w:type="dxa"/>
            <w:tcBorders/>
            <w:vAlign w:val="center"/>
          </w:tcPr>
          <w:p>
            <w:pPr>
              <w:pStyle w:val="TableContents"/>
              <w:bidi w:val="0"/>
              <w:spacing w:before="0" w:after="160"/>
              <w:jc w:val="start"/>
              <w:rPr/>
            </w:pPr>
            <w:r>
              <w:rPr/>
              <w:t>Paid term + 30-day read-only/reactivation + purge</w:t>
            </w:r>
          </w:p>
        </w:tc>
        <w:tc>
          <w:tcPr>
            <w:tcW w:w="1366" w:type="dxa"/>
            <w:tcBorders/>
            <w:vAlign w:val="center"/>
          </w:tcPr>
          <w:p>
            <w:pPr>
              <w:pStyle w:val="TableContents"/>
              <w:bidi w:val="0"/>
              <w:spacing w:before="0" w:after="160"/>
              <w:jc w:val="start"/>
              <w:rPr/>
            </w:pPr>
            <w:r>
              <w:rPr/>
              <w:t>Proposed target</w:t>
            </w:r>
          </w:p>
        </w:tc>
      </w:tr>
      <w:tr>
        <w:trPr/>
        <w:tc>
          <w:tcPr>
            <w:tcW w:w="577" w:type="dxa"/>
            <w:tcBorders/>
            <w:vAlign w:val="center"/>
          </w:tcPr>
          <w:p>
            <w:pPr>
              <w:pStyle w:val="TableContents"/>
              <w:bidi w:val="0"/>
              <w:spacing w:before="0" w:after="160"/>
              <w:jc w:val="start"/>
              <w:rPr/>
            </w:pPr>
            <w:r>
              <w:rPr/>
              <w:t>CD-13</w:t>
            </w:r>
          </w:p>
        </w:tc>
        <w:tc>
          <w:tcPr>
            <w:tcW w:w="2232" w:type="dxa"/>
            <w:tcBorders/>
            <w:vAlign w:val="center"/>
          </w:tcPr>
          <w:p>
            <w:pPr>
              <w:pStyle w:val="TableContents"/>
              <w:bidi w:val="0"/>
              <w:spacing w:before="0" w:after="160"/>
              <w:jc w:val="start"/>
              <w:rPr/>
            </w:pPr>
            <w:r>
              <w:rPr/>
              <w:t>Backups</w:t>
            </w:r>
          </w:p>
        </w:tc>
        <w:tc>
          <w:tcPr>
            <w:tcW w:w="3825" w:type="dxa"/>
            <w:tcBorders/>
            <w:vAlign w:val="center"/>
          </w:tcPr>
          <w:p>
            <w:pPr>
              <w:pStyle w:val="TableContents"/>
              <w:bidi w:val="0"/>
              <w:spacing w:before="0" w:after="160"/>
              <w:jc w:val="start"/>
              <w:rPr/>
            </w:pPr>
            <w:r>
              <w:rPr/>
              <w:t>30 days after production purge</w:t>
            </w:r>
          </w:p>
        </w:tc>
        <w:tc>
          <w:tcPr>
            <w:tcW w:w="1366" w:type="dxa"/>
            <w:tcBorders/>
            <w:vAlign w:val="center"/>
          </w:tcPr>
          <w:p>
            <w:pPr>
              <w:pStyle w:val="TableContents"/>
              <w:bidi w:val="0"/>
              <w:spacing w:before="0" w:after="160"/>
              <w:jc w:val="start"/>
              <w:rPr/>
            </w:pPr>
            <w:r>
              <w:rPr/>
              <w:t>Proposed target</w:t>
            </w:r>
          </w:p>
        </w:tc>
      </w:tr>
      <w:tr>
        <w:trPr/>
        <w:tc>
          <w:tcPr>
            <w:tcW w:w="577" w:type="dxa"/>
            <w:tcBorders/>
            <w:vAlign w:val="center"/>
          </w:tcPr>
          <w:p>
            <w:pPr>
              <w:pStyle w:val="TableContents"/>
              <w:bidi w:val="0"/>
              <w:spacing w:before="0" w:after="160"/>
              <w:jc w:val="start"/>
              <w:rPr/>
            </w:pPr>
            <w:r>
              <w:rPr/>
              <w:t>CD-14</w:t>
            </w:r>
          </w:p>
        </w:tc>
        <w:tc>
          <w:tcPr>
            <w:tcW w:w="2232" w:type="dxa"/>
            <w:tcBorders/>
            <w:vAlign w:val="center"/>
          </w:tcPr>
          <w:p>
            <w:pPr>
              <w:pStyle w:val="TableContents"/>
              <w:bidi w:val="0"/>
              <w:spacing w:before="0" w:after="160"/>
              <w:jc w:val="start"/>
              <w:rPr/>
            </w:pPr>
            <w:r>
              <w:rPr/>
              <w:t>Application logs</w:t>
            </w:r>
          </w:p>
        </w:tc>
        <w:tc>
          <w:tcPr>
            <w:tcW w:w="3825" w:type="dxa"/>
            <w:tcBorders/>
            <w:vAlign w:val="center"/>
          </w:tcPr>
          <w:p>
            <w:pPr>
              <w:pStyle w:val="TableContents"/>
              <w:bidi w:val="0"/>
              <w:spacing w:before="0" w:after="160"/>
              <w:jc w:val="start"/>
              <w:rPr/>
            </w:pPr>
            <w:r>
              <w:rPr/>
              <w:t>30 days</w:t>
            </w:r>
          </w:p>
        </w:tc>
        <w:tc>
          <w:tcPr>
            <w:tcW w:w="1366" w:type="dxa"/>
            <w:tcBorders/>
            <w:vAlign w:val="center"/>
          </w:tcPr>
          <w:p>
            <w:pPr>
              <w:pStyle w:val="TableContents"/>
              <w:bidi w:val="0"/>
              <w:spacing w:before="0" w:after="160"/>
              <w:jc w:val="start"/>
              <w:rPr/>
            </w:pPr>
            <w:r>
              <w:rPr/>
              <w:t>Proposed target</w:t>
            </w:r>
          </w:p>
        </w:tc>
      </w:tr>
      <w:tr>
        <w:trPr/>
        <w:tc>
          <w:tcPr>
            <w:tcW w:w="577" w:type="dxa"/>
            <w:tcBorders/>
            <w:vAlign w:val="center"/>
          </w:tcPr>
          <w:p>
            <w:pPr>
              <w:pStyle w:val="TableContents"/>
              <w:bidi w:val="0"/>
              <w:spacing w:before="0" w:after="160"/>
              <w:jc w:val="start"/>
              <w:rPr/>
            </w:pPr>
            <w:r>
              <w:rPr/>
              <w:t>CD-15</w:t>
            </w:r>
          </w:p>
        </w:tc>
        <w:tc>
          <w:tcPr>
            <w:tcW w:w="2232" w:type="dxa"/>
            <w:tcBorders/>
            <w:vAlign w:val="center"/>
          </w:tcPr>
          <w:p>
            <w:pPr>
              <w:pStyle w:val="TableContents"/>
              <w:bidi w:val="0"/>
              <w:spacing w:before="0" w:after="160"/>
              <w:jc w:val="start"/>
              <w:rPr/>
            </w:pPr>
            <w:r>
              <w:rPr/>
              <w:t>Security/audit</w:t>
            </w:r>
          </w:p>
        </w:tc>
        <w:tc>
          <w:tcPr>
            <w:tcW w:w="3825" w:type="dxa"/>
            <w:tcBorders/>
            <w:vAlign w:val="center"/>
          </w:tcPr>
          <w:p>
            <w:pPr>
              <w:pStyle w:val="TableContents"/>
              <w:bidi w:val="0"/>
              <w:spacing w:before="0" w:after="160"/>
              <w:jc w:val="start"/>
              <w:rPr/>
            </w:pPr>
            <w:r>
              <w:rPr/>
              <w:t>24 months except legal/immutable records</w:t>
            </w:r>
          </w:p>
        </w:tc>
        <w:tc>
          <w:tcPr>
            <w:tcW w:w="1366" w:type="dxa"/>
            <w:tcBorders/>
            <w:vAlign w:val="center"/>
          </w:tcPr>
          <w:p>
            <w:pPr>
              <w:pStyle w:val="TableContents"/>
              <w:bidi w:val="0"/>
              <w:spacing w:before="0" w:after="160"/>
              <w:jc w:val="start"/>
              <w:rPr/>
            </w:pPr>
            <w:r>
              <w:rPr/>
              <w:t>Proposed target</w:t>
            </w:r>
          </w:p>
        </w:tc>
      </w:tr>
      <w:tr>
        <w:trPr/>
        <w:tc>
          <w:tcPr>
            <w:tcW w:w="577" w:type="dxa"/>
            <w:tcBorders/>
            <w:vAlign w:val="center"/>
          </w:tcPr>
          <w:p>
            <w:pPr>
              <w:pStyle w:val="TableContents"/>
              <w:bidi w:val="0"/>
              <w:spacing w:before="0" w:after="160"/>
              <w:jc w:val="start"/>
              <w:rPr/>
            </w:pPr>
            <w:r>
              <w:rPr/>
              <w:t>CD-16</w:t>
            </w:r>
          </w:p>
        </w:tc>
        <w:tc>
          <w:tcPr>
            <w:tcW w:w="2232" w:type="dxa"/>
            <w:tcBorders/>
            <w:vAlign w:val="center"/>
          </w:tcPr>
          <w:p>
            <w:pPr>
              <w:pStyle w:val="TableContents"/>
              <w:bidi w:val="0"/>
              <w:spacing w:before="0" w:after="160"/>
              <w:jc w:val="start"/>
              <w:rPr/>
            </w:pPr>
            <w:r>
              <w:rPr/>
              <w:t>Billing/tax</w:t>
            </w:r>
          </w:p>
        </w:tc>
        <w:tc>
          <w:tcPr>
            <w:tcW w:w="3825" w:type="dxa"/>
            <w:tcBorders/>
            <w:vAlign w:val="center"/>
          </w:tcPr>
          <w:p>
            <w:pPr>
              <w:pStyle w:val="TableContents"/>
              <w:bidi w:val="0"/>
              <w:spacing w:before="0" w:after="160"/>
              <w:jc w:val="start"/>
              <w:rPr/>
            </w:pPr>
            <w:r>
              <w:rPr/>
              <w:t>Seven years</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CD-17</w:t>
            </w:r>
          </w:p>
        </w:tc>
        <w:tc>
          <w:tcPr>
            <w:tcW w:w="2232" w:type="dxa"/>
            <w:tcBorders/>
            <w:vAlign w:val="center"/>
          </w:tcPr>
          <w:p>
            <w:pPr>
              <w:pStyle w:val="TableContents"/>
              <w:bidi w:val="0"/>
              <w:spacing w:before="0" w:after="160"/>
              <w:jc w:val="start"/>
              <w:rPr/>
            </w:pPr>
            <w:r>
              <w:rPr/>
              <w:t>Privacy exports</w:t>
            </w:r>
          </w:p>
        </w:tc>
        <w:tc>
          <w:tcPr>
            <w:tcW w:w="3825" w:type="dxa"/>
            <w:tcBorders/>
            <w:vAlign w:val="center"/>
          </w:tcPr>
          <w:p>
            <w:pPr>
              <w:pStyle w:val="TableContents"/>
              <w:bidi w:val="0"/>
              <w:spacing w:before="0" w:after="160"/>
              <w:jc w:val="start"/>
              <w:rPr/>
            </w:pPr>
            <w:r>
              <w:rPr/>
              <w:t>Seven-day link; physical purge after expiry once implemented</w:t>
            </w:r>
          </w:p>
        </w:tc>
        <w:tc>
          <w:tcPr>
            <w:tcW w:w="1366" w:type="dxa"/>
            <w:tcBorders/>
            <w:vAlign w:val="center"/>
          </w:tcPr>
          <w:p>
            <w:pPr>
              <w:pStyle w:val="TableContents"/>
              <w:bidi w:val="0"/>
              <w:spacing w:before="0" w:after="160"/>
              <w:jc w:val="start"/>
              <w:rPr/>
            </w:pPr>
            <w:r>
              <w:rPr/>
              <w:t>Partial current fact</w:t>
            </w:r>
          </w:p>
        </w:tc>
      </w:tr>
      <w:tr>
        <w:trPr/>
        <w:tc>
          <w:tcPr>
            <w:tcW w:w="577" w:type="dxa"/>
            <w:tcBorders/>
            <w:vAlign w:val="center"/>
          </w:tcPr>
          <w:p>
            <w:pPr>
              <w:pStyle w:val="TableContents"/>
              <w:bidi w:val="0"/>
              <w:spacing w:before="0" w:after="160"/>
              <w:jc w:val="start"/>
              <w:rPr/>
            </w:pPr>
            <w:r>
              <w:rPr/>
              <w:t>CD-18</w:t>
            </w:r>
          </w:p>
        </w:tc>
        <w:tc>
          <w:tcPr>
            <w:tcW w:w="2232" w:type="dxa"/>
            <w:tcBorders/>
            <w:vAlign w:val="center"/>
          </w:tcPr>
          <w:p>
            <w:pPr>
              <w:pStyle w:val="TableContents"/>
              <w:bidi w:val="0"/>
              <w:spacing w:before="0" w:after="160"/>
              <w:jc w:val="start"/>
              <w:rPr/>
            </w:pPr>
            <w:r>
              <w:rPr/>
              <w:t>Voice recording</w:t>
            </w:r>
          </w:p>
        </w:tc>
        <w:tc>
          <w:tcPr>
            <w:tcW w:w="3825" w:type="dxa"/>
            <w:tcBorders/>
            <w:vAlign w:val="center"/>
          </w:tcPr>
          <w:p>
            <w:pPr>
              <w:pStyle w:val="TableContents"/>
              <w:bidi w:val="0"/>
              <w:spacing w:before="0" w:after="160"/>
              <w:jc w:val="start"/>
              <w:rPr/>
            </w:pPr>
            <w:r>
              <w:rPr/>
              <w:t>Disabled until approved scripts/provider/retention</w:t>
            </w:r>
          </w:p>
        </w:tc>
        <w:tc>
          <w:tcPr>
            <w:tcW w:w="1366" w:type="dxa"/>
            <w:tcBorders/>
            <w:vAlign w:val="center"/>
          </w:tcPr>
          <w:p>
            <w:pPr>
              <w:pStyle w:val="TableContents"/>
              <w:bidi w:val="0"/>
              <w:spacing w:before="0" w:after="160"/>
              <w:jc w:val="start"/>
              <w:rPr/>
            </w:pPr>
            <w:r>
              <w:rPr/>
              <w:t>Adopted</w:t>
            </w:r>
          </w:p>
        </w:tc>
      </w:tr>
      <w:tr>
        <w:trPr/>
        <w:tc>
          <w:tcPr>
            <w:tcW w:w="577" w:type="dxa"/>
            <w:tcBorders/>
            <w:vAlign w:val="center"/>
          </w:tcPr>
          <w:p>
            <w:pPr>
              <w:pStyle w:val="TableContents"/>
              <w:bidi w:val="0"/>
              <w:spacing w:before="0" w:after="160"/>
              <w:jc w:val="start"/>
              <w:rPr/>
            </w:pPr>
            <w:r>
              <w:rPr/>
              <w:t>CD-19</w:t>
            </w:r>
          </w:p>
        </w:tc>
        <w:tc>
          <w:tcPr>
            <w:tcW w:w="2232" w:type="dxa"/>
            <w:tcBorders/>
            <w:vAlign w:val="center"/>
          </w:tcPr>
          <w:p>
            <w:pPr>
              <w:pStyle w:val="TableContents"/>
              <w:bidi w:val="0"/>
              <w:spacing w:before="0" w:after="160"/>
              <w:jc w:val="start"/>
              <w:rPr/>
            </w:pPr>
            <w:r>
              <w:rPr/>
              <w:t>Children</w:t>
            </w:r>
          </w:p>
        </w:tc>
        <w:tc>
          <w:tcPr>
            <w:tcW w:w="3825" w:type="dxa"/>
            <w:tcBorders/>
            <w:vAlign w:val="center"/>
          </w:tcPr>
          <w:p>
            <w:pPr>
              <w:pStyle w:val="TableContents"/>
              <w:bidi w:val="0"/>
              <w:spacing w:before="0" w:after="160"/>
              <w:jc w:val="start"/>
              <w:rPr/>
            </w:pPr>
            <w:r>
              <w:rPr/>
              <w:t>Guardian process and written approval</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CD-20</w:t>
            </w:r>
          </w:p>
        </w:tc>
        <w:tc>
          <w:tcPr>
            <w:tcW w:w="2232" w:type="dxa"/>
            <w:tcBorders/>
            <w:vAlign w:val="center"/>
          </w:tcPr>
          <w:p>
            <w:pPr>
              <w:pStyle w:val="TableContents"/>
              <w:bidi w:val="0"/>
              <w:spacing w:before="0" w:after="160"/>
              <w:jc w:val="start"/>
              <w:rPr/>
            </w:pPr>
            <w:r>
              <w:rPr/>
              <w:t>Sensitive data</w:t>
            </w:r>
          </w:p>
        </w:tc>
        <w:tc>
          <w:tcPr>
            <w:tcW w:w="3825" w:type="dxa"/>
            <w:tcBorders/>
            <w:vAlign w:val="center"/>
          </w:tcPr>
          <w:p>
            <w:pPr>
              <w:pStyle w:val="TableContents"/>
              <w:bidi w:val="0"/>
              <w:spacing w:before="0" w:after="160"/>
              <w:jc w:val="start"/>
              <w:rPr/>
            </w:pPr>
            <w:r>
              <w:rPr/>
              <w:t>Not intentional in standard plans</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CD-21</w:t>
            </w:r>
          </w:p>
        </w:tc>
        <w:tc>
          <w:tcPr>
            <w:tcW w:w="2232" w:type="dxa"/>
            <w:tcBorders/>
            <w:vAlign w:val="center"/>
          </w:tcPr>
          <w:p>
            <w:pPr>
              <w:pStyle w:val="TableContents"/>
              <w:bidi w:val="0"/>
              <w:spacing w:before="0" w:after="160"/>
              <w:jc w:val="start"/>
              <w:rPr/>
            </w:pPr>
            <w:r>
              <w:rPr/>
              <w:t>SLA</w:t>
            </w:r>
          </w:p>
        </w:tc>
        <w:tc>
          <w:tcPr>
            <w:tcW w:w="3825" w:type="dxa"/>
            <w:tcBorders/>
            <w:vAlign w:val="center"/>
          </w:tcPr>
          <w:p>
            <w:pPr>
              <w:pStyle w:val="TableContents"/>
              <w:bidi w:val="0"/>
              <w:spacing w:before="0" w:after="160"/>
              <w:jc w:val="start"/>
              <w:rPr/>
            </w:pPr>
            <w:r>
              <w:rPr/>
              <w:t>Commercially reasonable efforts; no credits</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CD-22</w:t>
            </w:r>
          </w:p>
        </w:tc>
        <w:tc>
          <w:tcPr>
            <w:tcW w:w="2232" w:type="dxa"/>
            <w:tcBorders/>
            <w:vAlign w:val="center"/>
          </w:tcPr>
          <w:p>
            <w:pPr>
              <w:pStyle w:val="TableContents"/>
              <w:bidi w:val="0"/>
              <w:spacing w:before="0" w:after="160"/>
              <w:jc w:val="start"/>
              <w:rPr/>
            </w:pPr>
            <w:r>
              <w:rPr/>
              <w:t>Support</w:t>
            </w:r>
          </w:p>
        </w:tc>
        <w:tc>
          <w:tcPr>
            <w:tcW w:w="3825" w:type="dxa"/>
            <w:tcBorders/>
            <w:vAlign w:val="center"/>
          </w:tcPr>
          <w:p>
            <w:pPr>
              <w:pStyle w:val="TableContents"/>
              <w:bidi w:val="0"/>
              <w:spacing w:before="0" w:after="160"/>
              <w:jc w:val="start"/>
              <w:rPr/>
            </w:pPr>
            <w:r>
              <w:rPr/>
              <w:t>Email, 09:00-18:00 ICT business days; target next business day</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CD-23</w:t>
            </w:r>
          </w:p>
        </w:tc>
        <w:tc>
          <w:tcPr>
            <w:tcW w:w="2232" w:type="dxa"/>
            <w:tcBorders/>
            <w:vAlign w:val="center"/>
          </w:tcPr>
          <w:p>
            <w:pPr>
              <w:pStyle w:val="TableContents"/>
              <w:bidi w:val="0"/>
              <w:spacing w:before="0" w:after="160"/>
              <w:jc w:val="start"/>
              <w:rPr/>
            </w:pPr>
            <w:r>
              <w:rPr/>
              <w:t>Law/forum</w:t>
            </w:r>
          </w:p>
        </w:tc>
        <w:tc>
          <w:tcPr>
            <w:tcW w:w="3825" w:type="dxa"/>
            <w:tcBorders/>
            <w:vAlign w:val="center"/>
          </w:tcPr>
          <w:p>
            <w:pPr>
              <w:pStyle w:val="TableContents"/>
              <w:bidi w:val="0"/>
              <w:spacing w:before="0" w:after="160"/>
              <w:jc w:val="start"/>
              <w:rPr/>
            </w:pPr>
            <w:r>
              <w:rPr/>
              <w:t>Thai law; Bangkok courts</w:t>
            </w:r>
          </w:p>
        </w:tc>
        <w:tc>
          <w:tcPr>
            <w:tcW w:w="1366" w:type="dxa"/>
            <w:tcBorders/>
            <w:vAlign w:val="center"/>
          </w:tcPr>
          <w:p>
            <w:pPr>
              <w:pStyle w:val="TableContents"/>
              <w:bidi w:val="0"/>
              <w:spacing w:before="0" w:after="160"/>
              <w:jc w:val="start"/>
              <w:rPr/>
            </w:pPr>
            <w:r>
              <w:rPr/>
              <w:t>Proposed</w:t>
            </w:r>
          </w:p>
        </w:tc>
      </w:tr>
      <w:tr>
        <w:trPr/>
        <w:tc>
          <w:tcPr>
            <w:tcW w:w="577" w:type="dxa"/>
            <w:tcBorders/>
            <w:vAlign w:val="center"/>
          </w:tcPr>
          <w:p>
            <w:pPr>
              <w:pStyle w:val="TableContents"/>
              <w:bidi w:val="0"/>
              <w:spacing w:before="0" w:after="160"/>
              <w:jc w:val="start"/>
              <w:rPr/>
            </w:pPr>
            <w:r>
              <w:rPr/>
              <w:t>CD-24</w:t>
            </w:r>
          </w:p>
        </w:tc>
        <w:tc>
          <w:tcPr>
            <w:tcW w:w="2232" w:type="dxa"/>
            <w:tcBorders/>
            <w:vAlign w:val="center"/>
          </w:tcPr>
          <w:p>
            <w:pPr>
              <w:pStyle w:val="TableContents"/>
              <w:bidi w:val="0"/>
              <w:spacing w:before="0" w:after="160"/>
              <w:jc w:val="start"/>
              <w:rPr/>
            </w:pPr>
            <w:r>
              <w:rPr/>
              <w:t>DPO</w:t>
            </w:r>
          </w:p>
        </w:tc>
        <w:tc>
          <w:tcPr>
            <w:tcW w:w="3825" w:type="dxa"/>
            <w:tcBorders/>
            <w:vAlign w:val="center"/>
          </w:tcPr>
          <w:p>
            <w:pPr>
              <w:pStyle w:val="TableContents"/>
              <w:bidi w:val="0"/>
              <w:spacing w:before="0" w:after="160"/>
              <w:jc w:val="start"/>
              <w:rPr/>
            </w:pPr>
            <w:r>
              <w:rPr/>
              <w:t>Privacy Lead now; reassess statutory DPO threshold at scale</w:t>
            </w:r>
          </w:p>
        </w:tc>
        <w:tc>
          <w:tcPr>
            <w:tcW w:w="1366" w:type="dxa"/>
            <w:tcBorders/>
            <w:vAlign w:val="center"/>
          </w:tcPr>
          <w:p>
            <w:pPr>
              <w:pStyle w:val="TableContents"/>
              <w:bidi w:val="0"/>
              <w:spacing w:before="0" w:after="160"/>
              <w:jc w:val="start"/>
              <w:rPr/>
            </w:pPr>
            <w:r>
              <w:rPr/>
              <w:t>Proposed</w:t>
            </w:r>
          </w:p>
        </w:tc>
      </w:tr>
    </w:tbl>
    <w:p>
      <w:pPr>
        <w:pStyle w:val="Heading2"/>
        <w:bidi w:val="0"/>
        <w:jc w:val="start"/>
        <w:rPr/>
      </w:pPr>
      <w:r>
        <w:rPr/>
        <w:t>2. Release blockers</w:t>
      </w:r>
    </w:p>
    <w:p>
      <w:pPr>
        <w:pStyle w:val="BodyText"/>
        <w:bidi w:val="0"/>
        <w:jc w:val="start"/>
        <w:rPr/>
      </w:pPr>
      <w:r>
        <w:rPr/>
        <w:t>Domain enforcement, contact sweep, export-object purge, closure workflow, backup alignment, mailboxes, provider naming, model pipeline, suppression, Premium training-disable control and AI/Voice approvals require operational evidence.</w:t>
      </w:r>
    </w:p>
    <w:p>
      <w:pPr>
        <w:pStyle w:val="Heading1"/>
        <w:bidi w:val="0"/>
        <w:jc w:val="start"/>
        <w:rPr/>
      </w:pPr>
      <w:r>
        <w:rPr/>
        <w:t>Counsel Approval Record</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Record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Purpose</w:t>
      </w:r>
    </w:p>
    <w:p>
      <w:pPr>
        <w:pStyle w:val="BodyText"/>
        <w:bidi w:val="0"/>
        <w:jc w:val="start"/>
        <w:rPr/>
      </w:pPr>
      <w:r>
        <w:rPr/>
        <w:t>This record documents the business owner's attestation that external Thai counsel approved the exact 15 August 2026 DJBOT legal package. The underlying lawyer communication and counsel identity are retained by DEEJAI LAB CO., LTD. outside Git. This record does not claim that a lawyer's digital signature is stored in the repository.</w:t>
      </w:r>
    </w:p>
    <w:p>
      <w:pPr>
        <w:pStyle w:val="Heading2"/>
        <w:bidi w:val="0"/>
        <w:jc w:val="start"/>
        <w:rPr/>
      </w:pPr>
      <w:r>
        <w:rPr/>
        <w:t>2. Recorded approval</w:t>
      </w:r>
    </w:p>
    <w:p>
      <w:pPr>
        <w:pStyle w:val="BodyText"/>
        <w:numPr>
          <w:ilvl w:val="0"/>
          <w:numId w:val="5"/>
        </w:numPr>
        <w:tabs>
          <w:tab w:val="clear" w:pos="1134"/>
          <w:tab w:val="left" w:pos="709" w:leader="none"/>
        </w:tabs>
        <w:bidi w:val="0"/>
        <w:spacing w:before="0" w:after="0"/>
        <w:ind w:hanging="283" w:start="709"/>
        <w:jc w:val="start"/>
        <w:rPr/>
      </w:pPr>
      <w:r>
        <w:rPr/>
        <w:t>Client: DEEJAI LAB CO., LTD., registration number 0105569117953.</w:t>
      </w:r>
    </w:p>
    <w:p>
      <w:pPr>
        <w:pStyle w:val="BodyText"/>
        <w:numPr>
          <w:ilvl w:val="0"/>
          <w:numId w:val="5"/>
        </w:numPr>
        <w:tabs>
          <w:tab w:val="clear" w:pos="1134"/>
          <w:tab w:val="left" w:pos="709" w:leader="none"/>
        </w:tabs>
        <w:bidi w:val="0"/>
        <w:spacing w:before="0" w:after="0"/>
        <w:ind w:hanging="283" w:start="709"/>
        <w:jc w:val="start"/>
        <w:rPr/>
      </w:pPr>
      <w:r>
        <w:rPr/>
        <w:t>Approval: approved as reported by the business owner.</w:t>
      </w:r>
    </w:p>
    <w:p>
      <w:pPr>
        <w:pStyle w:val="BodyText"/>
        <w:numPr>
          <w:ilvl w:val="0"/>
          <w:numId w:val="5"/>
        </w:numPr>
        <w:tabs>
          <w:tab w:val="clear" w:pos="1134"/>
          <w:tab w:val="left" w:pos="709" w:leader="none"/>
        </w:tabs>
        <w:bidi w:val="0"/>
        <w:spacing w:before="0" w:after="0"/>
        <w:ind w:hanging="283" w:start="709"/>
        <w:jc w:val="start"/>
        <w:rPr/>
      </w:pPr>
      <w:r>
        <w:rPr/>
        <w:t xml:space="preserve">Internal reference: </w:t>
      </w:r>
      <w:r>
        <w:rPr>
          <w:rStyle w:val="SourceText"/>
        </w:rPr>
        <w:t>OWNER-ATTESTED-COUNSEL-APPROVAL-2026-08-15-DJBOT-LEGAL-PACKAGE</w:t>
      </w:r>
      <w:r>
        <w:rPr/>
        <w:t>.</w:t>
      </w:r>
    </w:p>
    <w:p>
      <w:pPr>
        <w:pStyle w:val="BodyText"/>
        <w:numPr>
          <w:ilvl w:val="0"/>
          <w:numId w:val="5"/>
        </w:numPr>
        <w:tabs>
          <w:tab w:val="clear" w:pos="1134"/>
          <w:tab w:val="left" w:pos="709" w:leader="none"/>
        </w:tabs>
        <w:bidi w:val="0"/>
        <w:spacing w:before="0" w:after="0"/>
        <w:ind w:hanging="283" w:start="709"/>
        <w:jc w:val="start"/>
        <w:rPr/>
      </w:pPr>
      <w:r>
        <w:rPr/>
        <w:t>Approval date recorded by the company: 15 August 2026.</w:t>
      </w:r>
    </w:p>
    <w:p>
      <w:pPr>
        <w:pStyle w:val="BodyText"/>
        <w:numPr>
          <w:ilvl w:val="0"/>
          <w:numId w:val="5"/>
        </w:numPr>
        <w:tabs>
          <w:tab w:val="clear" w:pos="1134"/>
          <w:tab w:val="left" w:pos="709" w:leader="none"/>
        </w:tabs>
        <w:bidi w:val="0"/>
        <w:spacing w:before="0" w:after="0"/>
        <w:ind w:hanging="283" w:start="709"/>
        <w:jc w:val="start"/>
        <w:rPr/>
      </w:pPr>
      <w:r>
        <w:rPr/>
        <w:t>Approved scope: B2B Master Terms, Privacy Notice, DPA, AUP, Flow Bot, AI Text Bot and AI Voice Bot family schedules, Flow/Text trial terms, social-channel exclusion, non-VAT clarification and supporting governance documents in this package.</w:t>
      </w:r>
    </w:p>
    <w:p>
      <w:pPr>
        <w:pStyle w:val="BodyText"/>
        <w:numPr>
          <w:ilvl w:val="0"/>
          <w:numId w:val="5"/>
        </w:numPr>
        <w:tabs>
          <w:tab w:val="clear" w:pos="1134"/>
          <w:tab w:val="left" w:pos="709" w:leader="none"/>
        </w:tabs>
        <w:bidi w:val="0"/>
        <w:spacing w:before="0" w:after="0"/>
        <w:ind w:hanging="283" w:start="709"/>
        <w:jc w:val="start"/>
        <w:rPr/>
      </w:pPr>
      <w:r>
        <w:rPr/>
        <w:t>Evidence custody: underlying lawyer communication and counsel identity retained in the company's legal records outside this repository.</w:t>
      </w:r>
    </w:p>
    <w:p>
      <w:pPr>
        <w:pStyle w:val="BodyText"/>
        <w:numPr>
          <w:ilvl w:val="0"/>
          <w:numId w:val="5"/>
        </w:numPr>
        <w:tabs>
          <w:tab w:val="clear" w:pos="1134"/>
          <w:tab w:val="left" w:pos="709" w:leader="none"/>
        </w:tabs>
        <w:bidi w:val="0"/>
        <w:spacing w:before="0" w:after="0"/>
        <w:ind w:hanging="283" w:start="709"/>
        <w:jc w:val="start"/>
        <w:rPr/>
      </w:pPr>
      <w:r>
        <w:rPr/>
        <w:t>Conditions: the documents become effective only for a package whose technical, provider, privacy, security, tax-status and operational release gates pass; AI/Voice provider changes require the approved subprocessor-change process.</w:t>
      </w:r>
    </w:p>
    <w:p>
      <w:pPr>
        <w:pStyle w:val="BodyText"/>
        <w:numPr>
          <w:ilvl w:val="0"/>
          <w:numId w:val="5"/>
        </w:numPr>
        <w:tabs>
          <w:tab w:val="clear" w:pos="1134"/>
          <w:tab w:val="left" w:pos="709" w:leader="none"/>
        </w:tabs>
        <w:bidi w:val="0"/>
        <w:ind w:hanging="283" w:start="709"/>
        <w:jc w:val="start"/>
        <w:rPr/>
      </w:pPr>
      <w:r>
        <w:rPr/>
        <w:t>Exclusions: social channels remain excluded; unapproved overages, telephone services, recording and automatic trial charging remain unavailable.</w:t>
      </w:r>
    </w:p>
    <w:p>
      <w:pPr>
        <w:pStyle w:val="Heading2"/>
        <w:bidi w:val="0"/>
        <w:jc w:val="start"/>
        <w:rPr/>
      </w:pPr>
      <w:r>
        <w:rPr/>
        <w:t>3. Integrity</w:t>
      </w:r>
    </w:p>
    <w:p>
      <w:pPr>
        <w:pStyle w:val="BodyText"/>
        <w:bidi w:val="0"/>
        <w:jc w:val="start"/>
        <w:rPr/>
      </w:pPr>
      <w:r>
        <w:rPr/>
        <w:t xml:space="preserve">The package </w:t>
      </w:r>
      <w:r>
        <w:rPr>
          <w:rStyle w:val="SourceText"/>
        </w:rPr>
        <w:t>manifest.json</w:t>
      </w:r>
      <w:r>
        <w:rPr/>
        <w:t xml:space="preserve"> binds every approved source and compiled Word file to its SHA-256 hash. Any later material change requires a new legal version and renewed approval evidence.</w:t>
      </w:r>
    </w:p>
    <w:p>
      <w:pPr>
        <w:pStyle w:val="Heading1"/>
        <w:bidi w:val="0"/>
        <w:jc w:val="start"/>
        <w:rPr/>
      </w:pPr>
      <w:r>
        <w:rPr/>
        <w:t>Legal Version and Deployment Manifest</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Approved, release-gated versions</w:t>
      </w:r>
    </w:p>
    <w:tbl>
      <w:tblPr>
        <w:tblW w:w="8000" w:type="dxa"/>
        <w:jc w:val="start"/>
        <w:tblInd w:w="0" w:type="dxa"/>
        <w:tblLayout w:type="fixed"/>
        <w:tblCellMar>
          <w:top w:w="28" w:type="dxa"/>
          <w:start w:w="28" w:type="dxa"/>
          <w:bottom w:w="28" w:type="dxa"/>
          <w:end w:w="28" w:type="dxa"/>
        </w:tblCellMar>
      </w:tblPr>
      <w:tblGrid>
        <w:gridCol w:w="1669"/>
        <w:gridCol w:w="3912"/>
        <w:gridCol w:w="2419"/>
      </w:tblGrid>
      <w:tr>
        <w:trPr>
          <w:tblHeader w:val="true"/>
        </w:trPr>
        <w:tc>
          <w:tcPr>
            <w:tcW w:w="1669" w:type="dxa"/>
            <w:tcBorders/>
            <w:vAlign w:val="center"/>
          </w:tcPr>
          <w:p>
            <w:pPr>
              <w:pStyle w:val="TableHeading"/>
              <w:suppressLineNumbers/>
              <w:shd w:fill="173F35" w:val="clear"/>
              <w:bidi w:val="0"/>
              <w:spacing w:before="0" w:after="160"/>
              <w:jc w:val="start"/>
              <w:rPr/>
            </w:pPr>
            <w:r>
              <w:rPr/>
              <w:t>Component</w:t>
            </w:r>
          </w:p>
        </w:tc>
        <w:tc>
          <w:tcPr>
            <w:tcW w:w="3912" w:type="dxa"/>
            <w:tcBorders/>
            <w:vAlign w:val="center"/>
          </w:tcPr>
          <w:p>
            <w:pPr>
              <w:pStyle w:val="TableHeading"/>
              <w:suppressLineNumbers/>
              <w:shd w:fill="173F35" w:val="clear"/>
              <w:bidi w:val="0"/>
              <w:spacing w:before="0" w:after="160"/>
              <w:jc w:val="start"/>
              <w:rPr/>
            </w:pPr>
            <w:r>
              <w:rPr/>
              <w:t>Version</w:t>
            </w:r>
          </w:p>
        </w:tc>
        <w:tc>
          <w:tcPr>
            <w:tcW w:w="2419" w:type="dxa"/>
            <w:tcBorders/>
            <w:vAlign w:val="center"/>
          </w:tcPr>
          <w:p>
            <w:pPr>
              <w:pStyle w:val="TableHeading"/>
              <w:suppressLineNumbers/>
              <w:shd w:fill="173F35" w:val="clear"/>
              <w:bidi w:val="0"/>
              <w:spacing w:before="0" w:after="160"/>
              <w:jc w:val="start"/>
              <w:rPr/>
            </w:pPr>
            <w:r>
              <w:rPr/>
              <w:t>Status</w:t>
            </w:r>
          </w:p>
        </w:tc>
      </w:tr>
      <w:tr>
        <w:trPr/>
        <w:tc>
          <w:tcPr>
            <w:tcW w:w="1669" w:type="dxa"/>
            <w:tcBorders/>
            <w:vAlign w:val="center"/>
          </w:tcPr>
          <w:p>
            <w:pPr>
              <w:pStyle w:val="TableContents"/>
              <w:bidi w:val="0"/>
              <w:spacing w:before="0" w:after="160"/>
              <w:jc w:val="start"/>
              <w:rPr/>
            </w:pPr>
            <w:r>
              <w:rPr/>
              <w:t>Master Terms</w:t>
            </w:r>
          </w:p>
        </w:tc>
        <w:tc>
          <w:tcPr>
            <w:tcW w:w="3912" w:type="dxa"/>
            <w:tcBorders/>
            <w:vAlign w:val="center"/>
          </w:tcPr>
          <w:p>
            <w:pPr>
              <w:pStyle w:val="TableContents"/>
              <w:bidi w:val="0"/>
              <w:spacing w:before="0" w:after="160"/>
              <w:jc w:val="start"/>
              <w:rPr/>
            </w:pPr>
            <w:r>
              <w:rPr>
                <w:rStyle w:val="SourceText"/>
              </w:rPr>
              <w:t>terms-2026-08-approved1</w:t>
            </w:r>
          </w:p>
        </w:tc>
        <w:tc>
          <w:tcPr>
            <w:tcW w:w="2419" w:type="dxa"/>
            <w:tcBorders/>
            <w:vAlign w:val="center"/>
          </w:tcPr>
          <w:p>
            <w:pPr>
              <w:pStyle w:val="TableContents"/>
              <w:bidi w:val="0"/>
              <w:spacing w:before="0" w:after="160"/>
              <w:jc w:val="start"/>
              <w:rPr/>
            </w:pPr>
            <w:r>
              <w:rPr/>
              <w:t>Approved; release-gated</w:t>
            </w:r>
          </w:p>
        </w:tc>
      </w:tr>
      <w:tr>
        <w:trPr/>
        <w:tc>
          <w:tcPr>
            <w:tcW w:w="1669" w:type="dxa"/>
            <w:tcBorders/>
            <w:vAlign w:val="center"/>
          </w:tcPr>
          <w:p>
            <w:pPr>
              <w:pStyle w:val="TableContents"/>
              <w:bidi w:val="0"/>
              <w:spacing w:before="0" w:after="160"/>
              <w:jc w:val="start"/>
              <w:rPr/>
            </w:pPr>
            <w:r>
              <w:rPr/>
              <w:t>Main Privacy Notice</w:t>
            </w:r>
          </w:p>
        </w:tc>
        <w:tc>
          <w:tcPr>
            <w:tcW w:w="3912" w:type="dxa"/>
            <w:tcBorders/>
            <w:vAlign w:val="center"/>
          </w:tcPr>
          <w:p>
            <w:pPr>
              <w:pStyle w:val="TableContents"/>
              <w:bidi w:val="0"/>
              <w:spacing w:before="0" w:after="160"/>
              <w:jc w:val="start"/>
              <w:rPr/>
            </w:pPr>
            <w:r>
              <w:rPr>
                <w:rStyle w:val="SourceText"/>
              </w:rPr>
              <w:t>privacy-2026-08-approved1</w:t>
            </w:r>
          </w:p>
        </w:tc>
        <w:tc>
          <w:tcPr>
            <w:tcW w:w="2419" w:type="dxa"/>
            <w:tcBorders/>
            <w:vAlign w:val="center"/>
          </w:tcPr>
          <w:p>
            <w:pPr>
              <w:pStyle w:val="TableContents"/>
              <w:bidi w:val="0"/>
              <w:spacing w:before="0" w:after="160"/>
              <w:jc w:val="start"/>
              <w:rPr/>
            </w:pPr>
            <w:r>
              <w:rPr/>
              <w:t>Approved; release-gated</w:t>
            </w:r>
          </w:p>
        </w:tc>
      </w:tr>
      <w:tr>
        <w:trPr/>
        <w:tc>
          <w:tcPr>
            <w:tcW w:w="1669" w:type="dxa"/>
            <w:tcBorders/>
            <w:vAlign w:val="center"/>
          </w:tcPr>
          <w:p>
            <w:pPr>
              <w:pStyle w:val="TableContents"/>
              <w:bidi w:val="0"/>
              <w:spacing w:before="0" w:after="160"/>
              <w:jc w:val="start"/>
              <w:rPr/>
            </w:pPr>
            <w:r>
              <w:rPr/>
              <w:t>Merchant DPA</w:t>
            </w:r>
          </w:p>
        </w:tc>
        <w:tc>
          <w:tcPr>
            <w:tcW w:w="3912" w:type="dxa"/>
            <w:tcBorders/>
            <w:vAlign w:val="center"/>
          </w:tcPr>
          <w:p>
            <w:pPr>
              <w:pStyle w:val="TableContents"/>
              <w:bidi w:val="0"/>
              <w:spacing w:before="0" w:after="160"/>
              <w:jc w:val="start"/>
              <w:rPr/>
            </w:pPr>
            <w:r>
              <w:rPr>
                <w:rStyle w:val="SourceText"/>
              </w:rPr>
              <w:t>dpa-2026-08-approved1</w:t>
            </w:r>
          </w:p>
        </w:tc>
        <w:tc>
          <w:tcPr>
            <w:tcW w:w="2419" w:type="dxa"/>
            <w:tcBorders/>
            <w:vAlign w:val="center"/>
          </w:tcPr>
          <w:p>
            <w:pPr>
              <w:pStyle w:val="TableContents"/>
              <w:bidi w:val="0"/>
              <w:spacing w:before="0" w:after="160"/>
              <w:jc w:val="start"/>
              <w:rPr/>
            </w:pPr>
            <w:r>
              <w:rPr/>
              <w:t>Approved; release-gated</w:t>
            </w:r>
          </w:p>
        </w:tc>
      </w:tr>
      <w:tr>
        <w:trPr/>
        <w:tc>
          <w:tcPr>
            <w:tcW w:w="1669" w:type="dxa"/>
            <w:tcBorders/>
            <w:vAlign w:val="center"/>
          </w:tcPr>
          <w:p>
            <w:pPr>
              <w:pStyle w:val="TableContents"/>
              <w:bidi w:val="0"/>
              <w:spacing w:before="0" w:after="160"/>
              <w:jc w:val="start"/>
              <w:rPr/>
            </w:pPr>
            <w:r>
              <w:rPr/>
              <w:t>Flow Bot Schedule</w:t>
            </w:r>
          </w:p>
        </w:tc>
        <w:tc>
          <w:tcPr>
            <w:tcW w:w="3912" w:type="dxa"/>
            <w:tcBorders/>
            <w:vAlign w:val="center"/>
          </w:tcPr>
          <w:p>
            <w:pPr>
              <w:pStyle w:val="TableContents"/>
              <w:bidi w:val="0"/>
              <w:spacing w:before="0" w:after="160"/>
              <w:jc w:val="start"/>
              <w:rPr/>
            </w:pPr>
            <w:r>
              <w:rPr>
                <w:rStyle w:val="SourceText"/>
              </w:rPr>
              <w:t>flow-2026-08-approved1</w:t>
            </w:r>
          </w:p>
        </w:tc>
        <w:tc>
          <w:tcPr>
            <w:tcW w:w="2419" w:type="dxa"/>
            <w:tcBorders/>
            <w:vAlign w:val="center"/>
          </w:tcPr>
          <w:p>
            <w:pPr>
              <w:pStyle w:val="TableContents"/>
              <w:bidi w:val="0"/>
              <w:spacing w:before="0" w:after="160"/>
              <w:jc w:val="start"/>
              <w:rPr/>
            </w:pPr>
            <w:r>
              <w:rPr/>
              <w:t>Approved; release-gated</w:t>
            </w:r>
          </w:p>
        </w:tc>
      </w:tr>
      <w:tr>
        <w:trPr/>
        <w:tc>
          <w:tcPr>
            <w:tcW w:w="1669" w:type="dxa"/>
            <w:tcBorders/>
            <w:vAlign w:val="center"/>
          </w:tcPr>
          <w:p>
            <w:pPr>
              <w:pStyle w:val="TableContents"/>
              <w:bidi w:val="0"/>
              <w:spacing w:before="0" w:after="160"/>
              <w:jc w:val="start"/>
              <w:rPr/>
            </w:pPr>
            <w:r>
              <w:rPr/>
              <w:t>AI Text Schedule</w:t>
            </w:r>
          </w:p>
        </w:tc>
        <w:tc>
          <w:tcPr>
            <w:tcW w:w="3912" w:type="dxa"/>
            <w:tcBorders/>
            <w:vAlign w:val="center"/>
          </w:tcPr>
          <w:p>
            <w:pPr>
              <w:pStyle w:val="TableContents"/>
              <w:bidi w:val="0"/>
              <w:spacing w:before="0" w:after="160"/>
              <w:jc w:val="start"/>
              <w:rPr/>
            </w:pPr>
            <w:r>
              <w:rPr>
                <w:rStyle w:val="SourceText"/>
              </w:rPr>
              <w:t>ai-text-2026-08-approved1</w:t>
            </w:r>
          </w:p>
        </w:tc>
        <w:tc>
          <w:tcPr>
            <w:tcW w:w="2419" w:type="dxa"/>
            <w:tcBorders/>
            <w:vAlign w:val="center"/>
          </w:tcPr>
          <w:p>
            <w:pPr>
              <w:pStyle w:val="TableContents"/>
              <w:bidi w:val="0"/>
              <w:spacing w:before="0" w:after="160"/>
              <w:jc w:val="start"/>
              <w:rPr/>
            </w:pPr>
            <w:r>
              <w:rPr/>
              <w:t>Approved terms; provider dormant</w:t>
            </w:r>
          </w:p>
        </w:tc>
      </w:tr>
      <w:tr>
        <w:trPr/>
        <w:tc>
          <w:tcPr>
            <w:tcW w:w="1669" w:type="dxa"/>
            <w:tcBorders/>
            <w:vAlign w:val="center"/>
          </w:tcPr>
          <w:p>
            <w:pPr>
              <w:pStyle w:val="TableContents"/>
              <w:bidi w:val="0"/>
              <w:spacing w:before="0" w:after="160"/>
              <w:jc w:val="start"/>
              <w:rPr/>
            </w:pPr>
            <w:r>
              <w:rPr/>
              <w:t>AI Voice Schedule</w:t>
            </w:r>
          </w:p>
        </w:tc>
        <w:tc>
          <w:tcPr>
            <w:tcW w:w="3912" w:type="dxa"/>
            <w:tcBorders/>
            <w:vAlign w:val="center"/>
          </w:tcPr>
          <w:p>
            <w:pPr>
              <w:pStyle w:val="TableContents"/>
              <w:bidi w:val="0"/>
              <w:spacing w:before="0" w:after="160"/>
              <w:jc w:val="start"/>
              <w:rPr/>
            </w:pPr>
            <w:r>
              <w:rPr>
                <w:rStyle w:val="SourceText"/>
              </w:rPr>
              <w:t>ai-voice-2026-08-approved1</w:t>
            </w:r>
          </w:p>
        </w:tc>
        <w:tc>
          <w:tcPr>
            <w:tcW w:w="2419" w:type="dxa"/>
            <w:tcBorders/>
            <w:vAlign w:val="center"/>
          </w:tcPr>
          <w:p>
            <w:pPr>
              <w:pStyle w:val="TableContents"/>
              <w:bidi w:val="0"/>
              <w:spacing w:before="0" w:after="160"/>
              <w:jc w:val="start"/>
              <w:rPr/>
            </w:pPr>
            <w:r>
              <w:rPr/>
              <w:t>Approved terms; provider dormant</w:t>
            </w:r>
          </w:p>
        </w:tc>
      </w:tr>
      <w:tr>
        <w:trPr/>
        <w:tc>
          <w:tcPr>
            <w:tcW w:w="1669" w:type="dxa"/>
            <w:tcBorders/>
            <w:vAlign w:val="center"/>
          </w:tcPr>
          <w:p>
            <w:pPr>
              <w:pStyle w:val="TableContents"/>
              <w:bidi w:val="0"/>
              <w:spacing w:before="0" w:after="160"/>
              <w:jc w:val="start"/>
              <w:rPr/>
            </w:pPr>
            <w:r>
              <w:rPr/>
              <w:t>Trial Terms Schedule</w:t>
            </w:r>
          </w:p>
        </w:tc>
        <w:tc>
          <w:tcPr>
            <w:tcW w:w="3912" w:type="dxa"/>
            <w:tcBorders/>
            <w:vAlign w:val="center"/>
          </w:tcPr>
          <w:p>
            <w:pPr>
              <w:pStyle w:val="TableContents"/>
              <w:bidi w:val="0"/>
              <w:spacing w:before="0" w:after="160"/>
              <w:jc w:val="start"/>
              <w:rPr/>
            </w:pPr>
            <w:r>
              <w:rPr>
                <w:rStyle w:val="SourceText"/>
              </w:rPr>
              <w:t>trials-2026-08-approved1</w:t>
            </w:r>
          </w:p>
        </w:tc>
        <w:tc>
          <w:tcPr>
            <w:tcW w:w="2419" w:type="dxa"/>
            <w:tcBorders/>
            <w:vAlign w:val="center"/>
          </w:tcPr>
          <w:p>
            <w:pPr>
              <w:pStyle w:val="TableContents"/>
              <w:bidi w:val="0"/>
              <w:spacing w:before="0" w:after="160"/>
              <w:jc w:val="start"/>
              <w:rPr/>
            </w:pPr>
            <w:r>
              <w:rPr/>
              <w:t>Approved terms; provisioning gate open</w:t>
            </w:r>
          </w:p>
        </w:tc>
      </w:tr>
      <w:tr>
        <w:trPr/>
        <w:tc>
          <w:tcPr>
            <w:tcW w:w="1669" w:type="dxa"/>
            <w:tcBorders/>
            <w:vAlign w:val="center"/>
          </w:tcPr>
          <w:p>
            <w:pPr>
              <w:pStyle w:val="TableContents"/>
              <w:bidi w:val="0"/>
              <w:spacing w:before="0" w:after="160"/>
              <w:jc w:val="start"/>
              <w:rPr/>
            </w:pPr>
            <w:r>
              <w:rPr/>
              <w:t>Social Exclusion Schedule</w:t>
            </w:r>
          </w:p>
        </w:tc>
        <w:tc>
          <w:tcPr>
            <w:tcW w:w="3912" w:type="dxa"/>
            <w:tcBorders/>
            <w:vAlign w:val="center"/>
          </w:tcPr>
          <w:p>
            <w:pPr>
              <w:pStyle w:val="TableContents"/>
              <w:bidi w:val="0"/>
              <w:spacing w:before="0" w:after="160"/>
              <w:jc w:val="start"/>
              <w:rPr/>
            </w:pPr>
            <w:r>
              <w:rPr>
                <w:rStyle w:val="SourceText"/>
              </w:rPr>
              <w:t>social-exclusion-2026-08-approved1</w:t>
            </w:r>
          </w:p>
        </w:tc>
        <w:tc>
          <w:tcPr>
            <w:tcW w:w="2419" w:type="dxa"/>
            <w:tcBorders/>
            <w:vAlign w:val="center"/>
          </w:tcPr>
          <w:p>
            <w:pPr>
              <w:pStyle w:val="TableContents"/>
              <w:bidi w:val="0"/>
              <w:spacing w:before="0" w:after="160"/>
              <w:jc w:val="start"/>
              <w:rPr/>
            </w:pPr>
            <w:r>
              <w:rPr/>
              <w:t>Approved exclusion</w:t>
            </w:r>
          </w:p>
        </w:tc>
      </w:tr>
      <w:tr>
        <w:trPr/>
        <w:tc>
          <w:tcPr>
            <w:tcW w:w="1669" w:type="dxa"/>
            <w:tcBorders/>
            <w:vAlign w:val="center"/>
          </w:tcPr>
          <w:p>
            <w:pPr>
              <w:pStyle w:val="TableContents"/>
              <w:bidi w:val="0"/>
              <w:spacing w:before="0" w:after="160"/>
              <w:jc w:val="start"/>
              <w:rPr/>
            </w:pPr>
            <w:r>
              <w:rPr/>
              <w:t>AUP</w:t>
            </w:r>
          </w:p>
        </w:tc>
        <w:tc>
          <w:tcPr>
            <w:tcW w:w="3912" w:type="dxa"/>
            <w:tcBorders/>
            <w:vAlign w:val="center"/>
          </w:tcPr>
          <w:p>
            <w:pPr>
              <w:pStyle w:val="TableContents"/>
              <w:bidi w:val="0"/>
              <w:spacing w:before="0" w:after="160"/>
              <w:jc w:val="start"/>
              <w:rPr/>
            </w:pPr>
            <w:r>
              <w:rPr>
                <w:rStyle w:val="SourceText"/>
              </w:rPr>
              <w:t>aup-2026-08-approved1</w:t>
            </w:r>
          </w:p>
        </w:tc>
        <w:tc>
          <w:tcPr>
            <w:tcW w:w="2419" w:type="dxa"/>
            <w:tcBorders/>
            <w:vAlign w:val="center"/>
          </w:tcPr>
          <w:p>
            <w:pPr>
              <w:pStyle w:val="TableContents"/>
              <w:bidi w:val="0"/>
              <w:spacing w:before="0" w:after="160"/>
              <w:jc w:val="start"/>
              <w:rPr/>
            </w:pPr>
            <w:r>
              <w:rPr/>
              <w:t>Approved; release-gated</w:t>
            </w:r>
          </w:p>
        </w:tc>
      </w:tr>
      <w:tr>
        <w:trPr/>
        <w:tc>
          <w:tcPr>
            <w:tcW w:w="1669" w:type="dxa"/>
            <w:tcBorders/>
            <w:vAlign w:val="center"/>
          </w:tcPr>
          <w:p>
            <w:pPr>
              <w:pStyle w:val="TableContents"/>
              <w:bidi w:val="0"/>
              <w:spacing w:before="0" w:after="160"/>
              <w:jc w:val="start"/>
              <w:rPr/>
            </w:pPr>
            <w:r>
              <w:rPr/>
              <w:t>Deejai Marketing Consent</w:t>
            </w:r>
          </w:p>
        </w:tc>
        <w:tc>
          <w:tcPr>
            <w:tcW w:w="3912" w:type="dxa"/>
            <w:tcBorders/>
            <w:vAlign w:val="center"/>
          </w:tcPr>
          <w:p>
            <w:pPr>
              <w:pStyle w:val="TableContents"/>
              <w:bidi w:val="0"/>
              <w:spacing w:before="0" w:after="160"/>
              <w:jc w:val="start"/>
              <w:rPr/>
            </w:pPr>
            <w:r>
              <w:rPr>
                <w:rStyle w:val="SourceText"/>
              </w:rPr>
              <w:t>consent-deejai-marketing-2026-08-approved1</w:t>
            </w:r>
          </w:p>
        </w:tc>
        <w:tc>
          <w:tcPr>
            <w:tcW w:w="2419" w:type="dxa"/>
            <w:tcBorders/>
            <w:vAlign w:val="center"/>
          </w:tcPr>
          <w:p>
            <w:pPr>
              <w:pStyle w:val="TableContents"/>
              <w:bidi w:val="0"/>
              <w:spacing w:before="0" w:after="160"/>
              <w:jc w:val="start"/>
              <w:rPr/>
            </w:pPr>
            <w:r>
              <w:rPr/>
              <w:t>Approved; release-gated</w:t>
            </w:r>
          </w:p>
        </w:tc>
      </w:tr>
      <w:tr>
        <w:trPr/>
        <w:tc>
          <w:tcPr>
            <w:tcW w:w="1669" w:type="dxa"/>
            <w:tcBorders/>
            <w:vAlign w:val="center"/>
          </w:tcPr>
          <w:p>
            <w:pPr>
              <w:pStyle w:val="TableContents"/>
              <w:bidi w:val="0"/>
              <w:spacing w:before="0" w:after="160"/>
              <w:jc w:val="start"/>
              <w:rPr/>
            </w:pPr>
            <w:r>
              <w:rPr/>
              <w:t>Partner Consent</w:t>
            </w:r>
          </w:p>
        </w:tc>
        <w:tc>
          <w:tcPr>
            <w:tcW w:w="3912" w:type="dxa"/>
            <w:tcBorders/>
            <w:vAlign w:val="center"/>
          </w:tcPr>
          <w:p>
            <w:pPr>
              <w:pStyle w:val="TableContents"/>
              <w:bidi w:val="0"/>
              <w:spacing w:before="0" w:after="160"/>
              <w:jc w:val="start"/>
              <w:rPr/>
            </w:pPr>
            <w:r>
              <w:rPr>
                <w:rStyle w:val="SourceText"/>
              </w:rPr>
              <w:t>consent-partner-2026-08-approved1</w:t>
            </w:r>
          </w:p>
        </w:tc>
        <w:tc>
          <w:tcPr>
            <w:tcW w:w="2419" w:type="dxa"/>
            <w:tcBorders/>
            <w:vAlign w:val="center"/>
          </w:tcPr>
          <w:p>
            <w:pPr>
              <w:pStyle w:val="TableContents"/>
              <w:bidi w:val="0"/>
              <w:spacing w:before="0" w:after="160"/>
              <w:jc w:val="start"/>
              <w:rPr/>
            </w:pPr>
            <w:r>
              <w:rPr/>
              <w:t>Approved text; feature disabled</w:t>
            </w:r>
          </w:p>
        </w:tc>
      </w:tr>
      <w:tr>
        <w:trPr/>
        <w:tc>
          <w:tcPr>
            <w:tcW w:w="1669" w:type="dxa"/>
            <w:tcBorders/>
            <w:vAlign w:val="center"/>
          </w:tcPr>
          <w:p>
            <w:pPr>
              <w:pStyle w:val="TableContents"/>
              <w:bidi w:val="0"/>
              <w:spacing w:before="0" w:after="160"/>
              <w:jc w:val="start"/>
              <w:rPr/>
            </w:pPr>
            <w:r>
              <w:rPr/>
              <w:t>Model Consent</w:t>
            </w:r>
          </w:p>
        </w:tc>
        <w:tc>
          <w:tcPr>
            <w:tcW w:w="3912" w:type="dxa"/>
            <w:tcBorders/>
            <w:vAlign w:val="center"/>
          </w:tcPr>
          <w:p>
            <w:pPr>
              <w:pStyle w:val="TableContents"/>
              <w:bidi w:val="0"/>
              <w:spacing w:before="0" w:after="160"/>
              <w:jc w:val="start"/>
              <w:rPr/>
            </w:pPr>
            <w:r>
              <w:rPr>
                <w:rStyle w:val="SourceText"/>
              </w:rPr>
              <w:t>consent-model-2026-08-approved1</w:t>
            </w:r>
          </w:p>
        </w:tc>
        <w:tc>
          <w:tcPr>
            <w:tcW w:w="2419" w:type="dxa"/>
            <w:tcBorders/>
            <w:vAlign w:val="center"/>
          </w:tcPr>
          <w:p>
            <w:pPr>
              <w:pStyle w:val="TableContents"/>
              <w:bidi w:val="0"/>
              <w:spacing w:before="0" w:after="160"/>
              <w:jc w:val="start"/>
              <w:rPr/>
            </w:pPr>
            <w:r>
              <w:rPr/>
              <w:t>Approved text; feature disabled until governance gate</w:t>
            </w:r>
          </w:p>
        </w:tc>
      </w:tr>
    </w:tbl>
    <w:p>
      <w:pPr>
        <w:pStyle w:val="Heading2"/>
        <w:bidi w:val="0"/>
        <w:jc w:val="start"/>
        <w:rPr/>
      </w:pPr>
      <w:r>
        <w:rPr/>
        <w:t>2. Production requirements</w:t>
      </w:r>
    </w:p>
    <w:p>
      <w:pPr>
        <w:pStyle w:val="BodyText"/>
        <w:bidi w:val="0"/>
        <w:jc w:val="start"/>
        <w:rPr/>
      </w:pPr>
      <w:r>
        <w:rPr/>
        <w:t>The bundle must contain approval status, owner-attested counsel reference, effective date, version, title and immutable content hash. Registration must fail closed if the bundle is missing, not effective for the selected package or hash-mismatched. Acceptance records must store the exact version/text or hash presented.</w:t>
      </w:r>
    </w:p>
    <w:p>
      <w:pPr>
        <w:pStyle w:val="BodyText"/>
        <w:bidi w:val="0"/>
        <w:jc w:val="start"/>
        <w:rPr/>
      </w:pPr>
      <w:r>
        <w:rPr/>
        <w:t>A new version is required for material changes to purpose, provider, region, retention, price, renewal, product function, consent or rights process.</w:t>
      </w:r>
    </w:p>
    <w:p>
      <w:pPr>
        <w:pStyle w:val="Heading1"/>
        <w:bidi w:val="0"/>
        <w:jc w:val="start"/>
        <w:rPr/>
      </w:pPr>
      <w:r>
        <w:rPr/>
        <w:t>Data Flow Map and Processing Narrative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Merchant service flow</w:t>
      </w:r>
    </w:p>
    <w:p>
      <w:pPr>
        <w:pStyle w:val="BodyText"/>
        <w:numPr>
          <w:ilvl w:val="0"/>
          <w:numId w:val="6"/>
        </w:numPr>
        <w:tabs>
          <w:tab w:val="clear" w:pos="1134"/>
          <w:tab w:val="left" w:pos="709" w:leader="none"/>
        </w:tabs>
        <w:bidi w:val="0"/>
        <w:spacing w:before="0" w:after="0"/>
        <w:ind w:hanging="283" w:start="709"/>
        <w:jc w:val="start"/>
        <w:rPr/>
      </w:pPr>
      <w:r>
        <w:rPr/>
        <w:t>Customer opens Merchant site.</w:t>
      </w:r>
    </w:p>
    <w:p>
      <w:pPr>
        <w:pStyle w:val="BodyText"/>
        <w:numPr>
          <w:ilvl w:val="0"/>
          <w:numId w:val="6"/>
        </w:numPr>
        <w:tabs>
          <w:tab w:val="clear" w:pos="1134"/>
          <w:tab w:val="left" w:pos="709" w:leader="none"/>
        </w:tabs>
        <w:bidi w:val="0"/>
        <w:spacing w:before="0" w:after="0"/>
        <w:ind w:hanging="283" w:start="709"/>
        <w:jc w:val="start"/>
        <w:rPr/>
      </w:pPr>
      <w:r>
        <w:rPr/>
        <w:t>Widget reads/creates opaque localStorage session token.</w:t>
      </w:r>
    </w:p>
    <w:p>
      <w:pPr>
        <w:pStyle w:val="BodyText"/>
        <w:numPr>
          <w:ilvl w:val="0"/>
          <w:numId w:val="6"/>
        </w:numPr>
        <w:tabs>
          <w:tab w:val="clear" w:pos="1134"/>
          <w:tab w:val="left" w:pos="709" w:leader="none"/>
        </w:tabs>
        <w:bidi w:val="0"/>
        <w:spacing w:before="0" w:after="0"/>
        <w:ind w:hanging="283" w:start="709"/>
        <w:jc w:val="start"/>
        <w:rPr/>
      </w:pPr>
      <w:r>
        <w:rPr/>
        <w:t>Customer submits message and optional contact details.</w:t>
      </w:r>
    </w:p>
    <w:p>
      <w:pPr>
        <w:pStyle w:val="BodyText"/>
        <w:numPr>
          <w:ilvl w:val="0"/>
          <w:numId w:val="6"/>
        </w:numPr>
        <w:tabs>
          <w:tab w:val="clear" w:pos="1134"/>
          <w:tab w:val="left" w:pos="709" w:leader="none"/>
        </w:tabs>
        <w:bidi w:val="0"/>
        <w:spacing w:before="0" w:after="0"/>
        <w:ind w:hanging="283" w:start="709"/>
        <w:jc w:val="start"/>
        <w:rPr/>
      </w:pPr>
      <w:r>
        <w:rPr/>
        <w:t>Data passes to Deejai services.</w:t>
      </w:r>
    </w:p>
    <w:p>
      <w:pPr>
        <w:pStyle w:val="BodyText"/>
        <w:numPr>
          <w:ilvl w:val="0"/>
          <w:numId w:val="6"/>
        </w:numPr>
        <w:tabs>
          <w:tab w:val="clear" w:pos="1134"/>
          <w:tab w:val="left" w:pos="709" w:leader="none"/>
        </w:tabs>
        <w:bidi w:val="0"/>
        <w:spacing w:before="0" w:after="0"/>
        <w:ind w:hanging="283" w:start="709"/>
        <w:jc w:val="start"/>
        <w:rPr/>
      </w:pPr>
      <w:r>
        <w:rPr/>
        <w:t xml:space="preserve">Operational data is stored in Neon on AWS </w:t>
      </w:r>
      <w:r>
        <w:rPr>
          <w:rStyle w:val="SourceText"/>
        </w:rPr>
        <w:t>us-east-2</w:t>
      </w:r>
      <w:r>
        <w:rPr/>
        <w:t>.</w:t>
      </w:r>
    </w:p>
    <w:p>
      <w:pPr>
        <w:pStyle w:val="BodyText"/>
        <w:numPr>
          <w:ilvl w:val="0"/>
          <w:numId w:val="6"/>
        </w:numPr>
        <w:tabs>
          <w:tab w:val="clear" w:pos="1134"/>
          <w:tab w:val="left" w:pos="709" w:leader="none"/>
        </w:tabs>
        <w:bidi w:val="0"/>
        <w:spacing w:before="0" w:after="0"/>
        <w:ind w:hanging="283" w:start="709"/>
        <w:jc w:val="start"/>
        <w:rPr/>
      </w:pPr>
      <w:r>
        <w:rPr/>
        <w:t>Merchant views lead/conversation.</w:t>
      </w:r>
    </w:p>
    <w:p>
      <w:pPr>
        <w:pStyle w:val="BodyText"/>
        <w:numPr>
          <w:ilvl w:val="0"/>
          <w:numId w:val="6"/>
        </w:numPr>
        <w:tabs>
          <w:tab w:val="clear" w:pos="1134"/>
          <w:tab w:val="left" w:pos="709" w:leader="none"/>
        </w:tabs>
        <w:bidi w:val="0"/>
        <w:spacing w:before="0" w:after="0"/>
        <w:ind w:hanging="283" w:start="709"/>
        <w:jc w:val="start"/>
        <w:rPr/>
      </w:pPr>
      <w:r>
        <w:rPr/>
        <w:t>Transcript content is tombstoned after configured 30-730 days.</w:t>
      </w:r>
    </w:p>
    <w:p>
      <w:pPr>
        <w:pStyle w:val="BodyText"/>
        <w:numPr>
          <w:ilvl w:val="0"/>
          <w:numId w:val="6"/>
        </w:numPr>
        <w:tabs>
          <w:tab w:val="clear" w:pos="1134"/>
          <w:tab w:val="left" w:pos="709" w:leader="none"/>
        </w:tabs>
        <w:bidi w:val="0"/>
        <w:ind w:hanging="283" w:start="709"/>
        <w:jc w:val="start"/>
        <w:rPr/>
      </w:pPr>
      <w:r>
        <w:rPr/>
        <w:t>Contact data remains until erasure or closure handling under current implementation.</w:t>
      </w:r>
    </w:p>
    <w:p>
      <w:pPr>
        <w:pStyle w:val="BodyText"/>
        <w:bidi w:val="0"/>
        <w:jc w:val="start"/>
        <w:rPr/>
      </w:pPr>
      <w:r>
        <w:rPr/>
        <w:t>Role: Merchant controller; Deejai processor.</w:t>
      </w:r>
    </w:p>
    <w:p>
      <w:pPr>
        <w:pStyle w:val="Heading2"/>
        <w:bidi w:val="0"/>
        <w:jc w:val="start"/>
        <w:rPr/>
      </w:pPr>
      <w:r>
        <w:rPr/>
        <w:t>2. Billing after commerce approval</w:t>
      </w:r>
    </w:p>
    <w:p>
      <w:pPr>
        <w:pStyle w:val="BodyText"/>
        <w:bidi w:val="0"/>
        <w:jc w:val="start"/>
        <w:rPr/>
      </w:pPr>
      <w:r>
        <w:rPr/>
        <w:t>When a package becomes sellable, the Merchant uses Stripe-hosted checkout. Stripe receives full card information. Deejai receives billing identity, subscription status and payment tokens. Deejai is controller for its billing records; Stripe may independently control its payment/compliance processing. No production charge is currently authorised.</w:t>
      </w:r>
    </w:p>
    <w:p>
      <w:pPr>
        <w:pStyle w:val="Heading2"/>
        <w:bidi w:val="0"/>
        <w:jc w:val="start"/>
        <w:rPr/>
      </w:pPr>
      <w:r>
        <w:rPr/>
        <w:t>3. Deejai marketing</w:t>
      </w:r>
    </w:p>
    <w:p>
      <w:pPr>
        <w:pStyle w:val="BodyText"/>
        <w:bidi w:val="0"/>
        <w:jc w:val="start"/>
        <w:rPr/>
      </w:pPr>
      <w:r>
        <w:rPr/>
        <w:t>On separate opt-in, necessary contact data and consent evidence are copied to a separate Deejai marketing dataset. Central suppression applies. Deejai controller.</w:t>
      </w:r>
    </w:p>
    <w:p>
      <w:pPr>
        <w:pStyle w:val="Heading2"/>
        <w:bidi w:val="0"/>
        <w:jc w:val="start"/>
        <w:rPr/>
      </w:pPr>
      <w:r>
        <w:rPr/>
        <w:t>4. Partner marketing</w:t>
      </w:r>
    </w:p>
    <w:p>
      <w:pPr>
        <w:pStyle w:val="BodyText"/>
        <w:bidi w:val="0"/>
        <w:jc w:val="start"/>
        <w:rPr/>
      </w:pPr>
      <w:r>
        <w:rPr/>
        <w:t>Disabled. When approved, only named fields and consent evidence transfer. Chat content does not. Deejai and partner are independent controllers.</w:t>
      </w:r>
    </w:p>
    <w:p>
      <w:pPr>
        <w:pStyle w:val="Heading2"/>
        <w:bidi w:val="0"/>
        <w:jc w:val="start"/>
        <w:rPr/>
      </w:pPr>
      <w:r>
        <w:rPr/>
        <w:t>5. Model development</w:t>
      </w:r>
    </w:p>
    <w:p>
      <w:pPr>
        <w:pStyle w:val="BodyText"/>
        <w:bidi w:val="0"/>
        <w:jc w:val="start"/>
        <w:rPr/>
      </w:pPr>
      <w:r>
        <w:rPr/>
        <w:t>On separate opt-in and Merchant-enabled setting, an eligibility event is created. Direct identifiers are removed, free text screened, prohibited records quarantined and approved dataset registered. Operational Merchant data remains separate. Deejai controller.</w:t>
      </w:r>
    </w:p>
    <w:p>
      <w:pPr>
        <w:pStyle w:val="Heading2"/>
        <w:bidi w:val="0"/>
        <w:jc w:val="start"/>
        <w:rPr/>
      </w:pPr>
      <w:r>
        <w:rPr/>
        <w:t>6. Social channels</w:t>
      </w:r>
    </w:p>
    <w:p>
      <w:pPr>
        <w:pStyle w:val="BodyText"/>
        <w:bidi w:val="0"/>
        <w:jc w:val="start"/>
        <w:rPr/>
      </w:pPr>
      <w:r>
        <w:rPr/>
        <w:t>Excluded from the initial release. No production customer data is sent to LINE, Meta or another social provider.</w:t>
      </w:r>
    </w:p>
    <w:p>
      <w:pPr>
        <w:pStyle w:val="Heading2"/>
        <w:bidi w:val="0"/>
        <w:jc w:val="start"/>
        <w:rPr/>
      </w:pPr>
      <w:r>
        <w:rPr/>
        <w:t>7. AI Text and AI Voice</w:t>
      </w:r>
    </w:p>
    <w:p>
      <w:pPr>
        <w:pStyle w:val="BodyText"/>
        <w:bidi w:val="0"/>
        <w:jc w:val="start"/>
        <w:rPr/>
      </w:pPr>
      <w:r>
        <w:rPr/>
        <w:t>The Text runtime, internal OpenAI Responses gateway, Voice WebSocket gateway and Google Live/OpenAI Realtime adapters exist in code. The current launch configuration does not provide complete live provider routes. No production data may go to an AI, Voice, telephony or speech provider until the relevant route, subprocessor and transfer controls are approved.</w:t>
      </w:r>
    </w:p>
    <w:p>
      <w:pPr>
        <w:pStyle w:val="Heading2"/>
        <w:bidi w:val="0"/>
        <w:jc w:val="start"/>
        <w:rPr/>
      </w:pPr>
      <w:r>
        <w:rPr/>
        <w:t>8. Export/erasure</w:t>
      </w:r>
    </w:p>
    <w:p>
      <w:pPr>
        <w:pStyle w:val="BodyText"/>
        <w:bidi w:val="0"/>
        <w:jc w:val="start"/>
        <w:rPr/>
      </w:pPr>
      <w:r>
        <w:rPr/>
        <w:t>Authorised Merchant user submits a privacy job after recent re-authentication. Export link expires after seven days. Erasure removes identifying content and retains non-identifying shells, audit and legal-hold items. Physical purge of expired export encrypted row is pending.</w:t>
      </w:r>
    </w:p>
    <w:p>
      <w:pPr>
        <w:pStyle w:val="Heading1"/>
        <w:bidi w:val="0"/>
        <w:jc w:val="start"/>
        <w:rPr/>
      </w:pPr>
      <w:r>
        <w:rPr/>
        <w:t>Record of Processing Activities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Controller activities</w:t>
      </w:r>
    </w:p>
    <w:tbl>
      <w:tblPr>
        <w:tblW w:w="8000" w:type="dxa"/>
        <w:jc w:val="start"/>
        <w:tblInd w:w="0" w:type="dxa"/>
        <w:tblLayout w:type="fixed"/>
        <w:tblCellMar>
          <w:top w:w="28" w:type="dxa"/>
          <w:start w:w="28" w:type="dxa"/>
          <w:bottom w:w="28" w:type="dxa"/>
          <w:end w:w="28" w:type="dxa"/>
        </w:tblCellMar>
      </w:tblPr>
      <w:tblGrid>
        <w:gridCol w:w="1361"/>
        <w:gridCol w:w="1858"/>
        <w:gridCol w:w="1650"/>
        <w:gridCol w:w="1383"/>
        <w:gridCol w:w="1748"/>
      </w:tblGrid>
      <w:tr>
        <w:trPr>
          <w:tblHeader w:val="true"/>
        </w:trPr>
        <w:tc>
          <w:tcPr>
            <w:tcW w:w="1361" w:type="dxa"/>
            <w:tcBorders/>
            <w:vAlign w:val="center"/>
          </w:tcPr>
          <w:p>
            <w:pPr>
              <w:pStyle w:val="TableHeading"/>
              <w:suppressLineNumbers/>
              <w:shd w:fill="173F35" w:val="clear"/>
              <w:bidi w:val="0"/>
              <w:spacing w:before="0" w:after="160"/>
              <w:jc w:val="start"/>
              <w:rPr/>
            </w:pPr>
            <w:r>
              <w:rPr/>
              <w:t>Activity</w:t>
            </w:r>
          </w:p>
        </w:tc>
        <w:tc>
          <w:tcPr>
            <w:tcW w:w="1858" w:type="dxa"/>
            <w:tcBorders/>
            <w:vAlign w:val="center"/>
          </w:tcPr>
          <w:p>
            <w:pPr>
              <w:pStyle w:val="TableHeading"/>
              <w:suppressLineNumbers/>
              <w:shd w:fill="173F35" w:val="clear"/>
              <w:bidi w:val="0"/>
              <w:spacing w:before="0" w:after="160"/>
              <w:jc w:val="start"/>
              <w:rPr/>
            </w:pPr>
            <w:r>
              <w:rPr/>
              <w:t>Subjects/data</w:t>
            </w:r>
          </w:p>
        </w:tc>
        <w:tc>
          <w:tcPr>
            <w:tcW w:w="1650" w:type="dxa"/>
            <w:tcBorders/>
            <w:vAlign w:val="center"/>
          </w:tcPr>
          <w:p>
            <w:pPr>
              <w:pStyle w:val="TableHeading"/>
              <w:suppressLineNumbers/>
              <w:shd w:fill="173F35" w:val="clear"/>
              <w:bidi w:val="0"/>
              <w:spacing w:before="0" w:after="160"/>
              <w:jc w:val="start"/>
              <w:rPr/>
            </w:pPr>
            <w:r>
              <w:rPr/>
              <w:t>Purpose/basis</w:t>
            </w:r>
          </w:p>
        </w:tc>
        <w:tc>
          <w:tcPr>
            <w:tcW w:w="1383" w:type="dxa"/>
            <w:tcBorders/>
            <w:vAlign w:val="center"/>
          </w:tcPr>
          <w:p>
            <w:pPr>
              <w:pStyle w:val="TableHeading"/>
              <w:suppressLineNumbers/>
              <w:shd w:fill="173F35" w:val="clear"/>
              <w:bidi w:val="0"/>
              <w:spacing w:before="0" w:after="160"/>
              <w:jc w:val="start"/>
              <w:rPr/>
            </w:pPr>
            <w:r>
              <w:rPr/>
              <w:t>Recipients</w:t>
            </w:r>
          </w:p>
        </w:tc>
        <w:tc>
          <w:tcPr>
            <w:tcW w:w="1748" w:type="dxa"/>
            <w:tcBorders/>
            <w:vAlign w:val="center"/>
          </w:tcPr>
          <w:p>
            <w:pPr>
              <w:pStyle w:val="TableHeading"/>
              <w:suppressLineNumbers/>
              <w:shd w:fill="173F35" w:val="clear"/>
              <w:bidi w:val="0"/>
              <w:spacing w:before="0" w:after="160"/>
              <w:jc w:val="start"/>
              <w:rPr/>
            </w:pPr>
            <w:r>
              <w:rPr/>
              <w:t>Retention</w:t>
            </w:r>
          </w:p>
        </w:tc>
      </w:tr>
      <w:tr>
        <w:trPr/>
        <w:tc>
          <w:tcPr>
            <w:tcW w:w="1361" w:type="dxa"/>
            <w:tcBorders/>
            <w:vAlign w:val="center"/>
          </w:tcPr>
          <w:p>
            <w:pPr>
              <w:pStyle w:val="TableContents"/>
              <w:bidi w:val="0"/>
              <w:spacing w:before="0" w:after="160"/>
              <w:jc w:val="start"/>
              <w:rPr/>
            </w:pPr>
            <w:r>
              <w:rPr/>
              <w:t>Merchant accounts</w:t>
            </w:r>
          </w:p>
        </w:tc>
        <w:tc>
          <w:tcPr>
            <w:tcW w:w="1858" w:type="dxa"/>
            <w:tcBorders/>
            <w:vAlign w:val="center"/>
          </w:tcPr>
          <w:p>
            <w:pPr>
              <w:pStyle w:val="TableContents"/>
              <w:bidi w:val="0"/>
              <w:spacing w:before="0" w:after="160"/>
              <w:jc w:val="start"/>
              <w:rPr/>
            </w:pPr>
            <w:r>
              <w:rPr/>
              <w:t>Owners/staff; name, email, auth, roles</w:t>
            </w:r>
          </w:p>
        </w:tc>
        <w:tc>
          <w:tcPr>
            <w:tcW w:w="1650" w:type="dxa"/>
            <w:tcBorders/>
            <w:vAlign w:val="center"/>
          </w:tcPr>
          <w:p>
            <w:pPr>
              <w:pStyle w:val="TableContents"/>
              <w:bidi w:val="0"/>
              <w:spacing w:before="0" w:after="160"/>
              <w:jc w:val="start"/>
              <w:rPr/>
            </w:pPr>
            <w:r>
              <w:rPr/>
              <w:t>Contract; security</w:t>
            </w:r>
          </w:p>
        </w:tc>
        <w:tc>
          <w:tcPr>
            <w:tcW w:w="1383" w:type="dxa"/>
            <w:tcBorders/>
            <w:vAlign w:val="center"/>
          </w:tcPr>
          <w:p>
            <w:pPr>
              <w:pStyle w:val="TableContents"/>
              <w:bidi w:val="0"/>
              <w:spacing w:before="0" w:after="160"/>
              <w:jc w:val="start"/>
              <w:rPr/>
            </w:pPr>
            <w:r>
              <w:rPr/>
              <w:t>Neon/AWS; email provider once approved</w:t>
            </w:r>
          </w:p>
        </w:tc>
        <w:tc>
          <w:tcPr>
            <w:tcW w:w="1748" w:type="dxa"/>
            <w:tcBorders/>
            <w:vAlign w:val="center"/>
          </w:tcPr>
          <w:p>
            <w:pPr>
              <w:pStyle w:val="TableContents"/>
              <w:bidi w:val="0"/>
              <w:spacing w:before="0" w:after="160"/>
              <w:jc w:val="start"/>
              <w:rPr/>
            </w:pPr>
            <w:r>
              <w:rPr/>
              <w:t>Account life + closure/legal</w:t>
            </w:r>
          </w:p>
        </w:tc>
      </w:tr>
      <w:tr>
        <w:trPr/>
        <w:tc>
          <w:tcPr>
            <w:tcW w:w="1361" w:type="dxa"/>
            <w:tcBorders/>
            <w:vAlign w:val="center"/>
          </w:tcPr>
          <w:p>
            <w:pPr>
              <w:pStyle w:val="TableContents"/>
              <w:bidi w:val="0"/>
              <w:spacing w:before="0" w:after="160"/>
              <w:jc w:val="start"/>
              <w:rPr/>
            </w:pPr>
            <w:r>
              <w:rPr/>
              <w:t>Billing</w:t>
            </w:r>
          </w:p>
        </w:tc>
        <w:tc>
          <w:tcPr>
            <w:tcW w:w="1858" w:type="dxa"/>
            <w:tcBorders/>
            <w:vAlign w:val="center"/>
          </w:tcPr>
          <w:p>
            <w:pPr>
              <w:pStyle w:val="TableContents"/>
              <w:bidi w:val="0"/>
              <w:spacing w:before="0" w:after="160"/>
              <w:jc w:val="start"/>
              <w:rPr/>
            </w:pPr>
            <w:r>
              <w:rPr/>
              <w:t>Billing contacts; invoices/subscription/token</w:t>
            </w:r>
          </w:p>
        </w:tc>
        <w:tc>
          <w:tcPr>
            <w:tcW w:w="1650" w:type="dxa"/>
            <w:tcBorders/>
            <w:vAlign w:val="center"/>
          </w:tcPr>
          <w:p>
            <w:pPr>
              <w:pStyle w:val="TableContents"/>
              <w:bidi w:val="0"/>
              <w:spacing w:before="0" w:after="160"/>
              <w:jc w:val="start"/>
              <w:rPr/>
            </w:pPr>
            <w:r>
              <w:rPr/>
              <w:t>Contract/legal obligation</w:t>
            </w:r>
          </w:p>
        </w:tc>
        <w:tc>
          <w:tcPr>
            <w:tcW w:w="1383" w:type="dxa"/>
            <w:tcBorders/>
            <w:vAlign w:val="center"/>
          </w:tcPr>
          <w:p>
            <w:pPr>
              <w:pStyle w:val="TableContents"/>
              <w:bidi w:val="0"/>
              <w:spacing w:before="0" w:after="160"/>
              <w:jc w:val="start"/>
              <w:rPr/>
            </w:pPr>
            <w:r>
              <w:rPr/>
              <w:t>Stripe, advisers as needed</w:t>
            </w:r>
          </w:p>
        </w:tc>
        <w:tc>
          <w:tcPr>
            <w:tcW w:w="1748" w:type="dxa"/>
            <w:tcBorders/>
            <w:vAlign w:val="center"/>
          </w:tcPr>
          <w:p>
            <w:pPr>
              <w:pStyle w:val="TableContents"/>
              <w:bidi w:val="0"/>
              <w:spacing w:before="0" w:after="160"/>
              <w:jc w:val="start"/>
              <w:rPr/>
            </w:pPr>
            <w:r>
              <w:rPr/>
              <w:t>Seven years</w:t>
            </w:r>
          </w:p>
        </w:tc>
      </w:tr>
      <w:tr>
        <w:trPr/>
        <w:tc>
          <w:tcPr>
            <w:tcW w:w="1361" w:type="dxa"/>
            <w:tcBorders/>
            <w:vAlign w:val="center"/>
          </w:tcPr>
          <w:p>
            <w:pPr>
              <w:pStyle w:val="TableContents"/>
              <w:bidi w:val="0"/>
              <w:spacing w:before="0" w:after="160"/>
              <w:jc w:val="start"/>
              <w:rPr/>
            </w:pPr>
            <w:r>
              <w:rPr/>
              <w:t>Trial eligibility</w:t>
            </w:r>
          </w:p>
        </w:tc>
        <w:tc>
          <w:tcPr>
            <w:tcW w:w="1858" w:type="dxa"/>
            <w:tcBorders/>
            <w:vAlign w:val="center"/>
          </w:tcPr>
          <w:p>
            <w:pPr>
              <w:pStyle w:val="TableContents"/>
              <w:bidi w:val="0"/>
              <w:spacing w:before="0" w:after="160"/>
              <w:jc w:val="start"/>
              <w:rPr/>
            </w:pPr>
            <w:r>
              <w:rPr/>
              <w:t>Account owner; normalized verified email or keyed hash of Stripe card fingerprint</w:t>
            </w:r>
          </w:p>
        </w:tc>
        <w:tc>
          <w:tcPr>
            <w:tcW w:w="1650" w:type="dxa"/>
            <w:tcBorders/>
            <w:vAlign w:val="center"/>
          </w:tcPr>
          <w:p>
            <w:pPr>
              <w:pStyle w:val="TableContents"/>
              <w:bidi w:val="0"/>
              <w:spacing w:before="0" w:after="160"/>
              <w:jc w:val="start"/>
              <w:rPr/>
            </w:pPr>
            <w:r>
              <w:rPr/>
              <w:t>Contract; legitimate interest in enforcing the published one-trial limit</w:t>
            </w:r>
          </w:p>
        </w:tc>
        <w:tc>
          <w:tcPr>
            <w:tcW w:w="1383" w:type="dxa"/>
            <w:tcBorders/>
            <w:vAlign w:val="center"/>
          </w:tcPr>
          <w:p>
            <w:pPr>
              <w:pStyle w:val="TableContents"/>
              <w:bidi w:val="0"/>
              <w:spacing w:before="0" w:after="160"/>
              <w:jc w:val="start"/>
              <w:rPr/>
            </w:pPr>
            <w:r>
              <w:rPr/>
              <w:t>Stripe for Text card setup; Neon/AWS for the claim</w:t>
            </w:r>
          </w:p>
        </w:tc>
        <w:tc>
          <w:tcPr>
            <w:tcW w:w="1748" w:type="dxa"/>
            <w:tcBorders/>
            <w:vAlign w:val="center"/>
          </w:tcPr>
          <w:p>
            <w:pPr>
              <w:pStyle w:val="TableContents"/>
              <w:bidi w:val="0"/>
              <w:spacing w:before="0" w:after="160"/>
              <w:jc w:val="start"/>
              <w:rPr/>
            </w:pPr>
            <w:r>
              <w:rPr/>
              <w:t>While the trial programme operates, then approved erasure, subject to legal hold</w:t>
            </w:r>
          </w:p>
        </w:tc>
      </w:tr>
      <w:tr>
        <w:trPr/>
        <w:tc>
          <w:tcPr>
            <w:tcW w:w="1361" w:type="dxa"/>
            <w:tcBorders/>
            <w:vAlign w:val="center"/>
          </w:tcPr>
          <w:p>
            <w:pPr>
              <w:pStyle w:val="TableContents"/>
              <w:bidi w:val="0"/>
              <w:spacing w:before="0" w:after="160"/>
              <w:jc w:val="start"/>
              <w:rPr/>
            </w:pPr>
            <w:r>
              <w:rPr/>
              <w:t>Security</w:t>
            </w:r>
          </w:p>
        </w:tc>
        <w:tc>
          <w:tcPr>
            <w:tcW w:w="1858" w:type="dxa"/>
            <w:tcBorders/>
            <w:vAlign w:val="center"/>
          </w:tcPr>
          <w:p>
            <w:pPr>
              <w:pStyle w:val="TableContents"/>
              <w:bidi w:val="0"/>
              <w:spacing w:before="0" w:after="160"/>
              <w:jc w:val="start"/>
              <w:rPr/>
            </w:pPr>
            <w:r>
              <w:rPr/>
              <w:t>Users/visitors; IP, request/device/audit</w:t>
            </w:r>
          </w:p>
        </w:tc>
        <w:tc>
          <w:tcPr>
            <w:tcW w:w="1650" w:type="dxa"/>
            <w:tcBorders/>
            <w:vAlign w:val="center"/>
          </w:tcPr>
          <w:p>
            <w:pPr>
              <w:pStyle w:val="TableContents"/>
              <w:bidi w:val="0"/>
              <w:spacing w:before="0" w:after="160"/>
              <w:jc w:val="start"/>
              <w:rPr/>
            </w:pPr>
            <w:r>
              <w:rPr/>
              <w:t>Legitimate interests/legal duties</w:t>
            </w:r>
          </w:p>
        </w:tc>
        <w:tc>
          <w:tcPr>
            <w:tcW w:w="1383" w:type="dxa"/>
            <w:tcBorders/>
            <w:vAlign w:val="center"/>
          </w:tcPr>
          <w:p>
            <w:pPr>
              <w:pStyle w:val="TableContents"/>
              <w:bidi w:val="0"/>
              <w:spacing w:before="0" w:after="160"/>
              <w:jc w:val="start"/>
              <w:rPr/>
            </w:pPr>
            <w:r>
              <w:rPr/>
              <w:t>Neon/AWS; GCP once deployed</w:t>
            </w:r>
          </w:p>
        </w:tc>
        <w:tc>
          <w:tcPr>
            <w:tcW w:w="1748" w:type="dxa"/>
            <w:tcBorders/>
            <w:vAlign w:val="center"/>
          </w:tcPr>
          <w:p>
            <w:pPr>
              <w:pStyle w:val="TableContents"/>
              <w:bidi w:val="0"/>
              <w:spacing w:before="0" w:after="160"/>
              <w:jc w:val="start"/>
              <w:rPr/>
            </w:pPr>
            <w:r>
              <w:rPr/>
              <w:t>Target audit 24 months; app logs 30 days</w:t>
            </w:r>
          </w:p>
        </w:tc>
      </w:tr>
      <w:tr>
        <w:trPr/>
        <w:tc>
          <w:tcPr>
            <w:tcW w:w="1361" w:type="dxa"/>
            <w:tcBorders/>
            <w:vAlign w:val="center"/>
          </w:tcPr>
          <w:p>
            <w:pPr>
              <w:pStyle w:val="TableContents"/>
              <w:bidi w:val="0"/>
              <w:spacing w:before="0" w:after="160"/>
              <w:jc w:val="start"/>
              <w:rPr/>
            </w:pPr>
            <w:r>
              <w:rPr/>
              <w:t>Deejai marketing</w:t>
            </w:r>
          </w:p>
        </w:tc>
        <w:tc>
          <w:tcPr>
            <w:tcW w:w="1858" w:type="dxa"/>
            <w:tcBorders/>
            <w:vAlign w:val="center"/>
          </w:tcPr>
          <w:p>
            <w:pPr>
              <w:pStyle w:val="TableContents"/>
              <w:bidi w:val="0"/>
              <w:spacing w:before="0" w:after="160"/>
              <w:jc w:val="start"/>
              <w:rPr/>
            </w:pPr>
            <w:r>
              <w:rPr/>
              <w:t>Separately opted-in customers; contact/interest/consent</w:t>
            </w:r>
          </w:p>
        </w:tc>
        <w:tc>
          <w:tcPr>
            <w:tcW w:w="1650" w:type="dxa"/>
            <w:tcBorders/>
            <w:vAlign w:val="center"/>
          </w:tcPr>
          <w:p>
            <w:pPr>
              <w:pStyle w:val="TableContents"/>
              <w:bidi w:val="0"/>
              <w:spacing w:before="0" w:after="160"/>
              <w:jc w:val="start"/>
              <w:rPr/>
            </w:pPr>
            <w:r>
              <w:rPr/>
              <w:t>Consent</w:t>
            </w:r>
          </w:p>
        </w:tc>
        <w:tc>
          <w:tcPr>
            <w:tcW w:w="1383" w:type="dxa"/>
            <w:tcBorders/>
            <w:vAlign w:val="center"/>
          </w:tcPr>
          <w:p>
            <w:pPr>
              <w:pStyle w:val="TableContents"/>
              <w:bidi w:val="0"/>
              <w:spacing w:before="0" w:after="160"/>
              <w:jc w:val="start"/>
              <w:rPr/>
            </w:pPr>
            <w:r>
              <w:rPr/>
              <w:t>Approved campaign systems</w:t>
            </w:r>
          </w:p>
        </w:tc>
        <w:tc>
          <w:tcPr>
            <w:tcW w:w="1748" w:type="dxa"/>
            <w:tcBorders/>
            <w:vAlign w:val="center"/>
          </w:tcPr>
          <w:p>
            <w:pPr>
              <w:pStyle w:val="TableContents"/>
              <w:bidi w:val="0"/>
              <w:spacing w:before="0" w:after="160"/>
              <w:jc w:val="start"/>
              <w:rPr/>
            </w:pPr>
            <w:r>
              <w:rPr/>
              <w:t>Withdrawal or 24 months last engagement; suppression five years</w:t>
            </w:r>
          </w:p>
        </w:tc>
      </w:tr>
      <w:tr>
        <w:trPr/>
        <w:tc>
          <w:tcPr>
            <w:tcW w:w="1361" w:type="dxa"/>
            <w:tcBorders/>
            <w:vAlign w:val="center"/>
          </w:tcPr>
          <w:p>
            <w:pPr>
              <w:pStyle w:val="TableContents"/>
              <w:bidi w:val="0"/>
              <w:spacing w:before="0" w:after="160"/>
              <w:jc w:val="start"/>
              <w:rPr/>
            </w:pPr>
            <w:r>
              <w:rPr/>
              <w:t>Partner marketing</w:t>
            </w:r>
          </w:p>
        </w:tc>
        <w:tc>
          <w:tcPr>
            <w:tcW w:w="1858" w:type="dxa"/>
            <w:tcBorders/>
            <w:vAlign w:val="center"/>
          </w:tcPr>
          <w:p>
            <w:pPr>
              <w:pStyle w:val="TableContents"/>
              <w:bidi w:val="0"/>
              <w:spacing w:before="0" w:after="160"/>
              <w:jc w:val="start"/>
              <w:rPr/>
            </w:pPr>
            <w:r>
              <w:rPr/>
              <w:t>No active subjects</w:t>
            </w:r>
          </w:p>
        </w:tc>
        <w:tc>
          <w:tcPr>
            <w:tcW w:w="1650" w:type="dxa"/>
            <w:tcBorders/>
            <w:vAlign w:val="center"/>
          </w:tcPr>
          <w:p>
            <w:pPr>
              <w:pStyle w:val="TableContents"/>
              <w:bidi w:val="0"/>
              <w:spacing w:before="0" w:after="160"/>
              <w:jc w:val="start"/>
              <w:rPr/>
            </w:pPr>
            <w:r>
              <w:rPr/>
              <w:t>No initial-release purpose</w:t>
            </w:r>
          </w:p>
        </w:tc>
        <w:tc>
          <w:tcPr>
            <w:tcW w:w="1383" w:type="dxa"/>
            <w:tcBorders/>
            <w:vAlign w:val="center"/>
          </w:tcPr>
          <w:p>
            <w:pPr>
              <w:pStyle w:val="TableContents"/>
              <w:bidi w:val="0"/>
              <w:spacing w:before="0" w:after="160"/>
              <w:jc w:val="start"/>
              <w:rPr/>
            </w:pPr>
            <w:r>
              <w:rPr/>
              <w:t>None</w:t>
            </w:r>
          </w:p>
        </w:tc>
        <w:tc>
          <w:tcPr>
            <w:tcW w:w="1748" w:type="dxa"/>
            <w:tcBorders/>
            <w:vAlign w:val="center"/>
          </w:tcPr>
          <w:p>
            <w:pPr>
              <w:pStyle w:val="TableContents"/>
              <w:bidi w:val="0"/>
              <w:spacing w:before="0" w:after="160"/>
              <w:jc w:val="start"/>
              <w:rPr/>
            </w:pPr>
            <w:r>
              <w:rPr/>
              <w:t>Disabled</w:t>
            </w:r>
          </w:p>
        </w:tc>
      </w:tr>
      <w:tr>
        <w:trPr/>
        <w:tc>
          <w:tcPr>
            <w:tcW w:w="1361" w:type="dxa"/>
            <w:tcBorders/>
            <w:vAlign w:val="center"/>
          </w:tcPr>
          <w:p>
            <w:pPr>
              <w:pStyle w:val="TableContents"/>
              <w:bidi w:val="0"/>
              <w:spacing w:before="0" w:after="160"/>
              <w:jc w:val="start"/>
              <w:rPr/>
            </w:pPr>
            <w:r>
              <w:rPr/>
              <w:t>Model development</w:t>
            </w:r>
          </w:p>
        </w:tc>
        <w:tc>
          <w:tcPr>
            <w:tcW w:w="1858" w:type="dxa"/>
            <w:tcBorders/>
            <w:vAlign w:val="center"/>
          </w:tcPr>
          <w:p>
            <w:pPr>
              <w:pStyle w:val="TableContents"/>
              <w:bidi w:val="0"/>
              <w:spacing w:before="0" w:after="160"/>
              <w:jc w:val="start"/>
              <w:rPr/>
            </w:pPr>
            <w:r>
              <w:rPr/>
              <w:t>Opted-in conversations after direct-identifier removal</w:t>
            </w:r>
          </w:p>
        </w:tc>
        <w:tc>
          <w:tcPr>
            <w:tcW w:w="1650" w:type="dxa"/>
            <w:tcBorders/>
            <w:vAlign w:val="center"/>
          </w:tcPr>
          <w:p>
            <w:pPr>
              <w:pStyle w:val="TableContents"/>
              <w:bidi w:val="0"/>
              <w:spacing w:before="0" w:after="160"/>
              <w:jc w:val="start"/>
              <w:rPr/>
            </w:pPr>
            <w:r>
              <w:rPr/>
              <w:t>Consent</w:t>
            </w:r>
          </w:p>
        </w:tc>
        <w:tc>
          <w:tcPr>
            <w:tcW w:w="1383" w:type="dxa"/>
            <w:tcBorders/>
            <w:vAlign w:val="center"/>
          </w:tcPr>
          <w:p>
            <w:pPr>
              <w:pStyle w:val="TableContents"/>
              <w:bidi w:val="0"/>
              <w:spacing w:before="0" w:after="160"/>
              <w:jc w:val="start"/>
              <w:rPr/>
            </w:pPr>
            <w:r>
              <w:rPr/>
              <w:t>No external AI provider</w:t>
            </w:r>
          </w:p>
        </w:tc>
        <w:tc>
          <w:tcPr>
            <w:tcW w:w="1748" w:type="dxa"/>
            <w:tcBorders/>
            <w:vAlign w:val="center"/>
          </w:tcPr>
          <w:p>
            <w:pPr>
              <w:pStyle w:val="TableContents"/>
              <w:bidi w:val="0"/>
              <w:spacing w:before="0" w:after="160"/>
              <w:jc w:val="start"/>
              <w:rPr/>
            </w:pPr>
            <w:r>
              <w:rPr/>
              <w:t>Quarantine 30 days; dataset 24 months; provenance seven years</w:t>
            </w:r>
          </w:p>
        </w:tc>
      </w:tr>
      <w:tr>
        <w:trPr/>
        <w:tc>
          <w:tcPr>
            <w:tcW w:w="1361" w:type="dxa"/>
            <w:tcBorders/>
            <w:vAlign w:val="center"/>
          </w:tcPr>
          <w:p>
            <w:pPr>
              <w:pStyle w:val="TableContents"/>
              <w:bidi w:val="0"/>
              <w:spacing w:before="0" w:after="160"/>
              <w:jc w:val="start"/>
              <w:rPr/>
            </w:pPr>
            <w:r>
              <w:rPr/>
              <w:t>Rights</w:t>
            </w:r>
          </w:p>
        </w:tc>
        <w:tc>
          <w:tcPr>
            <w:tcW w:w="1858" w:type="dxa"/>
            <w:tcBorders/>
            <w:vAlign w:val="center"/>
          </w:tcPr>
          <w:p>
            <w:pPr>
              <w:pStyle w:val="TableContents"/>
              <w:bidi w:val="0"/>
              <w:spacing w:before="0" w:after="160"/>
              <w:jc w:val="start"/>
              <w:rPr/>
            </w:pPr>
            <w:r>
              <w:rPr/>
              <w:t>Request/evidence/fulfilment</w:t>
            </w:r>
          </w:p>
        </w:tc>
        <w:tc>
          <w:tcPr>
            <w:tcW w:w="1650" w:type="dxa"/>
            <w:tcBorders/>
            <w:vAlign w:val="center"/>
          </w:tcPr>
          <w:p>
            <w:pPr>
              <w:pStyle w:val="TableContents"/>
              <w:bidi w:val="0"/>
              <w:spacing w:before="0" w:after="160"/>
              <w:jc w:val="start"/>
              <w:rPr/>
            </w:pPr>
            <w:r>
              <w:rPr/>
              <w:t>Legal obligation</w:t>
            </w:r>
          </w:p>
        </w:tc>
        <w:tc>
          <w:tcPr>
            <w:tcW w:w="1383" w:type="dxa"/>
            <w:tcBorders/>
            <w:vAlign w:val="center"/>
          </w:tcPr>
          <w:p>
            <w:pPr>
              <w:pStyle w:val="TableContents"/>
              <w:bidi w:val="0"/>
              <w:spacing w:before="0" w:after="160"/>
              <w:jc w:val="start"/>
              <w:rPr/>
            </w:pPr>
            <w:r>
              <w:rPr/>
              <w:t>Authorised staff</w:t>
            </w:r>
          </w:p>
        </w:tc>
        <w:tc>
          <w:tcPr>
            <w:tcW w:w="1748" w:type="dxa"/>
            <w:tcBorders/>
            <w:vAlign w:val="center"/>
          </w:tcPr>
          <w:p>
            <w:pPr>
              <w:pStyle w:val="TableContents"/>
              <w:bidi w:val="0"/>
              <w:spacing w:before="0" w:after="160"/>
              <w:jc w:val="start"/>
              <w:rPr/>
            </w:pPr>
            <w:r>
              <w:rPr/>
              <w:t>Seven years after closure/hold</w:t>
            </w:r>
          </w:p>
        </w:tc>
      </w:tr>
    </w:tbl>
    <w:p>
      <w:pPr>
        <w:pStyle w:val="Heading2"/>
        <w:bidi w:val="0"/>
        <w:jc w:val="start"/>
        <w:rPr/>
      </w:pPr>
      <w:r>
        <w:rPr/>
        <w:t>Processor activities</w:t>
      </w:r>
    </w:p>
    <w:tbl>
      <w:tblPr>
        <w:tblW w:w="8000" w:type="dxa"/>
        <w:jc w:val="start"/>
        <w:tblInd w:w="0" w:type="dxa"/>
        <w:tblLayout w:type="fixed"/>
        <w:tblCellMar>
          <w:top w:w="28" w:type="dxa"/>
          <w:start w:w="28" w:type="dxa"/>
          <w:bottom w:w="28" w:type="dxa"/>
          <w:end w:w="28" w:type="dxa"/>
        </w:tblCellMar>
      </w:tblPr>
      <w:tblGrid>
        <w:gridCol w:w="1150"/>
        <w:gridCol w:w="1669"/>
        <w:gridCol w:w="2701"/>
        <w:gridCol w:w="2480"/>
      </w:tblGrid>
      <w:tr>
        <w:trPr>
          <w:tblHeader w:val="true"/>
        </w:trPr>
        <w:tc>
          <w:tcPr>
            <w:tcW w:w="1150" w:type="dxa"/>
            <w:tcBorders/>
            <w:vAlign w:val="center"/>
          </w:tcPr>
          <w:p>
            <w:pPr>
              <w:pStyle w:val="TableHeading"/>
              <w:suppressLineNumbers/>
              <w:shd w:fill="173F35" w:val="clear"/>
              <w:bidi w:val="0"/>
              <w:spacing w:before="0" w:after="160"/>
              <w:jc w:val="start"/>
              <w:rPr/>
            </w:pPr>
            <w:r>
              <w:rPr/>
              <w:t>Service</w:t>
            </w:r>
          </w:p>
        </w:tc>
        <w:tc>
          <w:tcPr>
            <w:tcW w:w="1669" w:type="dxa"/>
            <w:tcBorders/>
            <w:vAlign w:val="center"/>
          </w:tcPr>
          <w:p>
            <w:pPr>
              <w:pStyle w:val="TableHeading"/>
              <w:suppressLineNumbers/>
              <w:shd w:fill="173F35" w:val="clear"/>
              <w:bidi w:val="0"/>
              <w:spacing w:before="0" w:after="160"/>
              <w:jc w:val="start"/>
              <w:rPr/>
            </w:pPr>
            <w:r>
              <w:rPr/>
              <w:t>Subjects</w:t>
            </w:r>
          </w:p>
        </w:tc>
        <w:tc>
          <w:tcPr>
            <w:tcW w:w="2701" w:type="dxa"/>
            <w:tcBorders/>
            <w:vAlign w:val="center"/>
          </w:tcPr>
          <w:p>
            <w:pPr>
              <w:pStyle w:val="TableHeading"/>
              <w:suppressLineNumbers/>
              <w:shd w:fill="173F35" w:val="clear"/>
              <w:bidi w:val="0"/>
              <w:spacing w:before="0" w:after="160"/>
              <w:jc w:val="start"/>
              <w:rPr/>
            </w:pPr>
            <w:r>
              <w:rPr/>
              <w:t>Processing/location</w:t>
            </w:r>
          </w:p>
        </w:tc>
        <w:tc>
          <w:tcPr>
            <w:tcW w:w="2480" w:type="dxa"/>
            <w:tcBorders/>
            <w:vAlign w:val="center"/>
          </w:tcPr>
          <w:p>
            <w:pPr>
              <w:pStyle w:val="TableHeading"/>
              <w:suppressLineNumbers/>
              <w:shd w:fill="173F35" w:val="clear"/>
              <w:bidi w:val="0"/>
              <w:spacing w:before="0" w:after="160"/>
              <w:jc w:val="start"/>
              <w:rPr/>
            </w:pPr>
            <w:r>
              <w:rPr/>
              <w:t>Current retention</w:t>
            </w:r>
          </w:p>
        </w:tc>
      </w:tr>
      <w:tr>
        <w:trPr/>
        <w:tc>
          <w:tcPr>
            <w:tcW w:w="1150" w:type="dxa"/>
            <w:tcBorders/>
            <w:vAlign w:val="center"/>
          </w:tcPr>
          <w:p>
            <w:pPr>
              <w:pStyle w:val="TableContents"/>
              <w:bidi w:val="0"/>
              <w:spacing w:before="0" w:after="160"/>
              <w:jc w:val="start"/>
              <w:rPr/>
            </w:pPr>
            <w:r>
              <w:rPr/>
              <w:t>Flow Bot</w:t>
            </w:r>
          </w:p>
        </w:tc>
        <w:tc>
          <w:tcPr>
            <w:tcW w:w="1669" w:type="dxa"/>
            <w:tcBorders/>
            <w:vAlign w:val="center"/>
          </w:tcPr>
          <w:p>
            <w:pPr>
              <w:pStyle w:val="TableContents"/>
              <w:bidi w:val="0"/>
              <w:spacing w:before="0" w:after="160"/>
              <w:jc w:val="start"/>
              <w:rPr/>
            </w:pPr>
            <w:r>
              <w:rPr/>
              <w:t>Merchant customers/prospects</w:t>
            </w:r>
          </w:p>
        </w:tc>
        <w:tc>
          <w:tcPr>
            <w:tcW w:w="2701" w:type="dxa"/>
            <w:tcBorders/>
            <w:vAlign w:val="center"/>
          </w:tcPr>
          <w:p>
            <w:pPr>
              <w:pStyle w:val="TableContents"/>
              <w:bidi w:val="0"/>
              <w:spacing w:before="0" w:after="160"/>
              <w:jc w:val="start"/>
              <w:rPr/>
            </w:pPr>
            <w:r>
              <w:rPr/>
              <w:t>Collect, host, display, export, erase; Neon/AWS US</w:t>
            </w:r>
          </w:p>
        </w:tc>
        <w:tc>
          <w:tcPr>
            <w:tcW w:w="2480" w:type="dxa"/>
            <w:tcBorders/>
            <w:vAlign w:val="center"/>
          </w:tcPr>
          <w:p>
            <w:pPr>
              <w:pStyle w:val="TableContents"/>
              <w:bidi w:val="0"/>
              <w:spacing w:before="0" w:after="160"/>
              <w:jc w:val="start"/>
              <w:rPr/>
            </w:pPr>
            <w:r>
              <w:rPr/>
              <w:t>Transcript 30-730; contacts until erasure/closure</w:t>
            </w:r>
          </w:p>
        </w:tc>
      </w:tr>
      <w:tr>
        <w:trPr/>
        <w:tc>
          <w:tcPr>
            <w:tcW w:w="1150" w:type="dxa"/>
            <w:tcBorders/>
            <w:vAlign w:val="center"/>
          </w:tcPr>
          <w:p>
            <w:pPr>
              <w:pStyle w:val="TableContents"/>
              <w:bidi w:val="0"/>
              <w:spacing w:before="0" w:after="160"/>
              <w:jc w:val="start"/>
              <w:rPr/>
            </w:pPr>
            <w:r>
              <w:rPr/>
              <w:t>Social channels</w:t>
            </w:r>
          </w:p>
        </w:tc>
        <w:tc>
          <w:tcPr>
            <w:tcW w:w="1669" w:type="dxa"/>
            <w:tcBorders/>
            <w:vAlign w:val="center"/>
          </w:tcPr>
          <w:p>
            <w:pPr>
              <w:pStyle w:val="TableContents"/>
              <w:bidi w:val="0"/>
              <w:spacing w:before="0" w:after="160"/>
              <w:jc w:val="start"/>
              <w:rPr/>
            </w:pPr>
            <w:r>
              <w:rPr/>
              <w:t>No active subjects</w:t>
            </w:r>
          </w:p>
        </w:tc>
        <w:tc>
          <w:tcPr>
            <w:tcW w:w="2701" w:type="dxa"/>
            <w:tcBorders/>
            <w:vAlign w:val="center"/>
          </w:tcPr>
          <w:p>
            <w:pPr>
              <w:pStyle w:val="TableContents"/>
              <w:bidi w:val="0"/>
              <w:spacing w:before="0" w:after="160"/>
              <w:jc w:val="start"/>
              <w:rPr/>
            </w:pPr>
            <w:r>
              <w:rPr/>
              <w:t>Excluded from initial release</w:t>
            </w:r>
          </w:p>
        </w:tc>
        <w:tc>
          <w:tcPr>
            <w:tcW w:w="2480" w:type="dxa"/>
            <w:tcBorders/>
            <w:vAlign w:val="center"/>
          </w:tcPr>
          <w:p>
            <w:pPr>
              <w:pStyle w:val="TableContents"/>
              <w:bidi w:val="0"/>
              <w:spacing w:before="0" w:after="160"/>
              <w:jc w:val="start"/>
              <w:rPr/>
            </w:pPr>
            <w:r>
              <w:rPr/>
              <w:t>Not active</w:t>
            </w:r>
          </w:p>
        </w:tc>
      </w:tr>
      <w:tr>
        <w:trPr/>
        <w:tc>
          <w:tcPr>
            <w:tcW w:w="1150" w:type="dxa"/>
            <w:tcBorders/>
            <w:vAlign w:val="center"/>
          </w:tcPr>
          <w:p>
            <w:pPr>
              <w:pStyle w:val="TableContents"/>
              <w:bidi w:val="0"/>
              <w:spacing w:before="0" w:after="160"/>
              <w:jc w:val="start"/>
              <w:rPr/>
            </w:pPr>
            <w:r>
              <w:rPr/>
              <w:t>AI Text</w:t>
            </w:r>
          </w:p>
        </w:tc>
        <w:tc>
          <w:tcPr>
            <w:tcW w:w="1669" w:type="dxa"/>
            <w:tcBorders/>
            <w:vAlign w:val="center"/>
          </w:tcPr>
          <w:p>
            <w:pPr>
              <w:pStyle w:val="TableContents"/>
              <w:bidi w:val="0"/>
              <w:spacing w:before="0" w:after="160"/>
              <w:jc w:val="start"/>
              <w:rPr/>
            </w:pPr>
            <w:r>
              <w:rPr/>
              <w:t>Future users</w:t>
            </w:r>
          </w:p>
        </w:tc>
        <w:tc>
          <w:tcPr>
            <w:tcW w:w="2701" w:type="dxa"/>
            <w:tcBorders/>
            <w:vAlign w:val="center"/>
          </w:tcPr>
          <w:p>
            <w:pPr>
              <w:pStyle w:val="TableContents"/>
              <w:bidi w:val="0"/>
              <w:spacing w:before="0" w:after="160"/>
              <w:jc w:val="start"/>
              <w:rPr/>
            </w:pPr>
            <w:r>
              <w:rPr/>
              <w:t>Runtime/gateway code exists; production provider route inactive</w:t>
            </w:r>
          </w:p>
        </w:tc>
        <w:tc>
          <w:tcPr>
            <w:tcW w:w="2480" w:type="dxa"/>
            <w:tcBorders/>
            <w:vAlign w:val="center"/>
          </w:tcPr>
          <w:p>
            <w:pPr>
              <w:pStyle w:val="TableContents"/>
              <w:bidi w:val="0"/>
              <w:spacing w:before="0" w:after="160"/>
              <w:jc w:val="start"/>
              <w:rPr/>
            </w:pPr>
            <w:r>
              <w:rPr/>
              <w:t>Not active</w:t>
            </w:r>
          </w:p>
        </w:tc>
      </w:tr>
      <w:tr>
        <w:trPr/>
        <w:tc>
          <w:tcPr>
            <w:tcW w:w="1150" w:type="dxa"/>
            <w:tcBorders/>
            <w:vAlign w:val="center"/>
          </w:tcPr>
          <w:p>
            <w:pPr>
              <w:pStyle w:val="TableContents"/>
              <w:bidi w:val="0"/>
              <w:spacing w:before="0" w:after="160"/>
              <w:jc w:val="start"/>
              <w:rPr/>
            </w:pPr>
            <w:r>
              <w:rPr/>
              <w:t>AI Voice</w:t>
            </w:r>
          </w:p>
        </w:tc>
        <w:tc>
          <w:tcPr>
            <w:tcW w:w="1669" w:type="dxa"/>
            <w:tcBorders/>
            <w:vAlign w:val="center"/>
          </w:tcPr>
          <w:p>
            <w:pPr>
              <w:pStyle w:val="TableContents"/>
              <w:bidi w:val="0"/>
              <w:spacing w:before="0" w:after="160"/>
              <w:jc w:val="start"/>
              <w:rPr/>
            </w:pPr>
            <w:r>
              <w:rPr/>
              <w:t>Future speakers</w:t>
            </w:r>
          </w:p>
        </w:tc>
        <w:tc>
          <w:tcPr>
            <w:tcW w:w="2701" w:type="dxa"/>
            <w:tcBorders/>
            <w:vAlign w:val="center"/>
          </w:tcPr>
          <w:p>
            <w:pPr>
              <w:pStyle w:val="TableContents"/>
              <w:bidi w:val="0"/>
              <w:spacing w:before="0" w:after="160"/>
              <w:jc w:val="start"/>
              <w:rPr/>
            </w:pPr>
            <w:r>
              <w:rPr/>
              <w:t>Gateway/adapters exist; production media route inactive</w:t>
            </w:r>
          </w:p>
        </w:tc>
        <w:tc>
          <w:tcPr>
            <w:tcW w:w="2480" w:type="dxa"/>
            <w:tcBorders/>
            <w:vAlign w:val="center"/>
          </w:tcPr>
          <w:p>
            <w:pPr>
              <w:pStyle w:val="TableContents"/>
              <w:bidi w:val="0"/>
              <w:spacing w:before="0" w:after="160"/>
              <w:jc w:val="start"/>
              <w:rPr/>
            </w:pPr>
            <w:r>
              <w:rPr/>
              <w:t>Recording zero; transcript policy applies only after activation</w:t>
            </w:r>
          </w:p>
        </w:tc>
      </w:tr>
    </w:tbl>
    <w:p>
      <w:pPr>
        <w:pStyle w:val="Heading2"/>
        <w:bidi w:val="0"/>
        <w:jc w:val="start"/>
        <w:rPr/>
      </w:pPr>
      <w:r>
        <w:rPr/>
        <w:t>Review</w:t>
      </w:r>
    </w:p>
    <w:p>
      <w:pPr>
        <w:pStyle w:val="BodyText"/>
        <w:bidi w:val="0"/>
        <w:jc w:val="start"/>
        <w:rPr/>
      </w:pPr>
      <w:r>
        <w:rPr/>
        <w:t>Privacy Lead reviews quarterly and before new provider, purpose, sensitive-data use, country, channel or model dataset.</w:t>
      </w:r>
    </w:p>
    <w:p>
      <w:pPr>
        <w:pStyle w:val="Heading1"/>
        <w:bidi w:val="0"/>
        <w:jc w:val="start"/>
        <w:rPr/>
      </w:pPr>
      <w:r>
        <w:rPr/>
        <w:t>Legal Basis Matrix</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Controller bases</w:t>
      </w:r>
    </w:p>
    <w:tbl>
      <w:tblPr>
        <w:tblW w:w="8000" w:type="dxa"/>
        <w:jc w:val="start"/>
        <w:tblInd w:w="0" w:type="dxa"/>
        <w:tblLayout w:type="fixed"/>
        <w:tblCellMar>
          <w:top w:w="28" w:type="dxa"/>
          <w:start w:w="28" w:type="dxa"/>
          <w:bottom w:w="28" w:type="dxa"/>
          <w:end w:w="28" w:type="dxa"/>
        </w:tblCellMar>
      </w:tblPr>
      <w:tblGrid>
        <w:gridCol w:w="1734"/>
        <w:gridCol w:w="2773"/>
        <w:gridCol w:w="3493"/>
      </w:tblGrid>
      <w:tr>
        <w:trPr>
          <w:tblHeader w:val="true"/>
        </w:trPr>
        <w:tc>
          <w:tcPr>
            <w:tcW w:w="1734" w:type="dxa"/>
            <w:tcBorders/>
            <w:vAlign w:val="center"/>
          </w:tcPr>
          <w:p>
            <w:pPr>
              <w:pStyle w:val="TableHeading"/>
              <w:suppressLineNumbers/>
              <w:shd w:fill="173F35" w:val="clear"/>
              <w:bidi w:val="0"/>
              <w:spacing w:before="0" w:after="160"/>
              <w:jc w:val="start"/>
              <w:rPr/>
            </w:pPr>
            <w:r>
              <w:rPr/>
              <w:t>Activity</w:t>
            </w:r>
          </w:p>
        </w:tc>
        <w:tc>
          <w:tcPr>
            <w:tcW w:w="2773" w:type="dxa"/>
            <w:tcBorders/>
            <w:vAlign w:val="center"/>
          </w:tcPr>
          <w:p>
            <w:pPr>
              <w:pStyle w:val="TableHeading"/>
              <w:suppressLineNumbers/>
              <w:shd w:fill="173F35" w:val="clear"/>
              <w:bidi w:val="0"/>
              <w:spacing w:before="0" w:after="160"/>
              <w:jc w:val="start"/>
              <w:rPr/>
            </w:pPr>
            <w:r>
              <w:rPr/>
              <w:t>Proposed basis</w:t>
            </w:r>
          </w:p>
        </w:tc>
        <w:tc>
          <w:tcPr>
            <w:tcW w:w="3493" w:type="dxa"/>
            <w:tcBorders/>
            <w:vAlign w:val="center"/>
          </w:tcPr>
          <w:p>
            <w:pPr>
              <w:pStyle w:val="TableHeading"/>
              <w:suppressLineNumbers/>
              <w:shd w:fill="173F35" w:val="clear"/>
              <w:bidi w:val="0"/>
              <w:spacing w:before="0" w:after="160"/>
              <w:jc w:val="start"/>
              <w:rPr/>
            </w:pPr>
            <w:r>
              <w:rPr/>
              <w:t>Safeguards</w:t>
            </w:r>
          </w:p>
        </w:tc>
      </w:tr>
      <w:tr>
        <w:trPr/>
        <w:tc>
          <w:tcPr>
            <w:tcW w:w="1734" w:type="dxa"/>
            <w:tcBorders/>
            <w:vAlign w:val="center"/>
          </w:tcPr>
          <w:p>
            <w:pPr>
              <w:pStyle w:val="TableContents"/>
              <w:bidi w:val="0"/>
              <w:spacing w:before="0" w:after="160"/>
              <w:jc w:val="start"/>
              <w:rPr/>
            </w:pPr>
            <w:r>
              <w:rPr/>
              <w:t>Account/subscription</w:t>
            </w:r>
          </w:p>
        </w:tc>
        <w:tc>
          <w:tcPr>
            <w:tcW w:w="2773" w:type="dxa"/>
            <w:tcBorders/>
            <w:vAlign w:val="center"/>
          </w:tcPr>
          <w:p>
            <w:pPr>
              <w:pStyle w:val="TableContents"/>
              <w:bidi w:val="0"/>
              <w:spacing w:before="0" w:after="160"/>
              <w:jc w:val="start"/>
              <w:rPr/>
            </w:pPr>
            <w:r>
              <w:rPr/>
              <w:t>Contract</w:t>
            </w:r>
          </w:p>
        </w:tc>
        <w:tc>
          <w:tcPr>
            <w:tcW w:w="3493" w:type="dxa"/>
            <w:tcBorders/>
            <w:vAlign w:val="center"/>
          </w:tcPr>
          <w:p>
            <w:pPr>
              <w:pStyle w:val="TableContents"/>
              <w:bidi w:val="0"/>
              <w:spacing w:before="0" w:after="160"/>
              <w:jc w:val="start"/>
              <w:rPr/>
            </w:pPr>
            <w:r>
              <w:rPr/>
              <w:t>Necessary to create/authenticate/provide paid service</w:t>
            </w:r>
          </w:p>
        </w:tc>
      </w:tr>
      <w:tr>
        <w:trPr/>
        <w:tc>
          <w:tcPr>
            <w:tcW w:w="1734" w:type="dxa"/>
            <w:tcBorders/>
            <w:vAlign w:val="center"/>
          </w:tcPr>
          <w:p>
            <w:pPr>
              <w:pStyle w:val="TableContents"/>
              <w:bidi w:val="0"/>
              <w:spacing w:before="0" w:after="160"/>
              <w:jc w:val="start"/>
              <w:rPr/>
            </w:pPr>
            <w:r>
              <w:rPr/>
              <w:t>Billing/tax</w:t>
            </w:r>
          </w:p>
        </w:tc>
        <w:tc>
          <w:tcPr>
            <w:tcW w:w="2773" w:type="dxa"/>
            <w:tcBorders/>
            <w:vAlign w:val="center"/>
          </w:tcPr>
          <w:p>
            <w:pPr>
              <w:pStyle w:val="TableContents"/>
              <w:bidi w:val="0"/>
              <w:spacing w:before="0" w:after="160"/>
              <w:jc w:val="start"/>
              <w:rPr/>
            </w:pPr>
            <w:r>
              <w:rPr/>
              <w:t>Contract and legal obligation</w:t>
            </w:r>
          </w:p>
        </w:tc>
        <w:tc>
          <w:tcPr>
            <w:tcW w:w="3493" w:type="dxa"/>
            <w:tcBorders/>
            <w:vAlign w:val="center"/>
          </w:tcPr>
          <w:p>
            <w:pPr>
              <w:pStyle w:val="TableContents"/>
              <w:bidi w:val="0"/>
              <w:spacing w:before="0" w:after="160"/>
              <w:jc w:val="start"/>
              <w:rPr/>
            </w:pPr>
            <w:r>
              <w:rPr/>
              <w:t>Limited records; seven years</w:t>
            </w:r>
          </w:p>
        </w:tc>
      </w:tr>
      <w:tr>
        <w:trPr/>
        <w:tc>
          <w:tcPr>
            <w:tcW w:w="1734" w:type="dxa"/>
            <w:tcBorders/>
            <w:vAlign w:val="center"/>
          </w:tcPr>
          <w:p>
            <w:pPr>
              <w:pStyle w:val="TableContents"/>
              <w:bidi w:val="0"/>
              <w:spacing w:before="0" w:after="160"/>
              <w:jc w:val="start"/>
              <w:rPr/>
            </w:pPr>
            <w:r>
              <w:rPr/>
              <w:t>Security/abuse</w:t>
            </w:r>
          </w:p>
        </w:tc>
        <w:tc>
          <w:tcPr>
            <w:tcW w:w="2773" w:type="dxa"/>
            <w:tcBorders/>
            <w:vAlign w:val="center"/>
          </w:tcPr>
          <w:p>
            <w:pPr>
              <w:pStyle w:val="TableContents"/>
              <w:bidi w:val="0"/>
              <w:spacing w:before="0" w:after="160"/>
              <w:jc w:val="start"/>
              <w:rPr/>
            </w:pPr>
            <w:r>
              <w:rPr/>
              <w:t>Legitimate interests/legal duties</w:t>
            </w:r>
          </w:p>
        </w:tc>
        <w:tc>
          <w:tcPr>
            <w:tcW w:w="3493" w:type="dxa"/>
            <w:tcBorders/>
            <w:vAlign w:val="center"/>
          </w:tcPr>
          <w:p>
            <w:pPr>
              <w:pStyle w:val="TableContents"/>
              <w:bidi w:val="0"/>
              <w:spacing w:before="0" w:after="160"/>
              <w:jc w:val="start"/>
              <w:rPr/>
            </w:pPr>
            <w:r>
              <w:rPr/>
              <w:t>Minimise logs, restrict access, balancing assessment</w:t>
            </w:r>
          </w:p>
        </w:tc>
      </w:tr>
      <w:tr>
        <w:trPr/>
        <w:tc>
          <w:tcPr>
            <w:tcW w:w="1734" w:type="dxa"/>
            <w:tcBorders/>
            <w:vAlign w:val="center"/>
          </w:tcPr>
          <w:p>
            <w:pPr>
              <w:pStyle w:val="TableContents"/>
              <w:bidi w:val="0"/>
              <w:spacing w:before="0" w:after="160"/>
              <w:jc w:val="start"/>
              <w:rPr/>
            </w:pPr>
            <w:r>
              <w:rPr/>
              <w:t>Claims/compliance</w:t>
            </w:r>
          </w:p>
        </w:tc>
        <w:tc>
          <w:tcPr>
            <w:tcW w:w="2773" w:type="dxa"/>
            <w:tcBorders/>
            <w:vAlign w:val="center"/>
          </w:tcPr>
          <w:p>
            <w:pPr>
              <w:pStyle w:val="TableContents"/>
              <w:bidi w:val="0"/>
              <w:spacing w:before="0" w:after="160"/>
              <w:jc w:val="start"/>
              <w:rPr/>
            </w:pPr>
            <w:r>
              <w:rPr/>
              <w:t>Legal obligation and claims</w:t>
            </w:r>
          </w:p>
        </w:tc>
        <w:tc>
          <w:tcPr>
            <w:tcW w:w="3493" w:type="dxa"/>
            <w:tcBorders/>
            <w:vAlign w:val="center"/>
          </w:tcPr>
          <w:p>
            <w:pPr>
              <w:pStyle w:val="TableContents"/>
              <w:bidi w:val="0"/>
              <w:spacing w:before="0" w:after="160"/>
              <w:jc w:val="start"/>
              <w:rPr/>
            </w:pPr>
            <w:r>
              <w:rPr/>
              <w:t>Legal hold and restricted access</w:t>
            </w:r>
          </w:p>
        </w:tc>
      </w:tr>
      <w:tr>
        <w:trPr/>
        <w:tc>
          <w:tcPr>
            <w:tcW w:w="1734" w:type="dxa"/>
            <w:tcBorders/>
            <w:vAlign w:val="center"/>
          </w:tcPr>
          <w:p>
            <w:pPr>
              <w:pStyle w:val="TableContents"/>
              <w:bidi w:val="0"/>
              <w:spacing w:before="0" w:after="160"/>
              <w:jc w:val="start"/>
              <w:rPr/>
            </w:pPr>
            <w:r>
              <w:rPr/>
              <w:t>Deejai marketing</w:t>
            </w:r>
          </w:p>
        </w:tc>
        <w:tc>
          <w:tcPr>
            <w:tcW w:w="2773" w:type="dxa"/>
            <w:tcBorders/>
            <w:vAlign w:val="center"/>
          </w:tcPr>
          <w:p>
            <w:pPr>
              <w:pStyle w:val="TableContents"/>
              <w:bidi w:val="0"/>
              <w:spacing w:before="0" w:after="160"/>
              <w:jc w:val="start"/>
              <w:rPr/>
            </w:pPr>
            <w:r>
              <w:rPr/>
              <w:t>Consent</w:t>
            </w:r>
          </w:p>
        </w:tc>
        <w:tc>
          <w:tcPr>
            <w:tcW w:w="3493" w:type="dxa"/>
            <w:tcBorders/>
            <w:vAlign w:val="center"/>
          </w:tcPr>
          <w:p>
            <w:pPr>
              <w:pStyle w:val="TableContents"/>
              <w:bidi w:val="0"/>
              <w:spacing w:before="0" w:after="160"/>
              <w:jc w:val="start"/>
              <w:rPr/>
            </w:pPr>
            <w:r>
              <w:rPr/>
              <w:t>Separate, unticked, withdrawable, not required</w:t>
            </w:r>
          </w:p>
        </w:tc>
      </w:tr>
      <w:tr>
        <w:trPr/>
        <w:tc>
          <w:tcPr>
            <w:tcW w:w="1734" w:type="dxa"/>
            <w:tcBorders/>
            <w:vAlign w:val="center"/>
          </w:tcPr>
          <w:p>
            <w:pPr>
              <w:pStyle w:val="TableContents"/>
              <w:bidi w:val="0"/>
              <w:spacing w:before="0" w:after="160"/>
              <w:jc w:val="start"/>
              <w:rPr/>
            </w:pPr>
            <w:r>
              <w:rPr/>
              <w:t>Partner disclosure</w:t>
            </w:r>
          </w:p>
        </w:tc>
        <w:tc>
          <w:tcPr>
            <w:tcW w:w="2773" w:type="dxa"/>
            <w:tcBorders/>
            <w:vAlign w:val="center"/>
          </w:tcPr>
          <w:p>
            <w:pPr>
              <w:pStyle w:val="TableContents"/>
              <w:bidi w:val="0"/>
              <w:spacing w:before="0" w:after="160"/>
              <w:jc w:val="start"/>
              <w:rPr/>
            </w:pPr>
            <w:r>
              <w:rPr/>
              <w:t>Consent</w:t>
            </w:r>
          </w:p>
        </w:tc>
        <w:tc>
          <w:tcPr>
            <w:tcW w:w="3493" w:type="dxa"/>
            <w:tcBorders/>
            <w:vAlign w:val="center"/>
          </w:tcPr>
          <w:p>
            <w:pPr>
              <w:pStyle w:val="TableContents"/>
              <w:bidi w:val="0"/>
              <w:spacing w:before="0" w:after="160"/>
              <w:jc w:val="start"/>
              <w:rPr/>
            </w:pPr>
            <w:r>
              <w:rPr/>
              <w:t>Separate; named recipient; disabled default</w:t>
            </w:r>
          </w:p>
        </w:tc>
      </w:tr>
      <w:tr>
        <w:trPr/>
        <w:tc>
          <w:tcPr>
            <w:tcW w:w="1734" w:type="dxa"/>
            <w:tcBorders/>
            <w:vAlign w:val="center"/>
          </w:tcPr>
          <w:p>
            <w:pPr>
              <w:pStyle w:val="TableContents"/>
              <w:bidi w:val="0"/>
              <w:spacing w:before="0" w:after="160"/>
              <w:jc w:val="start"/>
              <w:rPr/>
            </w:pPr>
            <w:r>
              <w:rPr/>
              <w:t>Model development</w:t>
            </w:r>
          </w:p>
        </w:tc>
        <w:tc>
          <w:tcPr>
            <w:tcW w:w="2773" w:type="dxa"/>
            <w:tcBorders/>
            <w:vAlign w:val="center"/>
          </w:tcPr>
          <w:p>
            <w:pPr>
              <w:pStyle w:val="TableContents"/>
              <w:bidi w:val="0"/>
              <w:spacing w:before="0" w:after="160"/>
              <w:jc w:val="start"/>
              <w:rPr/>
            </w:pPr>
            <w:r>
              <w:rPr/>
              <w:t>Consent</w:t>
            </w:r>
          </w:p>
        </w:tc>
        <w:tc>
          <w:tcPr>
            <w:tcW w:w="3493" w:type="dxa"/>
            <w:tcBorders/>
            <w:vAlign w:val="center"/>
          </w:tcPr>
          <w:p>
            <w:pPr>
              <w:pStyle w:val="TableContents"/>
              <w:bidi w:val="0"/>
              <w:spacing w:before="0" w:after="160"/>
              <w:jc w:val="start"/>
              <w:rPr/>
            </w:pPr>
            <w:r>
              <w:rPr/>
              <w:t>Separate; identifier removal; exclusions/governance</w:t>
            </w:r>
          </w:p>
        </w:tc>
      </w:tr>
      <w:tr>
        <w:trPr/>
        <w:tc>
          <w:tcPr>
            <w:tcW w:w="1734" w:type="dxa"/>
            <w:tcBorders/>
            <w:vAlign w:val="center"/>
          </w:tcPr>
          <w:p>
            <w:pPr>
              <w:pStyle w:val="TableContents"/>
              <w:bidi w:val="0"/>
              <w:spacing w:before="0" w:after="160"/>
              <w:jc w:val="start"/>
              <w:rPr/>
            </w:pPr>
            <w:r>
              <w:rPr/>
              <w:t>Voice recording</w:t>
            </w:r>
          </w:p>
        </w:tc>
        <w:tc>
          <w:tcPr>
            <w:tcW w:w="2773" w:type="dxa"/>
            <w:tcBorders/>
            <w:vAlign w:val="center"/>
          </w:tcPr>
          <w:p>
            <w:pPr>
              <w:pStyle w:val="TableContents"/>
              <w:bidi w:val="0"/>
              <w:spacing w:before="0" w:after="160"/>
              <w:jc w:val="start"/>
              <w:rPr/>
            </w:pPr>
            <w:r>
              <w:rPr/>
              <w:t>Consent unless separately approved basis</w:t>
            </w:r>
          </w:p>
        </w:tc>
        <w:tc>
          <w:tcPr>
            <w:tcW w:w="3493" w:type="dxa"/>
            <w:tcBorders/>
            <w:vAlign w:val="center"/>
          </w:tcPr>
          <w:p>
            <w:pPr>
              <w:pStyle w:val="TableContents"/>
              <w:bidi w:val="0"/>
              <w:spacing w:before="0" w:after="160"/>
              <w:jc w:val="start"/>
              <w:rPr/>
            </w:pPr>
            <w:r>
              <w:rPr/>
              <w:t>Script, refusal, fixed retention</w:t>
            </w:r>
          </w:p>
        </w:tc>
      </w:tr>
    </w:tbl>
    <w:p>
      <w:pPr>
        <w:pStyle w:val="Heading2"/>
        <w:bidi w:val="0"/>
        <w:jc w:val="start"/>
        <w:rPr/>
      </w:pPr>
      <w:r>
        <w:rPr/>
        <w:t>Merchant basis</w:t>
      </w:r>
    </w:p>
    <w:p>
      <w:pPr>
        <w:pStyle w:val="BodyText"/>
        <w:bidi w:val="0"/>
        <w:jc w:val="start"/>
        <w:rPr/>
      </w:pPr>
      <w:r>
        <w:rPr/>
        <w:t>Merchant determines its basis for enquiries, leads and Merchant marketing. Deejai does not certify Merchant basis. A chat enquiry is not automatic future-marketing consent.</w:t>
      </w:r>
    </w:p>
    <w:p>
      <w:pPr>
        <w:pStyle w:val="Heading2"/>
        <w:bidi w:val="0"/>
        <w:jc w:val="start"/>
        <w:rPr/>
      </w:pPr>
      <w:r>
        <w:rPr/>
        <w:t>Legitimate-interest process</w:t>
      </w:r>
    </w:p>
    <w:p>
      <w:pPr>
        <w:pStyle w:val="BodyText"/>
        <w:bidi w:val="0"/>
        <w:jc w:val="start"/>
        <w:rPr/>
      </w:pPr>
      <w:r>
        <w:rPr/>
        <w:t>Document purpose, necessity, balancing, expectations, minimisation, opt-out and safeguards. Do not use legitimate interests as a blanket basis for partner marketing/model development at initial release.</w:t>
      </w:r>
    </w:p>
    <w:p>
      <w:pPr>
        <w:pStyle w:val="Heading2"/>
        <w:bidi w:val="0"/>
        <w:jc w:val="start"/>
        <w:rPr/>
      </w:pPr>
      <w:r>
        <w:rPr/>
        <w:t>Sensitive data</w:t>
      </w:r>
    </w:p>
    <w:p>
      <w:pPr>
        <w:pStyle w:val="BodyText"/>
        <w:bidi w:val="0"/>
        <w:jc w:val="start"/>
        <w:rPr/>
      </w:pPr>
      <w:r>
        <w:rPr/>
        <w:t>Not intentionally collected in standard plans. Separate legal condition, impact review and controls are required.</w:t>
      </w:r>
    </w:p>
    <w:p>
      <w:pPr>
        <w:pStyle w:val="Heading1"/>
        <w:bidi w:val="0"/>
        <w:jc w:val="start"/>
        <w:rPr/>
      </w:pPr>
      <w:r>
        <w:rPr/>
        <w:t>Consent Governance Specification</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Purpose identifiers</w:t>
      </w:r>
    </w:p>
    <w:p>
      <w:pPr>
        <w:pStyle w:val="BodyText"/>
        <w:numPr>
          <w:ilvl w:val="0"/>
          <w:numId w:val="7"/>
        </w:numPr>
        <w:tabs>
          <w:tab w:val="clear" w:pos="1134"/>
          <w:tab w:val="left" w:pos="709" w:leader="none"/>
        </w:tabs>
        <w:bidi w:val="0"/>
        <w:spacing w:before="0" w:after="0"/>
        <w:ind w:hanging="283" w:start="709"/>
        <w:jc w:val="start"/>
        <w:rPr/>
      </w:pPr>
      <w:r>
        <w:rPr>
          <w:rStyle w:val="SourceText"/>
        </w:rPr>
        <w:t>merchant_marketing</w:t>
      </w:r>
    </w:p>
    <w:p>
      <w:pPr>
        <w:pStyle w:val="BodyText"/>
        <w:numPr>
          <w:ilvl w:val="0"/>
          <w:numId w:val="7"/>
        </w:numPr>
        <w:tabs>
          <w:tab w:val="clear" w:pos="1134"/>
          <w:tab w:val="left" w:pos="709" w:leader="none"/>
        </w:tabs>
        <w:bidi w:val="0"/>
        <w:spacing w:before="0" w:after="0"/>
        <w:ind w:hanging="283" w:start="709"/>
        <w:jc w:val="start"/>
        <w:rPr/>
      </w:pPr>
      <w:r>
        <w:rPr>
          <w:rStyle w:val="SourceText"/>
        </w:rPr>
        <w:t>deejai_marketing</w:t>
      </w:r>
    </w:p>
    <w:p>
      <w:pPr>
        <w:pStyle w:val="BodyText"/>
        <w:numPr>
          <w:ilvl w:val="0"/>
          <w:numId w:val="7"/>
        </w:numPr>
        <w:tabs>
          <w:tab w:val="clear" w:pos="1134"/>
          <w:tab w:val="left" w:pos="709" w:leader="none"/>
        </w:tabs>
        <w:bidi w:val="0"/>
        <w:spacing w:before="0" w:after="0"/>
        <w:ind w:hanging="283" w:start="709"/>
        <w:jc w:val="start"/>
        <w:rPr/>
      </w:pPr>
      <w:r>
        <w:rPr>
          <w:rStyle w:val="SourceText"/>
        </w:rPr>
        <w:t>partner_marketing:&lt;partner_id&gt;</w:t>
      </w:r>
    </w:p>
    <w:p>
      <w:pPr>
        <w:pStyle w:val="BodyText"/>
        <w:numPr>
          <w:ilvl w:val="0"/>
          <w:numId w:val="7"/>
        </w:numPr>
        <w:tabs>
          <w:tab w:val="clear" w:pos="1134"/>
          <w:tab w:val="left" w:pos="709" w:leader="none"/>
        </w:tabs>
        <w:bidi w:val="0"/>
        <w:spacing w:before="0" w:after="0"/>
        <w:ind w:hanging="283" w:start="709"/>
        <w:jc w:val="start"/>
        <w:rPr/>
      </w:pPr>
      <w:r>
        <w:rPr>
          <w:rStyle w:val="SourceText"/>
        </w:rPr>
        <w:t>model_development</w:t>
      </w:r>
    </w:p>
    <w:p>
      <w:pPr>
        <w:pStyle w:val="BodyText"/>
        <w:numPr>
          <w:ilvl w:val="0"/>
          <w:numId w:val="7"/>
        </w:numPr>
        <w:tabs>
          <w:tab w:val="clear" w:pos="1134"/>
          <w:tab w:val="left" w:pos="709" w:leader="none"/>
        </w:tabs>
        <w:bidi w:val="0"/>
        <w:spacing w:before="0" w:after="0"/>
        <w:ind w:hanging="283" w:start="709"/>
        <w:jc w:val="start"/>
        <w:rPr/>
      </w:pPr>
      <w:r>
        <w:rPr>
          <w:rStyle w:val="SourceText"/>
        </w:rPr>
        <w:t>voice_recording</w:t>
      </w:r>
    </w:p>
    <w:p>
      <w:pPr>
        <w:pStyle w:val="BodyText"/>
        <w:numPr>
          <w:ilvl w:val="0"/>
          <w:numId w:val="7"/>
        </w:numPr>
        <w:tabs>
          <w:tab w:val="clear" w:pos="1134"/>
          <w:tab w:val="left" w:pos="709" w:leader="none"/>
        </w:tabs>
        <w:bidi w:val="0"/>
        <w:ind w:hanging="283" w:start="709"/>
        <w:jc w:val="start"/>
        <w:rPr/>
      </w:pPr>
      <w:r>
        <w:rPr>
          <w:rStyle w:val="SourceText"/>
        </w:rPr>
        <w:t>voice_marketing_call</w:t>
      </w:r>
    </w:p>
    <w:p>
      <w:pPr>
        <w:pStyle w:val="Heading2"/>
        <w:bidi w:val="0"/>
        <w:jc w:val="start"/>
        <w:rPr/>
      </w:pPr>
      <w:r>
        <w:rPr/>
        <w:t>2. Evidence fields</w:t>
      </w:r>
    </w:p>
    <w:p>
      <w:pPr>
        <w:pStyle w:val="BodyText"/>
        <w:bidi w:val="0"/>
        <w:jc w:val="start"/>
        <w:rPr/>
      </w:pPr>
      <w:r>
        <w:rPr/>
        <w:t>Data-subject/pseudonymous identifier; Merchant tenant/deployment; purpose; status; exact text version; notice version; timestamp; source; locale; proportionate IP/device evidence; channels; partner ID; withdrawal time/source.</w:t>
      </w:r>
    </w:p>
    <w:p>
      <w:pPr>
        <w:pStyle w:val="Heading2"/>
        <w:bidi w:val="0"/>
        <w:jc w:val="start"/>
        <w:rPr/>
      </w:pPr>
      <w:r>
        <w:rPr/>
        <w:t>3. Interface rules</w:t>
      </w:r>
    </w:p>
    <w:p>
      <w:pPr>
        <w:pStyle w:val="BodyText"/>
        <w:bidi w:val="0"/>
        <w:jc w:val="start"/>
        <w:rPr/>
      </w:pPr>
      <w:r>
        <w:rPr/>
        <w:t>Unticked, separate, plain/specific, no dark patterns/bundling, refusal does not block core chat, detailed-notice link beside control.</w:t>
      </w:r>
    </w:p>
    <w:p>
      <w:pPr>
        <w:pStyle w:val="Heading2"/>
        <w:bidi w:val="0"/>
        <w:jc w:val="start"/>
        <w:rPr/>
      </w:pPr>
      <w:r>
        <w:rPr/>
        <w:t>4. Withdrawal</w:t>
      </w:r>
    </w:p>
    <w:p>
      <w:pPr>
        <w:pStyle w:val="BodyText"/>
        <w:bidi w:val="0"/>
        <w:jc w:val="start"/>
        <w:rPr/>
      </w:pPr>
      <w:r>
        <w:rPr/>
        <w:t>At least as easy as consent. Automated withdrawal immediately affects future campaigns/dataset eligibility. Partner withdrawals propagate without undue delay. Suppression prevents re-import.</w:t>
      </w:r>
    </w:p>
    <w:p>
      <w:pPr>
        <w:pStyle w:val="Heading2"/>
        <w:bidi w:val="0"/>
        <w:jc w:val="start"/>
        <w:rPr/>
      </w:pPr>
      <w:r>
        <w:rPr/>
        <w:t>5. Versioning</w:t>
      </w:r>
    </w:p>
    <w:p>
      <w:pPr>
        <w:pStyle w:val="BodyText"/>
        <w:bidi w:val="0"/>
        <w:jc w:val="start"/>
        <w:rPr/>
      </w:pPr>
      <w:r>
        <w:rPr/>
        <w:t>Material purpose, partner, channel, data-category or retention change requires new consent where prior wording is insufficient. Historical text/evidence is immutable.</w:t>
      </w:r>
    </w:p>
    <w:p>
      <w:pPr>
        <w:pStyle w:val="Heading2"/>
        <w:bidi w:val="0"/>
        <w:jc w:val="start"/>
        <w:rPr/>
      </w:pPr>
      <w:r>
        <w:rPr/>
        <w:t>6. Model eligibility</w:t>
      </w:r>
    </w:p>
    <w:p>
      <w:pPr>
        <w:pStyle w:val="BodyText"/>
        <w:bidi w:val="0"/>
        <w:jc w:val="start"/>
        <w:rPr/>
      </w:pPr>
      <w:r>
        <w:rPr/>
        <w:t>Requires active consent, Merchant setting enabled, no sensitive/child flag, successful identifier removal, free-text screening, dataset policy version and no withdrawal before dataset freeze.</w:t>
      </w:r>
    </w:p>
    <w:p>
      <w:pPr>
        <w:pStyle w:val="Heading2"/>
        <w:bidi w:val="0"/>
        <w:jc w:val="start"/>
        <w:rPr/>
      </w:pPr>
      <w:r>
        <w:rPr/>
        <w:t>7. Audit</w:t>
      </w:r>
    </w:p>
    <w:p>
      <w:pPr>
        <w:pStyle w:val="BodyText"/>
        <w:bidi w:val="0"/>
        <w:jc w:val="start"/>
        <w:rPr/>
      </w:pPr>
      <w:r>
        <w:rPr/>
        <w:t>Quarterly review of conversion, withdrawal latency, partner propagation, suppressed re-entry and dataset eligibility.</w:t>
      </w:r>
    </w:p>
    <w:p>
      <w:pPr>
        <w:pStyle w:val="Heading1"/>
        <w:bidi w:val="0"/>
        <w:jc w:val="start"/>
        <w:rPr/>
      </w:pPr>
      <w:r>
        <w:rPr/>
        <w:t>Marketing Suppression Policy</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Central suppression</w:t>
      </w:r>
    </w:p>
    <w:p>
      <w:pPr>
        <w:pStyle w:val="BodyText"/>
        <w:bidi w:val="0"/>
        <w:jc w:val="start"/>
        <w:rPr/>
      </w:pPr>
      <w:r>
        <w:rPr/>
        <w:t>Maintain suppression by purpose/channel. Deejai withdrawal stops Deejai marketing but not automatically Merchant marketing.</w:t>
      </w:r>
    </w:p>
    <w:p>
      <w:pPr>
        <w:pStyle w:val="Heading2"/>
        <w:bidi w:val="0"/>
        <w:jc w:val="start"/>
        <w:rPr/>
      </w:pPr>
      <w:r>
        <w:rPr/>
        <w:t>2. Minimal record</w:t>
      </w:r>
    </w:p>
    <w:p>
      <w:pPr>
        <w:pStyle w:val="BodyText"/>
        <w:bidi w:val="0"/>
        <w:jc w:val="start"/>
        <w:rPr/>
      </w:pPr>
      <w:r>
        <w:rPr/>
        <w:t>Hashed/normalised identifier, purpose, channel, withdrawal date, source and evidence reference. Retain five years after last attempted use unless law/claim requires longer.</w:t>
      </w:r>
    </w:p>
    <w:p>
      <w:pPr>
        <w:pStyle w:val="Heading2"/>
        <w:bidi w:val="0"/>
        <w:jc w:val="start"/>
        <w:rPr/>
      </w:pPr>
      <w:r>
        <w:rPr/>
        <w:t>3. Timing</w:t>
      </w:r>
    </w:p>
    <w:p>
      <w:pPr>
        <w:pStyle w:val="BodyText"/>
        <w:bidi w:val="0"/>
        <w:jc w:val="start"/>
        <w:rPr/>
      </w:pPr>
      <w:r>
        <w:rPr/>
        <w:t>Electronic unsubscribe/preference applies immediately to future selection. Manual requests entered without undue delay. Campaigns refresh suppression before send.</w:t>
      </w:r>
    </w:p>
    <w:p>
      <w:pPr>
        <w:pStyle w:val="Heading2"/>
        <w:bidi w:val="0"/>
        <w:jc w:val="start"/>
        <w:rPr/>
      </w:pPr>
      <w:r>
        <w:rPr/>
        <w:t>4. Partner propagation</w:t>
      </w:r>
    </w:p>
    <w:p>
      <w:pPr>
        <w:pStyle w:val="BodyText"/>
        <w:bidi w:val="0"/>
        <w:jc w:val="start"/>
        <w:rPr/>
      </w:pPr>
      <w:r>
        <w:rPr/>
        <w:t>Send signed suppression instruction to each relevant partner and record confirmation. Partner must stop contact and report direct withdrawals.</w:t>
      </w:r>
    </w:p>
    <w:p>
      <w:pPr>
        <w:pStyle w:val="Heading2"/>
        <w:bidi w:val="0"/>
        <w:jc w:val="start"/>
        <w:rPr/>
      </w:pPr>
      <w:r>
        <w:rPr/>
        <w:t>5. Re-consent</w:t>
      </w:r>
    </w:p>
    <w:p>
      <w:pPr>
        <w:pStyle w:val="BodyText"/>
        <w:bidi w:val="0"/>
        <w:jc w:val="start"/>
        <w:rPr/>
      </w:pPr>
      <w:r>
        <w:rPr/>
        <w:t>Only a new affirmative action using current text can override suppression. Old list import cannot.</w:t>
      </w:r>
    </w:p>
    <w:p>
      <w:pPr>
        <w:pStyle w:val="Heading2"/>
        <w:bidi w:val="0"/>
        <w:jc w:val="start"/>
        <w:rPr/>
      </w:pPr>
      <w:r>
        <w:rPr/>
        <w:t>6. Monitoring</w:t>
      </w:r>
    </w:p>
    <w:p>
      <w:pPr>
        <w:pStyle w:val="BodyText"/>
        <w:bidi w:val="0"/>
        <w:jc w:val="start"/>
        <w:rPr/>
      </w:pPr>
      <w:r>
        <w:rPr/>
        <w:t>Quarterly tests of campaign exclusion, partner propagation, channel coverage and re-import. Failure is a privacy incident.</w:t>
      </w:r>
    </w:p>
    <w:p>
      <w:pPr>
        <w:pStyle w:val="Heading1"/>
        <w:bidi w:val="0"/>
        <w:jc w:val="start"/>
        <w:rPr/>
      </w:pPr>
      <w:r>
        <w:rPr/>
        <w:t>Model Development Governance Policy</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Principles</w:t>
      </w:r>
    </w:p>
    <w:p>
      <w:pPr>
        <w:pStyle w:val="BodyText"/>
        <w:bidi w:val="0"/>
        <w:jc w:val="start"/>
        <w:rPr/>
      </w:pPr>
      <w:r>
        <w:rPr/>
        <w:t>Lawful, purpose-limited, minimised, secure, traceable and separated from Merchant processor data. Do not label anonymous absent documented non-identifiability.</w:t>
      </w:r>
    </w:p>
    <w:p>
      <w:pPr>
        <w:pStyle w:val="Heading2"/>
        <w:bidi w:val="0"/>
        <w:jc w:val="start"/>
        <w:rPr/>
      </w:pPr>
      <w:r>
        <w:rPr/>
        <w:t>2. Admission</w:t>
      </w:r>
    </w:p>
    <w:p>
      <w:pPr>
        <w:pStyle w:val="BodyText"/>
        <w:bidi w:val="0"/>
        <w:jc w:val="start"/>
        <w:rPr/>
      </w:pPr>
      <w:r>
        <w:rPr/>
        <w:t>Active consent; Merchant not disabled; direct identifiers removed; free text passes screening; no child/sensitive flag; approved purpose/retention; provenance and versions recorded.</w:t>
      </w:r>
    </w:p>
    <w:p>
      <w:pPr>
        <w:pStyle w:val="Heading2"/>
        <w:bidi w:val="0"/>
        <w:jc w:val="start"/>
        <w:rPr/>
      </w:pPr>
      <w:r>
        <w:rPr/>
        <w:t>3. Removal</w:t>
      </w:r>
    </w:p>
    <w:p>
      <w:pPr>
        <w:pStyle w:val="BodyText"/>
        <w:bidi w:val="0"/>
        <w:jc w:val="start"/>
        <w:rPr/>
      </w:pPr>
      <w:r>
        <w:rPr/>
        <w:t>Remove names, emails, phones, channel/account IDs, session tokens, addresses, order/reference numbers and other direct identifiers. Generalise exact time/location if unnecessary.</w:t>
      </w:r>
    </w:p>
    <w:p>
      <w:pPr>
        <w:pStyle w:val="Heading2"/>
        <w:bidi w:val="0"/>
        <w:jc w:val="start"/>
        <w:rPr/>
      </w:pPr>
      <w:r>
        <w:rPr/>
        <w:t>4. Screening/quarantine</w:t>
      </w:r>
    </w:p>
    <w:p>
      <w:pPr>
        <w:pStyle w:val="BodyText"/>
        <w:bidi w:val="0"/>
        <w:jc w:val="start"/>
        <w:rPr/>
      </w:pPr>
      <w:r>
        <w:rPr/>
        <w:t>Automated screening for identifiers, sensitive data, credentials, medical/financial account data, child indicators and unusual context. Failed records are restricted for max 30 days, then deleted or remediated.</w:t>
      </w:r>
    </w:p>
    <w:p>
      <w:pPr>
        <w:pStyle w:val="Heading2"/>
        <w:bidi w:val="0"/>
        <w:jc w:val="start"/>
        <w:rPr/>
      </w:pPr>
      <w:r>
        <w:rPr/>
        <w:t>5. Human review</w:t>
      </w:r>
    </w:p>
    <w:p>
      <w:pPr>
        <w:pStyle w:val="BodyText"/>
        <w:bidi w:val="0"/>
        <w:jc w:val="start"/>
        <w:rPr/>
      </w:pPr>
      <w:r>
        <w:rPr/>
        <w:t>Authorised, trained, confidential, logged and prohibited from re-identification. Review tools hide operational links.</w:t>
      </w:r>
    </w:p>
    <w:p>
      <w:pPr>
        <w:pStyle w:val="Heading2"/>
        <w:bidi w:val="0"/>
        <w:jc w:val="start"/>
        <w:rPr/>
      </w:pPr>
      <w:r>
        <w:rPr/>
        <w:t>6. Dataset approval</w:t>
      </w:r>
    </w:p>
    <w:p>
      <w:pPr>
        <w:pStyle w:val="BodyText"/>
        <w:bidi w:val="0"/>
        <w:jc w:val="start"/>
        <w:rPr/>
      </w:pPr>
      <w:r>
        <w:rPr/>
        <w:t>Every dataset has owner, purpose, source period, consent rule, screening version, retention, region, approved users and model list. Privacy Lead and technical owner approve before training.</w:t>
      </w:r>
    </w:p>
    <w:p>
      <w:pPr>
        <w:pStyle w:val="Heading2"/>
        <w:bidi w:val="0"/>
        <w:jc w:val="start"/>
        <w:rPr/>
      </w:pPr>
      <w:r>
        <w:rPr/>
        <w:t>7. Providers</w:t>
      </w:r>
    </w:p>
    <w:p>
      <w:pPr>
        <w:pStyle w:val="BodyText"/>
        <w:bidi w:val="0"/>
        <w:jc w:val="start"/>
        <w:rPr/>
      </w:pPr>
      <w:r>
        <w:rPr/>
        <w:t>No external provider until due diligence, DPA, region, retention, provider-training setting and transfer assessment are approved/disclosed.</w:t>
      </w:r>
    </w:p>
    <w:p>
      <w:pPr>
        <w:pStyle w:val="Heading2"/>
        <w:bidi w:val="0"/>
        <w:jc w:val="start"/>
        <w:rPr/>
      </w:pPr>
      <w:r>
        <w:rPr/>
        <w:t>8. Withdrawal/deletion</w:t>
      </w:r>
    </w:p>
    <w:p>
      <w:pPr>
        <w:pStyle w:val="BodyText"/>
        <w:bidi w:val="0"/>
        <w:jc w:val="start"/>
        <w:rPr/>
      </w:pPr>
      <w:r>
        <w:rPr/>
        <w:t>Remove active dataset records where reasonably possible. Snapshots/backups expire. Completed model influence may be irreversible and is disclosed.</w:t>
      </w:r>
    </w:p>
    <w:p>
      <w:pPr>
        <w:pStyle w:val="Heading2"/>
        <w:bidi w:val="0"/>
        <w:jc w:val="start"/>
        <w:rPr/>
      </w:pPr>
      <w:r>
        <w:rPr/>
        <w:t>9. Evaluation/release</w:t>
      </w:r>
    </w:p>
    <w:p>
      <w:pPr>
        <w:pStyle w:val="BodyText"/>
        <w:bidi w:val="0"/>
        <w:jc w:val="start"/>
        <w:rPr/>
      </w:pPr>
      <w:r>
        <w:rPr/>
        <w:t>Test leakage, memorisation, unsafe output, bias, injection and extraction. Material failures block release.</w:t>
      </w:r>
    </w:p>
    <w:p>
      <w:pPr>
        <w:pStyle w:val="Heading2"/>
        <w:bidi w:val="0"/>
        <w:jc w:val="start"/>
        <w:rPr/>
      </w:pPr>
      <w:r>
        <w:rPr/>
        <w:t>10. Incidents</w:t>
      </w:r>
    </w:p>
    <w:p>
      <w:pPr>
        <w:pStyle w:val="BodyText"/>
        <w:bidi w:val="0"/>
        <w:jc w:val="start"/>
        <w:rPr/>
      </w:pPr>
      <w:r>
        <w:rPr/>
        <w:t>Leakage/memorisation is a security incident; quarantine model/dataset and assess notifications.</w:t>
      </w:r>
    </w:p>
    <w:p>
      <w:pPr>
        <w:pStyle w:val="Heading1"/>
        <w:bidi w:val="0"/>
        <w:jc w:val="start"/>
        <w:rPr/>
      </w:pPr>
      <w:r>
        <w:rPr/>
        <w:t>Model Dataset Register</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Current status</w:t>
      </w:r>
    </w:p>
    <w:p>
      <w:pPr>
        <w:pStyle w:val="BodyText"/>
        <w:bidi w:val="0"/>
        <w:jc w:val="start"/>
        <w:rPr/>
      </w:pPr>
      <w:r>
        <w:rPr/>
        <w:t>No production end-customer conversation dataset is approved as of 27 July 2026.</w:t>
      </w:r>
    </w:p>
    <w:p>
      <w:pPr>
        <w:pStyle w:val="Heading2"/>
        <w:bidi w:val="0"/>
        <w:jc w:val="start"/>
        <w:rPr/>
      </w:pPr>
      <w:r>
        <w:rPr/>
        <w:t>2. Required fields</w:t>
      </w:r>
    </w:p>
    <w:p>
      <w:pPr>
        <w:pStyle w:val="BodyText"/>
        <w:bidi w:val="0"/>
        <w:jc w:val="start"/>
        <w:rPr/>
      </w:pPr>
      <w:r>
        <w:rPr/>
        <w:t>Dataset ID/name; business/technical owner; purpose; source products/Merchants; period; record count; consent/notice versions; identifier-removal method/version; screening version; exclusions; human review; region/providers; approved users; creation/freeze/deletion dates; models used; withdrawal/deletion events; approval reference.</w:t>
      </w:r>
    </w:p>
    <w:p>
      <w:pPr>
        <w:pStyle w:val="Heading2"/>
        <w:bidi w:val="0"/>
        <w:jc w:val="start"/>
        <w:rPr/>
      </w:pPr>
      <w:r>
        <w:rPr/>
        <w:t>3. Status values</w:t>
      </w:r>
    </w:p>
    <w:p>
      <w:pPr>
        <w:pStyle w:val="BodyText"/>
        <w:bidi w:val="0"/>
        <w:jc w:val="start"/>
        <w:rPr/>
      </w:pPr>
      <w:r>
        <w:rPr>
          <w:rStyle w:val="SourceText"/>
        </w:rPr>
        <w:t>proposed</w:t>
      </w:r>
      <w:r>
        <w:rPr/>
        <w:t xml:space="preserve">, </w:t>
      </w:r>
      <w:r>
        <w:rPr>
          <w:rStyle w:val="SourceText"/>
        </w:rPr>
        <w:t>quarantine</w:t>
      </w:r>
      <w:r>
        <w:rPr/>
        <w:t xml:space="preserve">, </w:t>
      </w:r>
      <w:r>
        <w:rPr>
          <w:rStyle w:val="SourceText"/>
        </w:rPr>
        <w:t>approved</w:t>
      </w:r>
      <w:r>
        <w:rPr/>
        <w:t xml:space="preserve">, </w:t>
      </w:r>
      <w:r>
        <w:rPr>
          <w:rStyle w:val="SourceText"/>
        </w:rPr>
        <w:t>frozen</w:t>
      </w:r>
      <w:r>
        <w:rPr/>
        <w:t xml:space="preserve">, </w:t>
      </w:r>
      <w:r>
        <w:rPr>
          <w:rStyle w:val="SourceText"/>
        </w:rPr>
        <w:t>training</w:t>
      </w:r>
      <w:r>
        <w:rPr/>
        <w:t xml:space="preserve">, </w:t>
      </w:r>
      <w:r>
        <w:rPr>
          <w:rStyle w:val="SourceText"/>
        </w:rPr>
        <w:t>retired</w:t>
      </w:r>
      <w:r>
        <w:rPr/>
        <w:t xml:space="preserve">, </w:t>
      </w:r>
      <w:r>
        <w:rPr>
          <w:rStyle w:val="SourceText"/>
        </w:rPr>
        <w:t>deletion_pending</w:t>
      </w:r>
      <w:r>
        <w:rPr/>
        <w:t xml:space="preserve">, </w:t>
      </w:r>
      <w:r>
        <w:rPr>
          <w:rStyle w:val="SourceText"/>
        </w:rPr>
        <w:t>deleted</w:t>
      </w:r>
      <w:r>
        <w:rPr/>
        <w:t xml:space="preserve">. Privacy Lead and technical owner approval required for </w:t>
      </w:r>
      <w:r>
        <w:rPr>
          <w:rStyle w:val="SourceText"/>
        </w:rPr>
        <w:t>approved</w:t>
      </w:r>
      <w:r>
        <w:rPr/>
        <w:t>.</w:t>
      </w:r>
    </w:p>
    <w:p>
      <w:pPr>
        <w:pStyle w:val="Heading2"/>
        <w:bidi w:val="0"/>
        <w:jc w:val="start"/>
        <w:rPr/>
      </w:pPr>
      <w:r>
        <w:rPr/>
        <w:t>4. Retention</w:t>
      </w:r>
    </w:p>
    <w:p>
      <w:pPr>
        <w:pStyle w:val="BodyText"/>
        <w:bidi w:val="0"/>
        <w:jc w:val="start"/>
        <w:rPr/>
      </w:pPr>
      <w:r>
        <w:rPr/>
        <w:t>Quarantine max 30 days; approved dataset max 24 months; provenance/model registry seven years; legal hold overrides only documented scope/period.</w:t>
      </w:r>
    </w:p>
    <w:p>
      <w:pPr>
        <w:pStyle w:val="Heading1"/>
        <w:bidi w:val="0"/>
        <w:jc w:val="start"/>
        <w:rPr/>
      </w:pPr>
      <w:r>
        <w:rPr/>
        <w:t>Retention and Deletion Standard</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Current enforceable position</w:t>
      </w:r>
    </w:p>
    <w:tbl>
      <w:tblPr>
        <w:tblW w:w="8000" w:type="dxa"/>
        <w:jc w:val="start"/>
        <w:tblInd w:w="0" w:type="dxa"/>
        <w:tblLayout w:type="fixed"/>
        <w:tblCellMar>
          <w:top w:w="28" w:type="dxa"/>
          <w:start w:w="28" w:type="dxa"/>
          <w:bottom w:w="28" w:type="dxa"/>
          <w:end w:w="28" w:type="dxa"/>
        </w:tblCellMar>
      </w:tblPr>
      <w:tblGrid>
        <w:gridCol w:w="2033"/>
        <w:gridCol w:w="5967"/>
      </w:tblGrid>
      <w:tr>
        <w:trPr>
          <w:tblHeader w:val="true"/>
        </w:trPr>
        <w:tc>
          <w:tcPr>
            <w:tcW w:w="2033" w:type="dxa"/>
            <w:tcBorders/>
            <w:vAlign w:val="center"/>
          </w:tcPr>
          <w:p>
            <w:pPr>
              <w:pStyle w:val="TableHeading"/>
              <w:suppressLineNumbers/>
              <w:shd w:fill="173F35" w:val="clear"/>
              <w:bidi w:val="0"/>
              <w:spacing w:before="0" w:after="160"/>
              <w:jc w:val="start"/>
              <w:rPr/>
            </w:pPr>
            <w:r>
              <w:rPr/>
              <w:t>Data</w:t>
            </w:r>
          </w:p>
        </w:tc>
        <w:tc>
          <w:tcPr>
            <w:tcW w:w="5967" w:type="dxa"/>
            <w:tcBorders/>
            <w:vAlign w:val="center"/>
          </w:tcPr>
          <w:p>
            <w:pPr>
              <w:pStyle w:val="TableHeading"/>
              <w:suppressLineNumbers/>
              <w:shd w:fill="173F35" w:val="clear"/>
              <w:bidi w:val="0"/>
              <w:spacing w:before="0" w:after="160"/>
              <w:jc w:val="start"/>
              <w:rPr/>
            </w:pPr>
            <w:r>
              <w:rPr/>
              <w:t>Current position</w:t>
            </w:r>
          </w:p>
        </w:tc>
      </w:tr>
      <w:tr>
        <w:trPr/>
        <w:tc>
          <w:tcPr>
            <w:tcW w:w="2033" w:type="dxa"/>
            <w:tcBorders/>
            <w:vAlign w:val="center"/>
          </w:tcPr>
          <w:p>
            <w:pPr>
              <w:pStyle w:val="TableContents"/>
              <w:bidi w:val="0"/>
              <w:spacing w:before="0" w:after="160"/>
              <w:jc w:val="start"/>
              <w:rPr/>
            </w:pPr>
            <w:r>
              <w:rPr/>
              <w:t>Chat content</w:t>
            </w:r>
          </w:p>
        </w:tc>
        <w:tc>
          <w:tcPr>
            <w:tcW w:w="5967" w:type="dxa"/>
            <w:tcBorders/>
            <w:vAlign w:val="center"/>
          </w:tcPr>
          <w:p>
            <w:pPr>
              <w:pStyle w:val="TableContents"/>
              <w:bidi w:val="0"/>
              <w:spacing w:before="0" w:after="160"/>
              <w:jc w:val="start"/>
              <w:rPr/>
            </w:pPr>
            <w:r>
              <w:rPr/>
              <w:t>Default 365 days; Merchant configurable 30-730; then tombstone</w:t>
            </w:r>
          </w:p>
        </w:tc>
      </w:tr>
      <w:tr>
        <w:trPr/>
        <w:tc>
          <w:tcPr>
            <w:tcW w:w="2033" w:type="dxa"/>
            <w:tcBorders/>
            <w:vAlign w:val="center"/>
          </w:tcPr>
          <w:p>
            <w:pPr>
              <w:pStyle w:val="TableContents"/>
              <w:bidi w:val="0"/>
              <w:spacing w:before="0" w:after="160"/>
              <w:jc w:val="start"/>
              <w:rPr/>
            </w:pPr>
            <w:r>
              <w:rPr/>
              <w:t>Voice recording</w:t>
            </w:r>
          </w:p>
        </w:tc>
        <w:tc>
          <w:tcPr>
            <w:tcW w:w="5967" w:type="dxa"/>
            <w:tcBorders/>
            <w:vAlign w:val="center"/>
          </w:tcPr>
          <w:p>
            <w:pPr>
              <w:pStyle w:val="TableContents"/>
              <w:bidi w:val="0"/>
              <w:spacing w:before="0" w:after="160"/>
              <w:jc w:val="start"/>
              <w:rPr/>
            </w:pPr>
            <w:r>
              <w:rPr/>
              <w:t>Disabled; zero</w:t>
            </w:r>
          </w:p>
        </w:tc>
      </w:tr>
      <w:tr>
        <w:trPr/>
        <w:tc>
          <w:tcPr>
            <w:tcW w:w="2033" w:type="dxa"/>
            <w:tcBorders/>
            <w:vAlign w:val="center"/>
          </w:tcPr>
          <w:p>
            <w:pPr>
              <w:pStyle w:val="TableContents"/>
              <w:bidi w:val="0"/>
              <w:spacing w:before="0" w:after="160"/>
              <w:jc w:val="start"/>
              <w:rPr/>
            </w:pPr>
            <w:r>
              <w:rPr/>
              <w:t>Privacy download</w:t>
            </w:r>
          </w:p>
        </w:tc>
        <w:tc>
          <w:tcPr>
            <w:tcW w:w="5967" w:type="dxa"/>
            <w:tcBorders/>
            <w:vAlign w:val="center"/>
          </w:tcPr>
          <w:p>
            <w:pPr>
              <w:pStyle w:val="TableContents"/>
              <w:bidi w:val="0"/>
              <w:spacing w:before="0" w:after="160"/>
              <w:jc w:val="start"/>
              <w:rPr/>
            </w:pPr>
            <w:r>
              <w:rPr/>
              <w:t>Seven days; encrypted-row purge pending</w:t>
            </w:r>
          </w:p>
        </w:tc>
      </w:tr>
      <w:tr>
        <w:trPr/>
        <w:tc>
          <w:tcPr>
            <w:tcW w:w="2033" w:type="dxa"/>
            <w:tcBorders/>
            <w:vAlign w:val="center"/>
          </w:tcPr>
          <w:p>
            <w:pPr>
              <w:pStyle w:val="TableContents"/>
              <w:bidi w:val="0"/>
              <w:spacing w:before="0" w:after="160"/>
              <w:jc w:val="start"/>
              <w:rPr/>
            </w:pPr>
            <w:r>
              <w:rPr/>
              <w:t>Contacts/leads</w:t>
            </w:r>
          </w:p>
        </w:tc>
        <w:tc>
          <w:tcPr>
            <w:tcW w:w="5967" w:type="dxa"/>
            <w:tcBorders/>
            <w:vAlign w:val="center"/>
          </w:tcPr>
          <w:p>
            <w:pPr>
              <w:pStyle w:val="TableContents"/>
              <w:bidi w:val="0"/>
              <w:spacing w:before="0" w:after="160"/>
              <w:jc w:val="start"/>
              <w:rPr/>
            </w:pPr>
            <w:r>
              <w:rPr/>
              <w:t>Until erasure or closure; no time-based purge</w:t>
            </w:r>
          </w:p>
        </w:tc>
      </w:tr>
      <w:tr>
        <w:trPr/>
        <w:tc>
          <w:tcPr>
            <w:tcW w:w="2033" w:type="dxa"/>
            <w:tcBorders/>
            <w:vAlign w:val="center"/>
          </w:tcPr>
          <w:p>
            <w:pPr>
              <w:pStyle w:val="TableContents"/>
              <w:bidi w:val="0"/>
              <w:spacing w:before="0" w:after="160"/>
              <w:jc w:val="start"/>
              <w:rPr/>
            </w:pPr>
            <w:r>
              <w:rPr/>
              <w:t>Closure</w:t>
            </w:r>
          </w:p>
        </w:tc>
        <w:tc>
          <w:tcPr>
            <w:tcW w:w="5967" w:type="dxa"/>
            <w:tcBorders/>
            <w:vAlign w:val="center"/>
          </w:tcPr>
          <w:p>
            <w:pPr>
              <w:pStyle w:val="TableContents"/>
              <w:bidi w:val="0"/>
              <w:spacing w:before="0" w:after="160"/>
              <w:jc w:val="start"/>
              <w:rPr/>
            </w:pPr>
            <w:r>
              <w:rPr/>
              <w:t>No approved automated schedule; support-managed</w:t>
            </w:r>
          </w:p>
        </w:tc>
      </w:tr>
      <w:tr>
        <w:trPr/>
        <w:tc>
          <w:tcPr>
            <w:tcW w:w="2033" w:type="dxa"/>
            <w:tcBorders/>
            <w:vAlign w:val="center"/>
          </w:tcPr>
          <w:p>
            <w:pPr>
              <w:pStyle w:val="TableContents"/>
              <w:bidi w:val="0"/>
              <w:spacing w:before="0" w:after="160"/>
              <w:jc w:val="start"/>
              <w:rPr/>
            </w:pPr>
            <w:r>
              <w:rPr/>
              <w:t>Planned GCP backups</w:t>
            </w:r>
          </w:p>
        </w:tc>
        <w:tc>
          <w:tcPr>
            <w:tcW w:w="5967" w:type="dxa"/>
            <w:tcBorders/>
            <w:vAlign w:val="center"/>
          </w:tcPr>
          <w:p>
            <w:pPr>
              <w:pStyle w:val="TableContents"/>
              <w:bidi w:val="0"/>
              <w:spacing w:before="0" w:after="160"/>
              <w:jc w:val="start"/>
              <w:rPr/>
            </w:pPr>
            <w:r>
              <w:rPr/>
              <w:t>30 retained backups; seven days transaction logs; deployment unverified</w:t>
            </w:r>
          </w:p>
        </w:tc>
      </w:tr>
      <w:tr>
        <w:trPr/>
        <w:tc>
          <w:tcPr>
            <w:tcW w:w="2033" w:type="dxa"/>
            <w:tcBorders/>
            <w:vAlign w:val="center"/>
          </w:tcPr>
          <w:p>
            <w:pPr>
              <w:pStyle w:val="TableContents"/>
              <w:bidi w:val="0"/>
              <w:spacing w:before="0" w:after="160"/>
              <w:jc w:val="start"/>
              <w:rPr/>
            </w:pPr>
            <w:r>
              <w:rPr/>
              <w:t>Current DB</w:t>
            </w:r>
          </w:p>
        </w:tc>
        <w:tc>
          <w:tcPr>
            <w:tcW w:w="5967" w:type="dxa"/>
            <w:tcBorders/>
            <w:vAlign w:val="center"/>
          </w:tcPr>
          <w:p>
            <w:pPr>
              <w:pStyle w:val="TableContents"/>
              <w:bidi w:val="0"/>
              <w:spacing w:before="0" w:after="160"/>
              <w:jc w:val="start"/>
              <w:rPr/>
            </w:pPr>
            <w:r>
              <w:rPr/>
              <w:t>Neon/AWS US; provider backup/deletion details require due diligence</w:t>
            </w:r>
          </w:p>
        </w:tc>
      </w:tr>
    </w:tbl>
    <w:p>
      <w:pPr>
        <w:pStyle w:val="Heading2"/>
        <w:bidi w:val="0"/>
        <w:jc w:val="start"/>
        <w:rPr/>
      </w:pPr>
      <w:r>
        <w:rPr/>
        <w:t>2. Target after implementation</w:t>
      </w:r>
    </w:p>
    <w:tbl>
      <w:tblPr>
        <w:tblW w:w="8000" w:type="dxa"/>
        <w:jc w:val="start"/>
        <w:tblInd w:w="0" w:type="dxa"/>
        <w:tblLayout w:type="fixed"/>
        <w:tblCellMar>
          <w:top w:w="28" w:type="dxa"/>
          <w:start w:w="28" w:type="dxa"/>
          <w:bottom w:w="28" w:type="dxa"/>
          <w:end w:w="28" w:type="dxa"/>
        </w:tblCellMar>
      </w:tblPr>
      <w:tblGrid>
        <w:gridCol w:w="2028"/>
        <w:gridCol w:w="5972"/>
      </w:tblGrid>
      <w:tr>
        <w:trPr>
          <w:tblHeader w:val="true"/>
        </w:trPr>
        <w:tc>
          <w:tcPr>
            <w:tcW w:w="2028" w:type="dxa"/>
            <w:tcBorders/>
            <w:vAlign w:val="center"/>
          </w:tcPr>
          <w:p>
            <w:pPr>
              <w:pStyle w:val="TableHeading"/>
              <w:suppressLineNumbers/>
              <w:shd w:fill="173F35" w:val="clear"/>
              <w:bidi w:val="0"/>
              <w:spacing w:before="0" w:after="160"/>
              <w:jc w:val="start"/>
              <w:rPr/>
            </w:pPr>
            <w:r>
              <w:rPr/>
              <w:t>Data</w:t>
            </w:r>
          </w:p>
        </w:tc>
        <w:tc>
          <w:tcPr>
            <w:tcW w:w="5972" w:type="dxa"/>
            <w:tcBorders/>
            <w:vAlign w:val="center"/>
          </w:tcPr>
          <w:p>
            <w:pPr>
              <w:pStyle w:val="TableHeading"/>
              <w:suppressLineNumbers/>
              <w:shd w:fill="173F35" w:val="clear"/>
              <w:bidi w:val="0"/>
              <w:spacing w:before="0" w:after="160"/>
              <w:jc w:val="start"/>
              <w:rPr/>
            </w:pPr>
            <w:r>
              <w:rPr/>
              <w:t>Target</w:t>
            </w:r>
          </w:p>
        </w:tc>
      </w:tr>
      <w:tr>
        <w:trPr/>
        <w:tc>
          <w:tcPr>
            <w:tcW w:w="2028" w:type="dxa"/>
            <w:tcBorders/>
            <w:vAlign w:val="center"/>
          </w:tcPr>
          <w:p>
            <w:pPr>
              <w:pStyle w:val="TableContents"/>
              <w:bidi w:val="0"/>
              <w:spacing w:before="0" w:after="160"/>
              <w:jc w:val="start"/>
              <w:rPr/>
            </w:pPr>
            <w:r>
              <w:rPr/>
              <w:t>Contacts/leads</w:t>
            </w:r>
          </w:p>
        </w:tc>
        <w:tc>
          <w:tcPr>
            <w:tcW w:w="5972" w:type="dxa"/>
            <w:tcBorders/>
            <w:vAlign w:val="center"/>
          </w:tcPr>
          <w:p>
            <w:pPr>
              <w:pStyle w:val="TableContents"/>
              <w:bidi w:val="0"/>
              <w:spacing w:before="0" w:after="160"/>
              <w:jc w:val="start"/>
              <w:rPr/>
            </w:pPr>
            <w:r>
              <w:rPr/>
              <w:t>24 months after last activity</w:t>
            </w:r>
          </w:p>
        </w:tc>
      </w:tr>
      <w:tr>
        <w:trPr/>
        <w:tc>
          <w:tcPr>
            <w:tcW w:w="2028" w:type="dxa"/>
            <w:tcBorders/>
            <w:vAlign w:val="center"/>
          </w:tcPr>
          <w:p>
            <w:pPr>
              <w:pStyle w:val="TableContents"/>
              <w:bidi w:val="0"/>
              <w:spacing w:before="0" w:after="160"/>
              <w:jc w:val="start"/>
              <w:rPr/>
            </w:pPr>
            <w:r>
              <w:rPr/>
              <w:t>Voluntary cancellation</w:t>
            </w:r>
          </w:p>
        </w:tc>
        <w:tc>
          <w:tcPr>
            <w:tcW w:w="5972" w:type="dxa"/>
            <w:tcBorders/>
            <w:vAlign w:val="center"/>
          </w:tcPr>
          <w:p>
            <w:pPr>
              <w:pStyle w:val="TableContents"/>
              <w:bidi w:val="0"/>
              <w:spacing w:before="0" w:after="160"/>
              <w:jc w:val="start"/>
              <w:rPr/>
            </w:pPr>
            <w:r>
              <w:rPr/>
              <w:t>Access until paid term ends</w:t>
            </w:r>
          </w:p>
        </w:tc>
      </w:tr>
      <w:tr>
        <w:trPr/>
        <w:tc>
          <w:tcPr>
            <w:tcW w:w="2028" w:type="dxa"/>
            <w:tcBorders/>
            <w:vAlign w:val="center"/>
          </w:tcPr>
          <w:p>
            <w:pPr>
              <w:pStyle w:val="TableContents"/>
              <w:bidi w:val="0"/>
              <w:spacing w:before="0" w:after="160"/>
              <w:jc w:val="start"/>
              <w:rPr/>
            </w:pPr>
            <w:r>
              <w:rPr/>
              <w:t>Read-only/reactivation</w:t>
            </w:r>
          </w:p>
        </w:tc>
        <w:tc>
          <w:tcPr>
            <w:tcW w:w="5972" w:type="dxa"/>
            <w:tcBorders/>
            <w:vAlign w:val="center"/>
          </w:tcPr>
          <w:p>
            <w:pPr>
              <w:pStyle w:val="TableContents"/>
              <w:bidi w:val="0"/>
              <w:spacing w:before="0" w:after="160"/>
              <w:jc w:val="start"/>
              <w:rPr/>
            </w:pPr>
            <w:r>
              <w:rPr/>
              <w:t>30 days after paid term</w:t>
            </w:r>
          </w:p>
        </w:tc>
      </w:tr>
      <w:tr>
        <w:trPr/>
        <w:tc>
          <w:tcPr>
            <w:tcW w:w="2028" w:type="dxa"/>
            <w:tcBorders/>
            <w:vAlign w:val="center"/>
          </w:tcPr>
          <w:p>
            <w:pPr>
              <w:pStyle w:val="TableContents"/>
              <w:bidi w:val="0"/>
              <w:spacing w:before="0" w:after="160"/>
              <w:jc w:val="start"/>
              <w:rPr/>
            </w:pPr>
            <w:r>
              <w:rPr/>
              <w:t>Production tenant data</w:t>
            </w:r>
          </w:p>
        </w:tc>
        <w:tc>
          <w:tcPr>
            <w:tcW w:w="5972" w:type="dxa"/>
            <w:tcBorders/>
            <w:vAlign w:val="center"/>
          </w:tcPr>
          <w:p>
            <w:pPr>
              <w:pStyle w:val="TableContents"/>
              <w:bidi w:val="0"/>
              <w:spacing w:before="0" w:after="160"/>
              <w:jc w:val="start"/>
              <w:rPr/>
            </w:pPr>
            <w:r>
              <w:rPr/>
              <w:t>Purge after 30-day window</w:t>
            </w:r>
          </w:p>
        </w:tc>
      </w:tr>
      <w:tr>
        <w:trPr/>
        <w:tc>
          <w:tcPr>
            <w:tcW w:w="2028" w:type="dxa"/>
            <w:tcBorders/>
            <w:vAlign w:val="center"/>
          </w:tcPr>
          <w:p>
            <w:pPr>
              <w:pStyle w:val="TableContents"/>
              <w:bidi w:val="0"/>
              <w:spacing w:before="0" w:after="160"/>
              <w:jc w:val="start"/>
              <w:rPr/>
            </w:pPr>
            <w:r>
              <w:rPr/>
              <w:t>Backups</w:t>
            </w:r>
          </w:p>
        </w:tc>
        <w:tc>
          <w:tcPr>
            <w:tcW w:w="5972" w:type="dxa"/>
            <w:tcBorders/>
            <w:vAlign w:val="center"/>
          </w:tcPr>
          <w:p>
            <w:pPr>
              <w:pStyle w:val="TableContents"/>
              <w:bidi w:val="0"/>
              <w:spacing w:before="0" w:after="160"/>
              <w:jc w:val="start"/>
              <w:rPr/>
            </w:pPr>
            <w:r>
              <w:rPr/>
              <w:t>Within 30 days after production purge</w:t>
            </w:r>
          </w:p>
        </w:tc>
      </w:tr>
      <w:tr>
        <w:trPr/>
        <w:tc>
          <w:tcPr>
            <w:tcW w:w="2028" w:type="dxa"/>
            <w:tcBorders/>
            <w:vAlign w:val="center"/>
          </w:tcPr>
          <w:p>
            <w:pPr>
              <w:pStyle w:val="TableContents"/>
              <w:bidi w:val="0"/>
              <w:spacing w:before="0" w:after="160"/>
              <w:jc w:val="start"/>
              <w:rPr/>
            </w:pPr>
            <w:r>
              <w:rPr/>
              <w:t>Application logs</w:t>
            </w:r>
          </w:p>
        </w:tc>
        <w:tc>
          <w:tcPr>
            <w:tcW w:w="5972" w:type="dxa"/>
            <w:tcBorders/>
            <w:vAlign w:val="center"/>
          </w:tcPr>
          <w:p>
            <w:pPr>
              <w:pStyle w:val="TableContents"/>
              <w:bidi w:val="0"/>
              <w:spacing w:before="0" w:after="160"/>
              <w:jc w:val="start"/>
              <w:rPr/>
            </w:pPr>
            <w:r>
              <w:rPr/>
              <w:t>30 days</w:t>
            </w:r>
          </w:p>
        </w:tc>
      </w:tr>
      <w:tr>
        <w:trPr/>
        <w:tc>
          <w:tcPr>
            <w:tcW w:w="2028" w:type="dxa"/>
            <w:tcBorders/>
            <w:vAlign w:val="center"/>
          </w:tcPr>
          <w:p>
            <w:pPr>
              <w:pStyle w:val="TableContents"/>
              <w:bidi w:val="0"/>
              <w:spacing w:before="0" w:after="160"/>
              <w:jc w:val="start"/>
              <w:rPr/>
            </w:pPr>
            <w:r>
              <w:rPr/>
              <w:t>Security/audit</w:t>
            </w:r>
          </w:p>
        </w:tc>
        <w:tc>
          <w:tcPr>
            <w:tcW w:w="5972" w:type="dxa"/>
            <w:tcBorders/>
            <w:vAlign w:val="center"/>
          </w:tcPr>
          <w:p>
            <w:pPr>
              <w:pStyle w:val="TableContents"/>
              <w:bidi w:val="0"/>
              <w:spacing w:before="0" w:after="160"/>
              <w:jc w:val="start"/>
              <w:rPr/>
            </w:pPr>
            <w:r>
              <w:rPr/>
              <w:t>24 months except legal/immutable records</w:t>
            </w:r>
          </w:p>
        </w:tc>
      </w:tr>
      <w:tr>
        <w:trPr/>
        <w:tc>
          <w:tcPr>
            <w:tcW w:w="2028" w:type="dxa"/>
            <w:tcBorders/>
            <w:vAlign w:val="center"/>
          </w:tcPr>
          <w:p>
            <w:pPr>
              <w:pStyle w:val="TableContents"/>
              <w:bidi w:val="0"/>
              <w:spacing w:before="0" w:after="160"/>
              <w:jc w:val="start"/>
              <w:rPr/>
            </w:pPr>
            <w:r>
              <w:rPr/>
              <w:t>Privacy export object</w:t>
            </w:r>
          </w:p>
        </w:tc>
        <w:tc>
          <w:tcPr>
            <w:tcW w:w="5972" w:type="dxa"/>
            <w:tcBorders/>
            <w:vAlign w:val="center"/>
          </w:tcPr>
          <w:p>
            <w:pPr>
              <w:pStyle w:val="TableContents"/>
              <w:bidi w:val="0"/>
              <w:spacing w:before="0" w:after="160"/>
              <w:jc w:val="start"/>
              <w:rPr/>
            </w:pPr>
            <w:r>
              <w:rPr/>
              <w:t>Seven days then physical purge</w:t>
            </w:r>
          </w:p>
        </w:tc>
      </w:tr>
      <w:tr>
        <w:trPr/>
        <w:tc>
          <w:tcPr>
            <w:tcW w:w="2028" w:type="dxa"/>
            <w:tcBorders/>
            <w:vAlign w:val="center"/>
          </w:tcPr>
          <w:p>
            <w:pPr>
              <w:pStyle w:val="TableContents"/>
              <w:bidi w:val="0"/>
              <w:spacing w:before="0" w:after="160"/>
              <w:jc w:val="start"/>
              <w:rPr/>
            </w:pPr>
            <w:r>
              <w:rPr/>
              <w:t>Billing/tax</w:t>
            </w:r>
          </w:p>
        </w:tc>
        <w:tc>
          <w:tcPr>
            <w:tcW w:w="5972" w:type="dxa"/>
            <w:tcBorders/>
            <w:vAlign w:val="center"/>
          </w:tcPr>
          <w:p>
            <w:pPr>
              <w:pStyle w:val="TableContents"/>
              <w:bidi w:val="0"/>
              <w:spacing w:before="0" w:after="160"/>
              <w:jc w:val="start"/>
              <w:rPr/>
            </w:pPr>
            <w:r>
              <w:rPr/>
              <w:t>Seven years</w:t>
            </w:r>
          </w:p>
        </w:tc>
      </w:tr>
      <w:tr>
        <w:trPr/>
        <w:tc>
          <w:tcPr>
            <w:tcW w:w="2028" w:type="dxa"/>
            <w:tcBorders/>
            <w:vAlign w:val="center"/>
          </w:tcPr>
          <w:p>
            <w:pPr>
              <w:pStyle w:val="TableContents"/>
              <w:bidi w:val="0"/>
              <w:spacing w:before="0" w:after="160"/>
              <w:jc w:val="start"/>
              <w:rPr/>
            </w:pPr>
            <w:r>
              <w:rPr/>
              <w:t>Trial eligibility claim</w:t>
            </w:r>
          </w:p>
        </w:tc>
        <w:tc>
          <w:tcPr>
            <w:tcW w:w="5972" w:type="dxa"/>
            <w:tcBorders/>
            <w:vAlign w:val="center"/>
          </w:tcPr>
          <w:p>
            <w:pPr>
              <w:pStyle w:val="TableContents"/>
              <w:bidi w:val="0"/>
              <w:spacing w:before="0" w:after="160"/>
              <w:jc w:val="start"/>
              <w:rPr/>
            </w:pPr>
            <w:r>
              <w:rPr/>
              <w:t>While the relevant trial programme operates, then approved erasure, subject to legal hold</w:t>
            </w:r>
          </w:p>
        </w:tc>
      </w:tr>
      <w:tr>
        <w:trPr/>
        <w:tc>
          <w:tcPr>
            <w:tcW w:w="2028" w:type="dxa"/>
            <w:tcBorders/>
            <w:vAlign w:val="center"/>
          </w:tcPr>
          <w:p>
            <w:pPr>
              <w:pStyle w:val="TableContents"/>
              <w:bidi w:val="0"/>
              <w:spacing w:before="0" w:after="160"/>
              <w:jc w:val="start"/>
              <w:rPr/>
            </w:pPr>
            <w:r>
              <w:rPr/>
              <w:t>Consent evidence</w:t>
            </w:r>
          </w:p>
        </w:tc>
        <w:tc>
          <w:tcPr>
            <w:tcW w:w="5972" w:type="dxa"/>
            <w:tcBorders/>
            <w:vAlign w:val="center"/>
          </w:tcPr>
          <w:p>
            <w:pPr>
              <w:pStyle w:val="TableContents"/>
              <w:bidi w:val="0"/>
              <w:spacing w:before="0" w:after="160"/>
              <w:jc w:val="start"/>
              <w:rPr/>
            </w:pPr>
            <w:r>
              <w:rPr/>
              <w:t>Five years after withdrawal/last reliance</w:t>
            </w:r>
          </w:p>
        </w:tc>
      </w:tr>
      <w:tr>
        <w:trPr/>
        <w:tc>
          <w:tcPr>
            <w:tcW w:w="2028" w:type="dxa"/>
            <w:tcBorders/>
            <w:vAlign w:val="center"/>
          </w:tcPr>
          <w:p>
            <w:pPr>
              <w:pStyle w:val="TableContents"/>
              <w:bidi w:val="0"/>
              <w:spacing w:before="0" w:after="160"/>
              <w:jc w:val="start"/>
              <w:rPr/>
            </w:pPr>
            <w:r>
              <w:rPr/>
              <w:t>Deejai marketing contact</w:t>
            </w:r>
          </w:p>
        </w:tc>
        <w:tc>
          <w:tcPr>
            <w:tcW w:w="5972" w:type="dxa"/>
            <w:tcBorders/>
            <w:vAlign w:val="center"/>
          </w:tcPr>
          <w:p>
            <w:pPr>
              <w:pStyle w:val="TableContents"/>
              <w:bidi w:val="0"/>
              <w:spacing w:before="0" w:after="160"/>
              <w:jc w:val="start"/>
              <w:rPr/>
            </w:pPr>
            <w:r>
              <w:rPr/>
              <w:t>Withdrawal or 24 months last engagement</w:t>
            </w:r>
          </w:p>
        </w:tc>
      </w:tr>
      <w:tr>
        <w:trPr/>
        <w:tc>
          <w:tcPr>
            <w:tcW w:w="2028" w:type="dxa"/>
            <w:tcBorders/>
            <w:vAlign w:val="center"/>
          </w:tcPr>
          <w:p>
            <w:pPr>
              <w:pStyle w:val="TableContents"/>
              <w:bidi w:val="0"/>
              <w:spacing w:before="0" w:after="160"/>
              <w:jc w:val="start"/>
              <w:rPr/>
            </w:pPr>
            <w:r>
              <w:rPr/>
              <w:t>Suppression</w:t>
            </w:r>
          </w:p>
        </w:tc>
        <w:tc>
          <w:tcPr>
            <w:tcW w:w="5972" w:type="dxa"/>
            <w:tcBorders/>
            <w:vAlign w:val="center"/>
          </w:tcPr>
          <w:p>
            <w:pPr>
              <w:pStyle w:val="TableContents"/>
              <w:bidi w:val="0"/>
              <w:spacing w:before="0" w:after="160"/>
              <w:jc w:val="start"/>
              <w:rPr/>
            </w:pPr>
            <w:r>
              <w:rPr/>
              <w:t>Five years</w:t>
            </w:r>
          </w:p>
        </w:tc>
      </w:tr>
      <w:tr>
        <w:trPr/>
        <w:tc>
          <w:tcPr>
            <w:tcW w:w="2028" w:type="dxa"/>
            <w:tcBorders/>
            <w:vAlign w:val="center"/>
          </w:tcPr>
          <w:p>
            <w:pPr>
              <w:pStyle w:val="TableContents"/>
              <w:bidi w:val="0"/>
              <w:spacing w:before="0" w:after="160"/>
              <w:jc w:val="start"/>
              <w:rPr/>
            </w:pPr>
            <w:r>
              <w:rPr/>
              <w:t>Model quarantine</w:t>
            </w:r>
          </w:p>
        </w:tc>
        <w:tc>
          <w:tcPr>
            <w:tcW w:w="5972" w:type="dxa"/>
            <w:tcBorders/>
            <w:vAlign w:val="center"/>
          </w:tcPr>
          <w:p>
            <w:pPr>
              <w:pStyle w:val="TableContents"/>
              <w:bidi w:val="0"/>
              <w:spacing w:before="0" w:after="160"/>
              <w:jc w:val="start"/>
              <w:rPr/>
            </w:pPr>
            <w:r>
              <w:rPr/>
              <w:t>30 days</w:t>
            </w:r>
          </w:p>
        </w:tc>
      </w:tr>
      <w:tr>
        <w:trPr/>
        <w:tc>
          <w:tcPr>
            <w:tcW w:w="2028" w:type="dxa"/>
            <w:tcBorders/>
            <w:vAlign w:val="center"/>
          </w:tcPr>
          <w:p>
            <w:pPr>
              <w:pStyle w:val="TableContents"/>
              <w:bidi w:val="0"/>
              <w:spacing w:before="0" w:after="160"/>
              <w:jc w:val="start"/>
              <w:rPr/>
            </w:pPr>
            <w:r>
              <w:rPr/>
              <w:t>Training dataset</w:t>
            </w:r>
          </w:p>
        </w:tc>
        <w:tc>
          <w:tcPr>
            <w:tcW w:w="5972" w:type="dxa"/>
            <w:tcBorders/>
            <w:vAlign w:val="center"/>
          </w:tcPr>
          <w:p>
            <w:pPr>
              <w:pStyle w:val="TableContents"/>
              <w:bidi w:val="0"/>
              <w:spacing w:before="0" w:after="160"/>
              <w:jc w:val="start"/>
              <w:rPr/>
            </w:pPr>
            <w:r>
              <w:rPr/>
              <w:t>24 months</w:t>
            </w:r>
          </w:p>
        </w:tc>
      </w:tr>
      <w:tr>
        <w:trPr/>
        <w:tc>
          <w:tcPr>
            <w:tcW w:w="2028" w:type="dxa"/>
            <w:tcBorders/>
            <w:vAlign w:val="center"/>
          </w:tcPr>
          <w:p>
            <w:pPr>
              <w:pStyle w:val="TableContents"/>
              <w:bidi w:val="0"/>
              <w:spacing w:before="0" w:after="160"/>
              <w:jc w:val="start"/>
              <w:rPr/>
            </w:pPr>
            <w:r>
              <w:rPr/>
              <w:t>Model provenance</w:t>
            </w:r>
          </w:p>
        </w:tc>
        <w:tc>
          <w:tcPr>
            <w:tcW w:w="5972" w:type="dxa"/>
            <w:tcBorders/>
            <w:vAlign w:val="center"/>
          </w:tcPr>
          <w:p>
            <w:pPr>
              <w:pStyle w:val="TableContents"/>
              <w:bidi w:val="0"/>
              <w:spacing w:before="0" w:after="160"/>
              <w:jc w:val="start"/>
              <w:rPr/>
            </w:pPr>
            <w:r>
              <w:rPr/>
              <w:t>Seven years</w:t>
            </w:r>
          </w:p>
        </w:tc>
      </w:tr>
      <w:tr>
        <w:trPr/>
        <w:tc>
          <w:tcPr>
            <w:tcW w:w="2028" w:type="dxa"/>
            <w:tcBorders/>
            <w:vAlign w:val="center"/>
          </w:tcPr>
          <w:p>
            <w:pPr>
              <w:pStyle w:val="TableContents"/>
              <w:bidi w:val="0"/>
              <w:spacing w:before="0" w:after="160"/>
              <w:jc w:val="start"/>
              <w:rPr/>
            </w:pPr>
            <w:r>
              <w:rPr/>
              <w:t>Voice transcript</w:t>
            </w:r>
          </w:p>
        </w:tc>
        <w:tc>
          <w:tcPr>
            <w:tcW w:w="5972" w:type="dxa"/>
            <w:tcBorders/>
            <w:vAlign w:val="center"/>
          </w:tcPr>
          <w:p>
            <w:pPr>
              <w:pStyle w:val="TableContents"/>
              <w:bidi w:val="0"/>
              <w:spacing w:before="0" w:after="160"/>
              <w:jc w:val="start"/>
              <w:rPr/>
            </w:pPr>
            <w:r>
              <w:rPr/>
              <w:t>Configured message period</w:t>
            </w:r>
          </w:p>
        </w:tc>
      </w:tr>
      <w:tr>
        <w:trPr/>
        <w:tc>
          <w:tcPr>
            <w:tcW w:w="2028" w:type="dxa"/>
            <w:tcBorders/>
            <w:vAlign w:val="center"/>
          </w:tcPr>
          <w:p>
            <w:pPr>
              <w:pStyle w:val="TableContents"/>
              <w:bidi w:val="0"/>
              <w:spacing w:before="0" w:after="160"/>
              <w:jc w:val="start"/>
              <w:rPr/>
            </w:pPr>
            <w:r>
              <w:rPr/>
              <w:t>Voice recording</w:t>
            </w:r>
          </w:p>
        </w:tc>
        <w:tc>
          <w:tcPr>
            <w:tcW w:w="5972" w:type="dxa"/>
            <w:tcBorders/>
            <w:vAlign w:val="center"/>
          </w:tcPr>
          <w:p>
            <w:pPr>
              <w:pStyle w:val="TableContents"/>
              <w:bidi w:val="0"/>
              <w:spacing w:before="0" w:after="160"/>
              <w:jc w:val="start"/>
              <w:rPr/>
            </w:pPr>
            <w:r>
              <w:rPr/>
              <w:t>1-365 days only if approved; otherwise zero</w:t>
            </w:r>
          </w:p>
        </w:tc>
      </w:tr>
      <w:tr>
        <w:trPr/>
        <w:tc>
          <w:tcPr>
            <w:tcW w:w="2028" w:type="dxa"/>
            <w:tcBorders/>
            <w:vAlign w:val="center"/>
          </w:tcPr>
          <w:p>
            <w:pPr>
              <w:pStyle w:val="TableContents"/>
              <w:bidi w:val="0"/>
              <w:spacing w:before="0" w:after="160"/>
              <w:jc w:val="start"/>
              <w:rPr/>
            </w:pPr>
            <w:r>
              <w:rPr/>
              <w:t>Legal hold</w:t>
            </w:r>
          </w:p>
        </w:tc>
        <w:tc>
          <w:tcPr>
            <w:tcW w:w="5972" w:type="dxa"/>
            <w:tcBorders/>
            <w:vAlign w:val="center"/>
          </w:tcPr>
          <w:p>
            <w:pPr>
              <w:pStyle w:val="TableContents"/>
              <w:bidi w:val="0"/>
              <w:spacing w:before="0" w:after="160"/>
              <w:jc w:val="start"/>
              <w:rPr/>
            </w:pPr>
            <w:r>
              <w:rPr/>
              <w:t>Until written release then deletion resumes</w:t>
            </w:r>
          </w:p>
        </w:tc>
      </w:tr>
    </w:tbl>
    <w:p>
      <w:pPr>
        <w:pStyle w:val="Heading2"/>
        <w:bidi w:val="0"/>
        <w:jc w:val="start"/>
        <w:rPr/>
      </w:pPr>
      <w:r>
        <w:rPr/>
        <w:t>3. Methods</w:t>
      </w:r>
    </w:p>
    <w:p>
      <w:pPr>
        <w:pStyle w:val="BodyText"/>
        <w:bidi w:val="0"/>
        <w:jc w:val="start"/>
        <w:rPr/>
      </w:pPr>
      <w:r>
        <w:rPr/>
        <w:t>Physical removal, cryptographic destruction, tombstone replacement or removal of identifiers with non-identifying shell. Public text must describe actual method and never promise immediate deletion of everything.</w:t>
      </w:r>
    </w:p>
    <w:p>
      <w:pPr>
        <w:pStyle w:val="Heading2"/>
        <w:bidi w:val="0"/>
        <w:jc w:val="start"/>
        <w:rPr/>
      </w:pPr>
      <w:r>
        <w:rPr/>
        <w:t>4. Gate</w:t>
      </w:r>
    </w:p>
    <w:p>
      <w:pPr>
        <w:pStyle w:val="BodyText"/>
        <w:bidi w:val="0"/>
        <w:jc w:val="start"/>
        <w:rPr/>
      </w:pPr>
      <w:r>
        <w:rPr/>
        <w:t>Target periods are not production promises until jobs, monitoring, backup alignment and ownership are verified.</w:t>
      </w:r>
    </w:p>
    <w:p>
      <w:pPr>
        <w:pStyle w:val="Heading1"/>
        <w:bidi w:val="0"/>
        <w:jc w:val="start"/>
        <w:rPr/>
      </w:pPr>
      <w:r>
        <w:rPr/>
        <w:t>DSAR Residual List and Counsel Sign-off Record</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Residual table</w:t>
      </w:r>
    </w:p>
    <w:tbl>
      <w:tblPr>
        <w:tblW w:w="8000" w:type="dxa"/>
        <w:jc w:val="start"/>
        <w:tblInd w:w="0" w:type="dxa"/>
        <w:tblLayout w:type="fixed"/>
        <w:tblCellMar>
          <w:top w:w="28" w:type="dxa"/>
          <w:start w:w="28" w:type="dxa"/>
          <w:bottom w:w="28" w:type="dxa"/>
          <w:end w:w="28" w:type="dxa"/>
        </w:tblCellMar>
      </w:tblPr>
      <w:tblGrid>
        <w:gridCol w:w="1733"/>
        <w:gridCol w:w="1988"/>
        <w:gridCol w:w="2623"/>
        <w:gridCol w:w="1656"/>
      </w:tblGrid>
      <w:tr>
        <w:trPr>
          <w:tblHeader w:val="true"/>
        </w:trPr>
        <w:tc>
          <w:tcPr>
            <w:tcW w:w="1733" w:type="dxa"/>
            <w:tcBorders/>
            <w:vAlign w:val="center"/>
          </w:tcPr>
          <w:p>
            <w:pPr>
              <w:pStyle w:val="TableHeading"/>
              <w:suppressLineNumbers/>
              <w:shd w:fill="173F35" w:val="clear"/>
              <w:bidi w:val="0"/>
              <w:spacing w:before="0" w:after="160"/>
              <w:jc w:val="start"/>
              <w:rPr/>
            </w:pPr>
            <w:r>
              <w:rPr/>
              <w:t>Residual</w:t>
            </w:r>
          </w:p>
        </w:tc>
        <w:tc>
          <w:tcPr>
            <w:tcW w:w="1988" w:type="dxa"/>
            <w:tcBorders/>
            <w:vAlign w:val="center"/>
          </w:tcPr>
          <w:p>
            <w:pPr>
              <w:pStyle w:val="TableHeading"/>
              <w:suppressLineNumbers/>
              <w:shd w:fill="173F35" w:val="clear"/>
              <w:bidi w:val="0"/>
              <w:spacing w:before="0" w:after="160"/>
              <w:jc w:val="start"/>
              <w:rPr/>
            </w:pPr>
            <w:r>
              <w:rPr/>
              <w:t>Reason/access</w:t>
            </w:r>
          </w:p>
        </w:tc>
        <w:tc>
          <w:tcPr>
            <w:tcW w:w="2623" w:type="dxa"/>
            <w:tcBorders/>
            <w:vAlign w:val="center"/>
          </w:tcPr>
          <w:p>
            <w:pPr>
              <w:pStyle w:val="TableHeading"/>
              <w:suppressLineNumbers/>
              <w:shd w:fill="173F35" w:val="clear"/>
              <w:bidi w:val="0"/>
              <w:spacing w:before="0" w:after="160"/>
              <w:jc w:val="start"/>
              <w:rPr/>
            </w:pPr>
            <w:r>
              <w:rPr/>
              <w:t>Treatment</w:t>
            </w:r>
          </w:p>
        </w:tc>
        <w:tc>
          <w:tcPr>
            <w:tcW w:w="1656" w:type="dxa"/>
            <w:tcBorders/>
            <w:vAlign w:val="center"/>
          </w:tcPr>
          <w:p>
            <w:pPr>
              <w:pStyle w:val="TableHeading"/>
              <w:suppressLineNumbers/>
              <w:shd w:fill="173F35" w:val="clear"/>
              <w:bidi w:val="0"/>
              <w:spacing w:before="0" w:after="160"/>
              <w:jc w:val="start"/>
              <w:rPr/>
            </w:pPr>
            <w:r>
              <w:rPr/>
              <w:t>Position</w:t>
            </w:r>
          </w:p>
        </w:tc>
      </w:tr>
      <w:tr>
        <w:trPr/>
        <w:tc>
          <w:tcPr>
            <w:tcW w:w="1733" w:type="dxa"/>
            <w:tcBorders/>
            <w:vAlign w:val="center"/>
          </w:tcPr>
          <w:p>
            <w:pPr>
              <w:pStyle w:val="TableContents"/>
              <w:bidi w:val="0"/>
              <w:spacing w:before="0" w:after="160"/>
              <w:jc w:val="start"/>
              <w:rPr/>
            </w:pPr>
            <w:r>
              <w:rPr/>
              <w:t>Conversation shell</w:t>
            </w:r>
          </w:p>
        </w:tc>
        <w:tc>
          <w:tcPr>
            <w:tcW w:w="1988" w:type="dxa"/>
            <w:tcBorders/>
            <w:vAlign w:val="center"/>
          </w:tcPr>
          <w:p>
            <w:pPr>
              <w:pStyle w:val="TableContents"/>
              <w:bidi w:val="0"/>
              <w:spacing w:before="0" w:after="160"/>
              <w:jc w:val="start"/>
              <w:rPr/>
            </w:pPr>
            <w:r>
              <w:rPr/>
              <w:t>Referential integrity; restricted</w:t>
            </w:r>
          </w:p>
        </w:tc>
        <w:tc>
          <w:tcPr>
            <w:tcW w:w="2623" w:type="dxa"/>
            <w:tcBorders/>
            <w:vAlign w:val="center"/>
          </w:tcPr>
          <w:p>
            <w:pPr>
              <w:pStyle w:val="TableContents"/>
              <w:bidi w:val="0"/>
              <w:spacing w:before="0" w:after="160"/>
              <w:jc w:val="start"/>
              <w:rPr/>
            </w:pPr>
            <w:r>
              <w:rPr/>
              <w:t>Identifying content removed</w:t>
            </w:r>
          </w:p>
        </w:tc>
        <w:tc>
          <w:tcPr>
            <w:tcW w:w="1656" w:type="dxa"/>
            <w:tcBorders/>
            <w:vAlign w:val="center"/>
          </w:tcPr>
          <w:p>
            <w:pPr>
              <w:pStyle w:val="TableContents"/>
              <w:bidi w:val="0"/>
              <w:spacing w:before="0" w:after="160"/>
              <w:jc w:val="start"/>
              <w:rPr/>
            </w:pPr>
            <w:r>
              <w:rPr/>
              <w:t>Proposed acceptable</w:t>
            </w:r>
          </w:p>
        </w:tc>
      </w:tr>
      <w:tr>
        <w:trPr/>
        <w:tc>
          <w:tcPr>
            <w:tcW w:w="1733" w:type="dxa"/>
            <w:tcBorders/>
            <w:vAlign w:val="center"/>
          </w:tcPr>
          <w:p>
            <w:pPr>
              <w:pStyle w:val="TableContents"/>
              <w:bidi w:val="0"/>
              <w:spacing w:before="0" w:after="160"/>
              <w:jc w:val="start"/>
              <w:rPr/>
            </w:pPr>
            <w:r>
              <w:rPr/>
              <w:t>Message tombstone</w:t>
            </w:r>
          </w:p>
        </w:tc>
        <w:tc>
          <w:tcPr>
            <w:tcW w:w="1988" w:type="dxa"/>
            <w:tcBorders/>
            <w:vAlign w:val="center"/>
          </w:tcPr>
          <w:p>
            <w:pPr>
              <w:pStyle w:val="TableContents"/>
              <w:bidi w:val="0"/>
              <w:spacing w:before="0" w:after="160"/>
              <w:jc w:val="start"/>
              <w:rPr/>
            </w:pPr>
            <w:r>
              <w:rPr/>
              <w:t>Retention proof/sequence; restricted</w:t>
            </w:r>
          </w:p>
        </w:tc>
        <w:tc>
          <w:tcPr>
            <w:tcW w:w="2623" w:type="dxa"/>
            <w:tcBorders/>
            <w:vAlign w:val="center"/>
          </w:tcPr>
          <w:p>
            <w:pPr>
              <w:pStyle w:val="TableContents"/>
              <w:bidi w:val="0"/>
              <w:spacing w:before="0" w:after="160"/>
              <w:jc w:val="start"/>
              <w:rPr/>
            </w:pPr>
            <w:r>
              <w:rPr/>
              <w:t>No original content</w:t>
            </w:r>
          </w:p>
        </w:tc>
        <w:tc>
          <w:tcPr>
            <w:tcW w:w="1656" w:type="dxa"/>
            <w:tcBorders/>
            <w:vAlign w:val="center"/>
          </w:tcPr>
          <w:p>
            <w:pPr>
              <w:pStyle w:val="TableContents"/>
              <w:bidi w:val="0"/>
              <w:spacing w:before="0" w:after="160"/>
              <w:jc w:val="start"/>
              <w:rPr/>
            </w:pPr>
            <w:r>
              <w:rPr/>
              <w:t>Proposed acceptable</w:t>
            </w:r>
          </w:p>
        </w:tc>
      </w:tr>
      <w:tr>
        <w:trPr/>
        <w:tc>
          <w:tcPr>
            <w:tcW w:w="1733" w:type="dxa"/>
            <w:tcBorders/>
            <w:vAlign w:val="center"/>
          </w:tcPr>
          <w:p>
            <w:pPr>
              <w:pStyle w:val="TableContents"/>
              <w:bidi w:val="0"/>
              <w:spacing w:before="0" w:after="160"/>
              <w:jc w:val="start"/>
              <w:rPr/>
            </w:pPr>
            <w:r>
              <w:rPr/>
              <w:t>Privacy-job lineage</w:t>
            </w:r>
          </w:p>
        </w:tc>
        <w:tc>
          <w:tcPr>
            <w:tcW w:w="1988" w:type="dxa"/>
            <w:tcBorders/>
            <w:vAlign w:val="center"/>
          </w:tcPr>
          <w:p>
            <w:pPr>
              <w:pStyle w:val="TableContents"/>
              <w:bidi w:val="0"/>
              <w:spacing w:before="0" w:after="160"/>
              <w:jc w:val="start"/>
              <w:rPr/>
            </w:pPr>
            <w:r>
              <w:rPr/>
              <w:t>Fulfilment evidence; immutable</w:t>
            </w:r>
          </w:p>
        </w:tc>
        <w:tc>
          <w:tcPr>
            <w:tcW w:w="2623" w:type="dxa"/>
            <w:tcBorders/>
            <w:vAlign w:val="center"/>
          </w:tcPr>
          <w:p>
            <w:pPr>
              <w:pStyle w:val="TableContents"/>
              <w:bidi w:val="0"/>
              <w:spacing w:before="0" w:after="160"/>
              <w:jc w:val="start"/>
              <w:rPr/>
            </w:pPr>
            <w:r>
              <w:rPr/>
              <w:t>Current indefinite; target seven years after closure</w:t>
            </w:r>
          </w:p>
        </w:tc>
        <w:tc>
          <w:tcPr>
            <w:tcW w:w="1656" w:type="dxa"/>
            <w:tcBorders/>
            <w:vAlign w:val="center"/>
          </w:tcPr>
          <w:p>
            <w:pPr>
              <w:pStyle w:val="TableContents"/>
              <w:bidi w:val="0"/>
              <w:spacing w:before="0" w:after="160"/>
              <w:jc w:val="start"/>
              <w:rPr/>
            </w:pPr>
            <w:r>
              <w:rPr/>
              <w:t>Counsel approval required</w:t>
            </w:r>
          </w:p>
        </w:tc>
      </w:tr>
      <w:tr>
        <w:trPr/>
        <w:tc>
          <w:tcPr>
            <w:tcW w:w="1733" w:type="dxa"/>
            <w:tcBorders/>
            <w:vAlign w:val="center"/>
          </w:tcPr>
          <w:p>
            <w:pPr>
              <w:pStyle w:val="TableContents"/>
              <w:bidi w:val="0"/>
              <w:spacing w:before="0" w:after="160"/>
              <w:jc w:val="start"/>
              <w:rPr/>
            </w:pPr>
            <w:r>
              <w:rPr/>
              <w:t>Security/audit</w:t>
            </w:r>
          </w:p>
        </w:tc>
        <w:tc>
          <w:tcPr>
            <w:tcW w:w="1988" w:type="dxa"/>
            <w:tcBorders/>
            <w:vAlign w:val="center"/>
          </w:tcPr>
          <w:p>
            <w:pPr>
              <w:pStyle w:val="TableContents"/>
              <w:bidi w:val="0"/>
              <w:spacing w:before="0" w:after="160"/>
              <w:jc w:val="start"/>
              <w:rPr/>
            </w:pPr>
            <w:r>
              <w:rPr/>
              <w:t>Accountability; restricted</w:t>
            </w:r>
          </w:p>
        </w:tc>
        <w:tc>
          <w:tcPr>
            <w:tcW w:w="2623" w:type="dxa"/>
            <w:tcBorders/>
            <w:vAlign w:val="center"/>
          </w:tcPr>
          <w:p>
            <w:pPr>
              <w:pStyle w:val="TableContents"/>
              <w:bidi w:val="0"/>
              <w:spacing w:before="0" w:after="160"/>
              <w:jc w:val="start"/>
              <w:rPr/>
            </w:pPr>
            <w:r>
              <w:rPr/>
              <w:t>Target 24 months</w:t>
            </w:r>
          </w:p>
        </w:tc>
        <w:tc>
          <w:tcPr>
            <w:tcW w:w="1656" w:type="dxa"/>
            <w:tcBorders/>
            <w:vAlign w:val="center"/>
          </w:tcPr>
          <w:p>
            <w:pPr>
              <w:pStyle w:val="TableContents"/>
              <w:bidi w:val="0"/>
              <w:spacing w:before="0" w:after="160"/>
              <w:jc w:val="start"/>
              <w:rPr/>
            </w:pPr>
            <w:r>
              <w:rPr/>
              <w:t>Proposed</w:t>
            </w:r>
          </w:p>
        </w:tc>
      </w:tr>
      <w:tr>
        <w:trPr/>
        <w:tc>
          <w:tcPr>
            <w:tcW w:w="1733" w:type="dxa"/>
            <w:tcBorders/>
            <w:vAlign w:val="center"/>
          </w:tcPr>
          <w:p>
            <w:pPr>
              <w:pStyle w:val="TableContents"/>
              <w:bidi w:val="0"/>
              <w:spacing w:before="0" w:after="160"/>
              <w:jc w:val="start"/>
              <w:rPr/>
            </w:pPr>
            <w:r>
              <w:rPr/>
              <w:t>Billing/tax</w:t>
            </w:r>
          </w:p>
        </w:tc>
        <w:tc>
          <w:tcPr>
            <w:tcW w:w="1988" w:type="dxa"/>
            <w:tcBorders/>
            <w:vAlign w:val="center"/>
          </w:tcPr>
          <w:p>
            <w:pPr>
              <w:pStyle w:val="TableContents"/>
              <w:bidi w:val="0"/>
              <w:spacing w:before="0" w:after="160"/>
              <w:jc w:val="start"/>
              <w:rPr/>
            </w:pPr>
            <w:r>
              <w:rPr/>
              <w:t>Legal/finance</w:t>
            </w:r>
          </w:p>
        </w:tc>
        <w:tc>
          <w:tcPr>
            <w:tcW w:w="2623" w:type="dxa"/>
            <w:tcBorders/>
            <w:vAlign w:val="center"/>
          </w:tcPr>
          <w:p>
            <w:pPr>
              <w:pStyle w:val="TableContents"/>
              <w:bidi w:val="0"/>
              <w:spacing w:before="0" w:after="160"/>
              <w:jc w:val="start"/>
              <w:rPr/>
            </w:pPr>
            <w:r>
              <w:rPr/>
              <w:t>Seven years</w:t>
            </w:r>
          </w:p>
        </w:tc>
        <w:tc>
          <w:tcPr>
            <w:tcW w:w="1656" w:type="dxa"/>
            <w:tcBorders/>
            <w:vAlign w:val="center"/>
          </w:tcPr>
          <w:p>
            <w:pPr>
              <w:pStyle w:val="TableContents"/>
              <w:bidi w:val="0"/>
              <w:spacing w:before="0" w:after="160"/>
              <w:jc w:val="start"/>
              <w:rPr/>
            </w:pPr>
            <w:r>
              <w:rPr/>
              <w:t>Proposed</w:t>
            </w:r>
          </w:p>
        </w:tc>
      </w:tr>
      <w:tr>
        <w:trPr/>
        <w:tc>
          <w:tcPr>
            <w:tcW w:w="1733" w:type="dxa"/>
            <w:tcBorders/>
            <w:vAlign w:val="center"/>
          </w:tcPr>
          <w:p>
            <w:pPr>
              <w:pStyle w:val="TableContents"/>
              <w:bidi w:val="0"/>
              <w:spacing w:before="0" w:after="160"/>
              <w:jc w:val="start"/>
              <w:rPr/>
            </w:pPr>
            <w:r>
              <w:rPr/>
              <w:t>Backups</w:t>
            </w:r>
          </w:p>
        </w:tc>
        <w:tc>
          <w:tcPr>
            <w:tcW w:w="1988" w:type="dxa"/>
            <w:tcBorders/>
            <w:vAlign w:val="center"/>
          </w:tcPr>
          <w:p>
            <w:pPr>
              <w:pStyle w:val="TableContents"/>
              <w:bidi w:val="0"/>
              <w:spacing w:before="0" w:after="160"/>
              <w:jc w:val="start"/>
              <w:rPr/>
            </w:pPr>
            <w:r>
              <w:rPr/>
              <w:t>Recovery; restricted</w:t>
            </w:r>
          </w:p>
        </w:tc>
        <w:tc>
          <w:tcPr>
            <w:tcW w:w="2623" w:type="dxa"/>
            <w:tcBorders/>
            <w:vAlign w:val="center"/>
          </w:tcPr>
          <w:p>
            <w:pPr>
              <w:pStyle w:val="TableContents"/>
              <w:bidi w:val="0"/>
              <w:spacing w:before="0" w:after="160"/>
              <w:jc w:val="start"/>
              <w:rPr/>
            </w:pPr>
            <w:r>
              <w:rPr/>
              <w:t>Expire under verified window</w:t>
            </w:r>
          </w:p>
        </w:tc>
        <w:tc>
          <w:tcPr>
            <w:tcW w:w="1656" w:type="dxa"/>
            <w:tcBorders/>
            <w:vAlign w:val="center"/>
          </w:tcPr>
          <w:p>
            <w:pPr>
              <w:pStyle w:val="TableContents"/>
              <w:bidi w:val="0"/>
              <w:spacing w:before="0" w:after="160"/>
              <w:jc w:val="start"/>
              <w:rPr/>
            </w:pPr>
            <w:r>
              <w:rPr/>
              <w:t>Provider verification</w:t>
            </w:r>
          </w:p>
        </w:tc>
      </w:tr>
      <w:tr>
        <w:trPr/>
        <w:tc>
          <w:tcPr>
            <w:tcW w:w="1733" w:type="dxa"/>
            <w:tcBorders/>
            <w:vAlign w:val="center"/>
          </w:tcPr>
          <w:p>
            <w:pPr>
              <w:pStyle w:val="TableContents"/>
              <w:bidi w:val="0"/>
              <w:spacing w:before="0" w:after="160"/>
              <w:jc w:val="start"/>
              <w:rPr/>
            </w:pPr>
            <w:r>
              <w:rPr/>
              <w:t>Provider copies</w:t>
            </w:r>
          </w:p>
        </w:tc>
        <w:tc>
          <w:tcPr>
            <w:tcW w:w="1988" w:type="dxa"/>
            <w:tcBorders/>
            <w:vAlign w:val="center"/>
          </w:tcPr>
          <w:p>
            <w:pPr>
              <w:pStyle w:val="TableContents"/>
              <w:bidi w:val="0"/>
              <w:spacing w:before="0" w:after="160"/>
              <w:jc w:val="start"/>
              <w:rPr/>
            </w:pPr>
            <w:r>
              <w:rPr/>
              <w:t>Provider operations</w:t>
            </w:r>
          </w:p>
        </w:tc>
        <w:tc>
          <w:tcPr>
            <w:tcW w:w="2623" w:type="dxa"/>
            <w:tcBorders/>
            <w:vAlign w:val="center"/>
          </w:tcPr>
          <w:p>
            <w:pPr>
              <w:pStyle w:val="TableContents"/>
              <w:bidi w:val="0"/>
              <w:spacing w:before="0" w:after="160"/>
              <w:jc w:val="start"/>
              <w:rPr/>
            </w:pPr>
            <w:r>
              <w:rPr/>
              <w:t>Contractual deletion/expiry</w:t>
            </w:r>
          </w:p>
        </w:tc>
        <w:tc>
          <w:tcPr>
            <w:tcW w:w="1656" w:type="dxa"/>
            <w:tcBorders/>
            <w:vAlign w:val="center"/>
          </w:tcPr>
          <w:p>
            <w:pPr>
              <w:pStyle w:val="TableContents"/>
              <w:bidi w:val="0"/>
              <w:spacing w:before="0" w:after="160"/>
              <w:jc w:val="start"/>
              <w:rPr/>
            </w:pPr>
            <w:r>
              <w:rPr/>
              <w:t>Due diligence</w:t>
            </w:r>
          </w:p>
        </w:tc>
      </w:tr>
      <w:tr>
        <w:trPr/>
        <w:tc>
          <w:tcPr>
            <w:tcW w:w="1733" w:type="dxa"/>
            <w:tcBorders/>
            <w:vAlign w:val="center"/>
          </w:tcPr>
          <w:p>
            <w:pPr>
              <w:pStyle w:val="TableContents"/>
              <w:bidi w:val="0"/>
              <w:spacing w:before="0" w:after="160"/>
              <w:jc w:val="start"/>
              <w:rPr/>
            </w:pPr>
            <w:r>
              <w:rPr/>
              <w:t>Legal hold</w:t>
            </w:r>
          </w:p>
        </w:tc>
        <w:tc>
          <w:tcPr>
            <w:tcW w:w="1988" w:type="dxa"/>
            <w:tcBorders/>
            <w:vAlign w:val="center"/>
          </w:tcPr>
          <w:p>
            <w:pPr>
              <w:pStyle w:val="TableContents"/>
              <w:bidi w:val="0"/>
              <w:spacing w:before="0" w:after="160"/>
              <w:jc w:val="start"/>
              <w:rPr/>
            </w:pPr>
            <w:r>
              <w:rPr/>
              <w:t>Claims/law; named access</w:t>
            </w:r>
          </w:p>
        </w:tc>
        <w:tc>
          <w:tcPr>
            <w:tcW w:w="2623" w:type="dxa"/>
            <w:tcBorders/>
            <w:vAlign w:val="center"/>
          </w:tcPr>
          <w:p>
            <w:pPr>
              <w:pStyle w:val="TableContents"/>
              <w:bidi w:val="0"/>
              <w:spacing w:before="0" w:after="160"/>
              <w:jc w:val="start"/>
              <w:rPr/>
            </w:pPr>
            <w:r>
              <w:rPr/>
              <w:t>Until release then re-erasure</w:t>
            </w:r>
          </w:p>
        </w:tc>
        <w:tc>
          <w:tcPr>
            <w:tcW w:w="1656" w:type="dxa"/>
            <w:tcBorders/>
            <w:vAlign w:val="center"/>
          </w:tcPr>
          <w:p>
            <w:pPr>
              <w:pStyle w:val="TableContents"/>
              <w:bidi w:val="0"/>
              <w:spacing w:before="0" w:after="160"/>
              <w:jc w:val="start"/>
              <w:rPr/>
            </w:pPr>
            <w:r>
              <w:rPr/>
              <w:t>Proposed</w:t>
            </w:r>
          </w:p>
        </w:tc>
      </w:tr>
      <w:tr>
        <w:trPr/>
        <w:tc>
          <w:tcPr>
            <w:tcW w:w="1733" w:type="dxa"/>
            <w:tcBorders/>
            <w:vAlign w:val="center"/>
          </w:tcPr>
          <w:p>
            <w:pPr>
              <w:pStyle w:val="TableContents"/>
              <w:bidi w:val="0"/>
              <w:spacing w:before="0" w:after="160"/>
              <w:jc w:val="start"/>
              <w:rPr/>
            </w:pPr>
            <w:r>
              <w:rPr/>
              <w:t>Expired export encrypted row</w:t>
            </w:r>
          </w:p>
        </w:tc>
        <w:tc>
          <w:tcPr>
            <w:tcW w:w="1988" w:type="dxa"/>
            <w:tcBorders/>
            <w:vAlign w:val="center"/>
          </w:tcPr>
          <w:p>
            <w:pPr>
              <w:pStyle w:val="TableContents"/>
              <w:bidi w:val="0"/>
              <w:spacing w:before="0" w:after="160"/>
              <w:jc w:val="start"/>
              <w:rPr/>
            </w:pPr>
            <w:r>
              <w:rPr/>
              <w:t>Technical residual</w:t>
            </w:r>
          </w:p>
        </w:tc>
        <w:tc>
          <w:tcPr>
            <w:tcW w:w="2623" w:type="dxa"/>
            <w:tcBorders/>
            <w:vAlign w:val="center"/>
          </w:tcPr>
          <w:p>
            <w:pPr>
              <w:pStyle w:val="TableContents"/>
              <w:bidi w:val="0"/>
              <w:spacing w:before="0" w:after="160"/>
              <w:jc w:val="start"/>
              <w:rPr/>
            </w:pPr>
            <w:r>
              <w:rPr/>
              <w:t>Link expired; physical purge blocker</w:t>
            </w:r>
          </w:p>
        </w:tc>
        <w:tc>
          <w:tcPr>
            <w:tcW w:w="1656" w:type="dxa"/>
            <w:tcBorders/>
            <w:vAlign w:val="center"/>
          </w:tcPr>
          <w:p>
            <w:pPr>
              <w:pStyle w:val="TableContents"/>
              <w:bidi w:val="0"/>
              <w:spacing w:before="0" w:after="160"/>
              <w:jc w:val="start"/>
              <w:rPr/>
            </w:pPr>
            <w:r>
              <w:rPr/>
              <w:t>Remediation required</w:t>
            </w:r>
          </w:p>
        </w:tc>
      </w:tr>
      <w:tr>
        <w:trPr/>
        <w:tc>
          <w:tcPr>
            <w:tcW w:w="1733" w:type="dxa"/>
            <w:tcBorders/>
            <w:vAlign w:val="center"/>
          </w:tcPr>
          <w:p>
            <w:pPr>
              <w:pStyle w:val="TableContents"/>
              <w:bidi w:val="0"/>
              <w:spacing w:before="0" w:after="160"/>
              <w:jc w:val="start"/>
              <w:rPr/>
            </w:pPr>
            <w:r>
              <w:rPr/>
              <w:t>Model dataset</w:t>
            </w:r>
          </w:p>
        </w:tc>
        <w:tc>
          <w:tcPr>
            <w:tcW w:w="1988" w:type="dxa"/>
            <w:tcBorders/>
            <w:vAlign w:val="center"/>
          </w:tcPr>
          <w:p>
            <w:pPr>
              <w:pStyle w:val="TableContents"/>
              <w:bidi w:val="0"/>
              <w:spacing w:before="0" w:after="160"/>
              <w:jc w:val="start"/>
              <w:rPr/>
            </w:pPr>
            <w:r>
              <w:rPr/>
              <w:t>Separate consent purpose; restricted</w:t>
            </w:r>
          </w:p>
        </w:tc>
        <w:tc>
          <w:tcPr>
            <w:tcW w:w="2623" w:type="dxa"/>
            <w:tcBorders/>
            <w:vAlign w:val="center"/>
          </w:tcPr>
          <w:p>
            <w:pPr>
              <w:pStyle w:val="TableContents"/>
              <w:bidi w:val="0"/>
              <w:spacing w:before="0" w:after="160"/>
              <w:jc w:val="start"/>
              <w:rPr/>
            </w:pPr>
            <w:r>
              <w:rPr/>
              <w:t>Remove active record where possible; completed influence may remain</w:t>
            </w:r>
          </w:p>
        </w:tc>
        <w:tc>
          <w:tcPr>
            <w:tcW w:w="1656" w:type="dxa"/>
            <w:tcBorders/>
            <w:vAlign w:val="center"/>
          </w:tcPr>
          <w:p>
            <w:pPr>
              <w:pStyle w:val="TableContents"/>
              <w:bidi w:val="0"/>
              <w:spacing w:before="0" w:after="160"/>
              <w:jc w:val="start"/>
              <w:rPr/>
            </w:pPr>
            <w:r>
              <w:rPr/>
              <w:t>Counsel/consent required</w:t>
            </w:r>
          </w:p>
        </w:tc>
      </w:tr>
    </w:tbl>
    <w:p>
      <w:pPr>
        <w:pStyle w:val="BodyText"/>
        <w:bidi w:val="0"/>
        <w:jc w:val="start"/>
        <w:rPr/>
      </w:pPr>
      <w:r>
        <w:rPr/>
        <w:t>No G6c pass until counsel accepts each residual or requires remediation.</w:t>
      </w:r>
    </w:p>
    <w:p>
      <w:pPr>
        <w:pStyle w:val="Heading1"/>
        <w:bidi w:val="0"/>
        <w:jc w:val="start"/>
        <w:rPr/>
      </w:pPr>
      <w:r>
        <w:rPr/>
        <w:t>International Transfer Assessment</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Current architecture</w:t>
      </w:r>
    </w:p>
    <w:p>
      <w:pPr>
        <w:pStyle w:val="BodyText"/>
        <w:bidi w:val="0"/>
        <w:jc w:val="start"/>
        <w:rPr/>
      </w:pPr>
      <w:r>
        <w:rPr/>
        <w:t xml:space="preserve">Primary database: Neon/AWS </w:t>
      </w:r>
      <w:r>
        <w:rPr>
          <w:rStyle w:val="SourceText"/>
        </w:rPr>
        <w:t>us-east-2</w:t>
      </w:r>
      <w:r>
        <w:rPr/>
        <w:t>, Ohio, USA. This is a current cross-border transfer. GCP Asia is planned, not applied/verified.</w:t>
      </w:r>
    </w:p>
    <w:p>
      <w:pPr>
        <w:pStyle w:val="Heading2"/>
        <w:bidi w:val="0"/>
        <w:jc w:val="start"/>
        <w:rPr/>
      </w:pPr>
      <w:r>
        <w:rPr/>
        <w:t>2. Inventory</w:t>
      </w:r>
    </w:p>
    <w:tbl>
      <w:tblPr>
        <w:tblW w:w="8000" w:type="dxa"/>
        <w:jc w:val="start"/>
        <w:tblInd w:w="0" w:type="dxa"/>
        <w:tblLayout w:type="fixed"/>
        <w:tblCellMar>
          <w:top w:w="28" w:type="dxa"/>
          <w:start w:w="28" w:type="dxa"/>
          <w:bottom w:w="28" w:type="dxa"/>
          <w:end w:w="28" w:type="dxa"/>
        </w:tblCellMar>
      </w:tblPr>
      <w:tblGrid>
        <w:gridCol w:w="1356"/>
        <w:gridCol w:w="1827"/>
        <w:gridCol w:w="1984"/>
        <w:gridCol w:w="2833"/>
      </w:tblGrid>
      <w:tr>
        <w:trPr>
          <w:tblHeader w:val="true"/>
        </w:trPr>
        <w:tc>
          <w:tcPr>
            <w:tcW w:w="1356" w:type="dxa"/>
            <w:tcBorders/>
            <w:vAlign w:val="center"/>
          </w:tcPr>
          <w:p>
            <w:pPr>
              <w:pStyle w:val="TableHeading"/>
              <w:suppressLineNumbers/>
              <w:shd w:fill="173F35" w:val="clear"/>
              <w:bidi w:val="0"/>
              <w:spacing w:before="0" w:after="160"/>
              <w:jc w:val="start"/>
              <w:rPr/>
            </w:pPr>
            <w:r>
              <w:rPr/>
              <w:t>Recipient</w:t>
            </w:r>
          </w:p>
        </w:tc>
        <w:tc>
          <w:tcPr>
            <w:tcW w:w="1827" w:type="dxa"/>
            <w:tcBorders/>
            <w:vAlign w:val="center"/>
          </w:tcPr>
          <w:p>
            <w:pPr>
              <w:pStyle w:val="TableHeading"/>
              <w:suppressLineNumbers/>
              <w:shd w:fill="173F35" w:val="clear"/>
              <w:bidi w:val="0"/>
              <w:spacing w:before="0" w:after="160"/>
              <w:jc w:val="start"/>
              <w:rPr/>
            </w:pPr>
            <w:r>
              <w:rPr/>
              <w:t>Region</w:t>
            </w:r>
          </w:p>
        </w:tc>
        <w:tc>
          <w:tcPr>
            <w:tcW w:w="1984" w:type="dxa"/>
            <w:tcBorders/>
            <w:vAlign w:val="center"/>
          </w:tcPr>
          <w:p>
            <w:pPr>
              <w:pStyle w:val="TableHeading"/>
              <w:suppressLineNumbers/>
              <w:shd w:fill="173F35" w:val="clear"/>
              <w:bidi w:val="0"/>
              <w:spacing w:before="0" w:after="160"/>
              <w:jc w:val="start"/>
              <w:rPr/>
            </w:pPr>
            <w:r>
              <w:rPr/>
              <w:t>Data</w:t>
            </w:r>
          </w:p>
        </w:tc>
        <w:tc>
          <w:tcPr>
            <w:tcW w:w="2833" w:type="dxa"/>
            <w:tcBorders/>
            <w:vAlign w:val="center"/>
          </w:tcPr>
          <w:p>
            <w:pPr>
              <w:pStyle w:val="TableHeading"/>
              <w:suppressLineNumbers/>
              <w:shd w:fill="173F35" w:val="clear"/>
              <w:bidi w:val="0"/>
              <w:spacing w:before="0" w:after="160"/>
              <w:jc w:val="start"/>
              <w:rPr/>
            </w:pPr>
            <w:r>
              <w:rPr/>
              <w:t>Status/action</w:t>
            </w:r>
          </w:p>
        </w:tc>
      </w:tr>
      <w:tr>
        <w:trPr/>
        <w:tc>
          <w:tcPr>
            <w:tcW w:w="1356" w:type="dxa"/>
            <w:tcBorders/>
            <w:vAlign w:val="center"/>
          </w:tcPr>
          <w:p>
            <w:pPr>
              <w:pStyle w:val="TableContents"/>
              <w:bidi w:val="0"/>
              <w:spacing w:before="0" w:after="160"/>
              <w:jc w:val="start"/>
              <w:rPr/>
            </w:pPr>
            <w:r>
              <w:rPr/>
              <w:t>Neon/AWS</w:t>
            </w:r>
          </w:p>
        </w:tc>
        <w:tc>
          <w:tcPr>
            <w:tcW w:w="1827" w:type="dxa"/>
            <w:tcBorders/>
            <w:vAlign w:val="center"/>
          </w:tcPr>
          <w:p>
            <w:pPr>
              <w:pStyle w:val="TableContents"/>
              <w:bidi w:val="0"/>
              <w:spacing w:before="0" w:after="160"/>
              <w:jc w:val="start"/>
              <w:rPr/>
            </w:pPr>
            <w:r>
              <w:rPr/>
              <w:t>USA</w:t>
            </w:r>
          </w:p>
        </w:tc>
        <w:tc>
          <w:tcPr>
            <w:tcW w:w="1984" w:type="dxa"/>
            <w:tcBorders/>
            <w:vAlign w:val="center"/>
          </w:tcPr>
          <w:p>
            <w:pPr>
              <w:pStyle w:val="TableContents"/>
              <w:bidi w:val="0"/>
              <w:spacing w:before="0" w:after="160"/>
              <w:jc w:val="start"/>
              <w:rPr/>
            </w:pPr>
            <w:r>
              <w:rPr/>
              <w:t>Operational Merchant/end-customer data</w:t>
            </w:r>
          </w:p>
        </w:tc>
        <w:tc>
          <w:tcPr>
            <w:tcW w:w="2833" w:type="dxa"/>
            <w:tcBorders/>
            <w:vAlign w:val="center"/>
          </w:tcPr>
          <w:p>
            <w:pPr>
              <w:pStyle w:val="TableContents"/>
              <w:bidi w:val="0"/>
              <w:spacing w:before="0" w:after="160"/>
              <w:jc w:val="start"/>
              <w:rPr/>
            </w:pPr>
            <w:r>
              <w:rPr/>
              <w:t>Active; review DPA, subprocessors, security, government access, deletion</w:t>
            </w:r>
          </w:p>
        </w:tc>
      </w:tr>
      <w:tr>
        <w:trPr/>
        <w:tc>
          <w:tcPr>
            <w:tcW w:w="1356" w:type="dxa"/>
            <w:tcBorders/>
            <w:vAlign w:val="center"/>
          </w:tcPr>
          <w:p>
            <w:pPr>
              <w:pStyle w:val="TableContents"/>
              <w:bidi w:val="0"/>
              <w:spacing w:before="0" w:after="160"/>
              <w:jc w:val="start"/>
              <w:rPr/>
            </w:pPr>
            <w:r>
              <w:rPr/>
              <w:t>Stripe</w:t>
            </w:r>
          </w:p>
        </w:tc>
        <w:tc>
          <w:tcPr>
            <w:tcW w:w="1827" w:type="dxa"/>
            <w:tcBorders/>
            <w:vAlign w:val="center"/>
          </w:tcPr>
          <w:p>
            <w:pPr>
              <w:pStyle w:val="TableContents"/>
              <w:bidi w:val="0"/>
              <w:spacing w:before="0" w:after="160"/>
              <w:jc w:val="start"/>
              <w:rPr/>
            </w:pPr>
            <w:r>
              <w:rPr/>
              <w:t>Provider regions</w:t>
            </w:r>
          </w:p>
        </w:tc>
        <w:tc>
          <w:tcPr>
            <w:tcW w:w="1984" w:type="dxa"/>
            <w:tcBorders/>
            <w:vAlign w:val="center"/>
          </w:tcPr>
          <w:p>
            <w:pPr>
              <w:pStyle w:val="TableContents"/>
              <w:bidi w:val="0"/>
              <w:spacing w:before="0" w:after="160"/>
              <w:jc w:val="start"/>
              <w:rPr/>
            </w:pPr>
            <w:r>
              <w:rPr/>
              <w:t>Merchant billing/payment metadata</w:t>
            </w:r>
          </w:p>
        </w:tc>
        <w:tc>
          <w:tcPr>
            <w:tcW w:w="2833" w:type="dxa"/>
            <w:tcBorders/>
            <w:vAlign w:val="center"/>
          </w:tcPr>
          <w:p>
            <w:pPr>
              <w:pStyle w:val="TableContents"/>
              <w:bidi w:val="0"/>
              <w:spacing w:before="0" w:after="160"/>
              <w:jc w:val="start"/>
              <w:rPr/>
            </w:pPr>
            <w:r>
              <w:rPr/>
              <w:t>Not active for authorised charges; verify Thailand contract, DPA and payment-controller role</w:t>
            </w:r>
          </w:p>
        </w:tc>
      </w:tr>
      <w:tr>
        <w:trPr/>
        <w:tc>
          <w:tcPr>
            <w:tcW w:w="1356" w:type="dxa"/>
            <w:tcBorders/>
            <w:vAlign w:val="center"/>
          </w:tcPr>
          <w:p>
            <w:pPr>
              <w:pStyle w:val="TableContents"/>
              <w:bidi w:val="0"/>
              <w:spacing w:before="0" w:after="160"/>
              <w:jc w:val="start"/>
              <w:rPr/>
            </w:pPr>
            <w:r>
              <w:rPr/>
              <w:t>Google Cloud</w:t>
            </w:r>
          </w:p>
        </w:tc>
        <w:tc>
          <w:tcPr>
            <w:tcW w:w="1827" w:type="dxa"/>
            <w:tcBorders/>
            <w:vAlign w:val="center"/>
          </w:tcPr>
          <w:p>
            <w:pPr>
              <w:pStyle w:val="TableContents"/>
              <w:bidi w:val="0"/>
              <w:spacing w:before="0" w:after="160"/>
              <w:jc w:val="start"/>
              <w:rPr/>
            </w:pPr>
            <w:r>
              <w:rPr/>
              <w:t>Planned Asia/global support</w:t>
            </w:r>
          </w:p>
        </w:tc>
        <w:tc>
          <w:tcPr>
            <w:tcW w:w="1984" w:type="dxa"/>
            <w:tcBorders/>
            <w:vAlign w:val="center"/>
          </w:tcPr>
          <w:p>
            <w:pPr>
              <w:pStyle w:val="TableContents"/>
              <w:bidi w:val="0"/>
              <w:spacing w:before="0" w:after="160"/>
              <w:jc w:val="start"/>
              <w:rPr/>
            </w:pPr>
            <w:r>
              <w:rPr/>
              <w:t>Logs/objects/future DB</w:t>
            </w:r>
          </w:p>
        </w:tc>
        <w:tc>
          <w:tcPr>
            <w:tcW w:w="2833" w:type="dxa"/>
            <w:tcBorders/>
            <w:vAlign w:val="center"/>
          </w:tcPr>
          <w:p>
            <w:pPr>
              <w:pStyle w:val="TableContents"/>
              <w:bidi w:val="0"/>
              <w:spacing w:before="0" w:after="160"/>
              <w:jc w:val="start"/>
              <w:rPr/>
            </w:pPr>
            <w:r>
              <w:rPr/>
              <w:t>Not active; verify services, entity, support access and region before transfer</w:t>
            </w:r>
          </w:p>
        </w:tc>
      </w:tr>
      <w:tr>
        <w:trPr/>
        <w:tc>
          <w:tcPr>
            <w:tcW w:w="1356" w:type="dxa"/>
            <w:tcBorders/>
            <w:vAlign w:val="center"/>
          </w:tcPr>
          <w:p>
            <w:pPr>
              <w:pStyle w:val="TableContents"/>
              <w:bidi w:val="0"/>
              <w:spacing w:before="0" w:after="160"/>
              <w:jc w:val="start"/>
              <w:rPr/>
            </w:pPr>
            <w:r>
              <w:rPr/>
              <w:t>Resend</w:t>
            </w:r>
          </w:p>
        </w:tc>
        <w:tc>
          <w:tcPr>
            <w:tcW w:w="1827" w:type="dxa"/>
            <w:tcBorders/>
            <w:vAlign w:val="center"/>
          </w:tcPr>
          <w:p>
            <w:pPr>
              <w:pStyle w:val="TableContents"/>
              <w:bidi w:val="0"/>
              <w:spacing w:before="0" w:after="160"/>
              <w:jc w:val="start"/>
              <w:rPr/>
            </w:pPr>
            <w:r>
              <w:rPr/>
              <w:t>Provider regions</w:t>
            </w:r>
          </w:p>
        </w:tc>
        <w:tc>
          <w:tcPr>
            <w:tcW w:w="1984" w:type="dxa"/>
            <w:tcBorders/>
            <w:vAlign w:val="center"/>
          </w:tcPr>
          <w:p>
            <w:pPr>
              <w:pStyle w:val="TableContents"/>
              <w:bidi w:val="0"/>
              <w:spacing w:before="0" w:after="160"/>
              <w:jc w:val="start"/>
              <w:rPr/>
            </w:pPr>
            <w:r>
              <w:rPr/>
              <w:t>Proposed Merchant email/name and transactional message</w:t>
            </w:r>
          </w:p>
        </w:tc>
        <w:tc>
          <w:tcPr>
            <w:tcW w:w="2833" w:type="dxa"/>
            <w:tcBorders/>
            <w:vAlign w:val="center"/>
          </w:tcPr>
          <w:p>
            <w:pPr>
              <w:pStyle w:val="TableContents"/>
              <w:bidi w:val="0"/>
              <w:spacing w:before="0" w:after="160"/>
              <w:jc w:val="start"/>
              <w:rPr/>
            </w:pPr>
            <w:r>
              <w:rPr/>
              <w:t>Not active; verify entity, region, retention and transfer terms</w:t>
            </w:r>
          </w:p>
        </w:tc>
      </w:tr>
      <w:tr>
        <w:trPr/>
        <w:tc>
          <w:tcPr>
            <w:tcW w:w="1356" w:type="dxa"/>
            <w:tcBorders/>
            <w:vAlign w:val="center"/>
          </w:tcPr>
          <w:p>
            <w:pPr>
              <w:pStyle w:val="TableContents"/>
              <w:bidi w:val="0"/>
              <w:spacing w:before="0" w:after="160"/>
              <w:jc w:val="start"/>
              <w:rPr/>
            </w:pPr>
            <w:r>
              <w:rPr/>
              <w:t>OpenAI</w:t>
            </w:r>
          </w:p>
        </w:tc>
        <w:tc>
          <w:tcPr>
            <w:tcW w:w="1827" w:type="dxa"/>
            <w:tcBorders/>
            <w:vAlign w:val="center"/>
          </w:tcPr>
          <w:p>
            <w:pPr>
              <w:pStyle w:val="TableContents"/>
              <w:bidi w:val="0"/>
              <w:spacing w:before="0" w:after="160"/>
              <w:jc w:val="start"/>
              <w:rPr/>
            </w:pPr>
            <w:r>
              <w:rPr/>
              <w:t>Provider regions</w:t>
            </w:r>
          </w:p>
        </w:tc>
        <w:tc>
          <w:tcPr>
            <w:tcW w:w="1984" w:type="dxa"/>
            <w:tcBorders/>
            <w:vAlign w:val="center"/>
          </w:tcPr>
          <w:p>
            <w:pPr>
              <w:pStyle w:val="TableContents"/>
              <w:bidi w:val="0"/>
              <w:spacing w:before="0" w:after="160"/>
              <w:jc w:val="start"/>
              <w:rPr/>
            </w:pPr>
            <w:r>
              <w:rPr/>
              <w:t>Proposed AI prompts, context and output</w:t>
            </w:r>
          </w:p>
        </w:tc>
        <w:tc>
          <w:tcPr>
            <w:tcW w:w="2833" w:type="dxa"/>
            <w:tcBorders/>
            <w:vAlign w:val="center"/>
          </w:tcPr>
          <w:p>
            <w:pPr>
              <w:pStyle w:val="TableContents"/>
              <w:bidi w:val="0"/>
              <w:spacing w:before="0" w:after="160"/>
              <w:jc w:val="start"/>
              <w:rPr/>
            </w:pPr>
            <w:r>
              <w:rPr/>
              <w:t>Not active; verify entity, region, retention, training controls and transfer safeguards</w:t>
            </w:r>
          </w:p>
        </w:tc>
      </w:tr>
      <w:tr>
        <w:trPr/>
        <w:tc>
          <w:tcPr>
            <w:tcW w:w="1356" w:type="dxa"/>
            <w:tcBorders/>
            <w:vAlign w:val="center"/>
          </w:tcPr>
          <w:p>
            <w:pPr>
              <w:pStyle w:val="TableContents"/>
              <w:bidi w:val="0"/>
              <w:spacing w:before="0" w:after="160"/>
              <w:jc w:val="start"/>
              <w:rPr/>
            </w:pPr>
            <w:r>
              <w:rPr/>
              <w:t>xAI</w:t>
            </w:r>
          </w:p>
        </w:tc>
        <w:tc>
          <w:tcPr>
            <w:tcW w:w="1827" w:type="dxa"/>
            <w:tcBorders/>
            <w:vAlign w:val="center"/>
          </w:tcPr>
          <w:p>
            <w:pPr>
              <w:pStyle w:val="TableContents"/>
              <w:bidi w:val="0"/>
              <w:spacing w:before="0" w:after="160"/>
              <w:jc w:val="start"/>
              <w:rPr/>
            </w:pPr>
            <w:r>
              <w:rPr/>
              <w:t>Provider regions, currently documented as US for Voice</w:t>
            </w:r>
          </w:p>
        </w:tc>
        <w:tc>
          <w:tcPr>
            <w:tcW w:w="1984" w:type="dxa"/>
            <w:tcBorders/>
            <w:vAlign w:val="center"/>
          </w:tcPr>
          <w:p>
            <w:pPr>
              <w:pStyle w:val="TableContents"/>
              <w:bidi w:val="0"/>
              <w:spacing w:before="0" w:after="160"/>
              <w:jc w:val="start"/>
              <w:rPr/>
            </w:pPr>
            <w:r>
              <w:rPr/>
              <w:t>Proposed AI prompts, context, output, audio and transcripts</w:t>
            </w:r>
          </w:p>
        </w:tc>
        <w:tc>
          <w:tcPr>
            <w:tcW w:w="2833" w:type="dxa"/>
            <w:tcBorders/>
            <w:vAlign w:val="center"/>
          </w:tcPr>
          <w:p>
            <w:pPr>
              <w:pStyle w:val="TableContents"/>
              <w:bidi w:val="0"/>
              <w:spacing w:before="0" w:after="160"/>
              <w:jc w:val="start"/>
              <w:rPr/>
            </w:pPr>
            <w:r>
              <w:rPr/>
              <w:t>Not active; verify entity, exact region, retention, training controls and transfer safeguards</w:t>
            </w:r>
          </w:p>
        </w:tc>
      </w:tr>
      <w:tr>
        <w:trPr/>
        <w:tc>
          <w:tcPr>
            <w:tcW w:w="1356" w:type="dxa"/>
            <w:tcBorders/>
            <w:vAlign w:val="center"/>
          </w:tcPr>
          <w:p>
            <w:pPr>
              <w:pStyle w:val="TableContents"/>
              <w:bidi w:val="0"/>
              <w:spacing w:before="0" w:after="160"/>
              <w:jc w:val="start"/>
              <w:rPr/>
            </w:pPr>
            <w:r>
              <w:rPr/>
              <w:t>Google Live or OpenAI Realtime</w:t>
            </w:r>
          </w:p>
        </w:tc>
        <w:tc>
          <w:tcPr>
            <w:tcW w:w="1827" w:type="dxa"/>
            <w:tcBorders/>
            <w:vAlign w:val="center"/>
          </w:tcPr>
          <w:p>
            <w:pPr>
              <w:pStyle w:val="TableContents"/>
              <w:bidi w:val="0"/>
              <w:spacing w:before="0" w:after="160"/>
              <w:jc w:val="start"/>
              <w:rPr/>
            </w:pPr>
            <w:r>
              <w:rPr/>
              <w:t>Provider regions</w:t>
            </w:r>
          </w:p>
        </w:tc>
        <w:tc>
          <w:tcPr>
            <w:tcW w:w="1984" w:type="dxa"/>
            <w:tcBorders/>
            <w:vAlign w:val="center"/>
          </w:tcPr>
          <w:p>
            <w:pPr>
              <w:pStyle w:val="TableContents"/>
              <w:bidi w:val="0"/>
              <w:spacing w:before="0" w:after="160"/>
              <w:jc w:val="start"/>
              <w:rPr/>
            </w:pPr>
            <w:r>
              <w:rPr/>
              <w:t>Proposed Voice audio, transcripts and session instructions</w:t>
            </w:r>
          </w:p>
        </w:tc>
        <w:tc>
          <w:tcPr>
            <w:tcW w:w="2833" w:type="dxa"/>
            <w:tcBorders/>
            <w:vAlign w:val="center"/>
          </w:tcPr>
          <w:p>
            <w:pPr>
              <w:pStyle w:val="TableContents"/>
              <w:bidi w:val="0"/>
              <w:spacing w:before="0" w:after="160"/>
              <w:jc w:val="start"/>
              <w:rPr/>
            </w:pPr>
            <w:r>
              <w:rPr/>
              <w:t>Not active; select one approved route and verify the same controls before transfer</w:t>
            </w:r>
          </w:p>
        </w:tc>
      </w:tr>
      <w:tr>
        <w:trPr/>
        <w:tc>
          <w:tcPr>
            <w:tcW w:w="1356" w:type="dxa"/>
            <w:tcBorders/>
            <w:vAlign w:val="center"/>
          </w:tcPr>
          <w:p>
            <w:pPr>
              <w:pStyle w:val="TableContents"/>
              <w:bidi w:val="0"/>
              <w:spacing w:before="0" w:after="160"/>
              <w:jc w:val="start"/>
              <w:rPr/>
            </w:pPr>
            <w:r>
              <w:rPr/>
              <w:t>Partner</w:t>
            </w:r>
          </w:p>
        </w:tc>
        <w:tc>
          <w:tcPr>
            <w:tcW w:w="1827" w:type="dxa"/>
            <w:tcBorders/>
            <w:vAlign w:val="center"/>
          </w:tcPr>
          <w:p>
            <w:pPr>
              <w:pStyle w:val="TableContents"/>
              <w:bidi w:val="0"/>
              <w:spacing w:before="0" w:after="160"/>
              <w:jc w:val="start"/>
              <w:rPr/>
            </w:pPr>
            <w:r>
              <w:rPr/>
              <w:t>None</w:t>
            </w:r>
          </w:p>
        </w:tc>
        <w:tc>
          <w:tcPr>
            <w:tcW w:w="1984" w:type="dxa"/>
            <w:tcBorders/>
            <w:vAlign w:val="center"/>
          </w:tcPr>
          <w:p>
            <w:pPr>
              <w:pStyle w:val="TableContents"/>
              <w:bidi w:val="0"/>
              <w:spacing w:before="0" w:after="160"/>
              <w:jc w:val="start"/>
              <w:rPr/>
            </w:pPr>
            <w:r>
              <w:rPr/>
              <w:t>Contact details</w:t>
            </w:r>
          </w:p>
        </w:tc>
        <w:tc>
          <w:tcPr>
            <w:tcW w:w="2833" w:type="dxa"/>
            <w:tcBorders/>
            <w:vAlign w:val="center"/>
          </w:tcPr>
          <w:p>
            <w:pPr>
              <w:pStyle w:val="TableContents"/>
              <w:bidi w:val="0"/>
              <w:spacing w:before="0" w:after="160"/>
              <w:jc w:val="start"/>
              <w:rPr/>
            </w:pPr>
            <w:r>
              <w:rPr/>
              <w:t>Disabled</w:t>
            </w:r>
          </w:p>
        </w:tc>
      </w:tr>
    </w:tbl>
    <w:p>
      <w:pPr>
        <w:pStyle w:val="BodyText"/>
        <w:bidi w:val="0"/>
        <w:jc w:val="start"/>
        <w:rPr/>
      </w:pPr>
      <w:r>
        <w:rPr/>
        <w:t>Social providers are excluded from the initial release and are not transfer recipients.</w:t>
      </w:r>
    </w:p>
    <w:p>
      <w:pPr>
        <w:pStyle w:val="Heading2"/>
        <w:bidi w:val="0"/>
        <w:jc w:val="start"/>
        <w:rPr/>
      </w:pPr>
      <w:r>
        <w:rPr/>
        <w:t>3. Controls and decision</w:t>
      </w:r>
    </w:p>
    <w:p>
      <w:pPr>
        <w:pStyle w:val="BodyText"/>
        <w:bidi w:val="0"/>
        <w:jc w:val="start"/>
        <w:rPr/>
      </w:pPr>
      <w:r>
        <w:rPr/>
        <w:t>Minimisation, encryption, access restriction, contractual terms, subprocessor transparency, deletion, incident duties and government-access assessment. Publish honest US disclosure now. Claim Asian residency only after independent verification of storage, logs, backups and support access.</w:t>
      </w:r>
    </w:p>
    <w:p>
      <w:pPr>
        <w:pStyle w:val="Heading1"/>
        <w:bidi w:val="0"/>
        <w:jc w:val="start"/>
        <w:rPr/>
      </w:pPr>
      <w:r>
        <w:rPr/>
        <w:t>Vendor and Subprocessor Due-Diligence Standard</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Required file</w:t>
      </w:r>
    </w:p>
    <w:p>
      <w:pPr>
        <w:pStyle w:val="BodyText"/>
        <w:bidi w:val="0"/>
        <w:jc w:val="start"/>
        <w:rPr/>
      </w:pPr>
      <w:r>
        <w:rPr/>
        <w:t>Legal entity, service, data, role, countries, subprocessors, security materials, DPA, breach terms, deletion/retention, support access, government requests, continuity and termination export.</w:t>
      </w:r>
    </w:p>
    <w:p>
      <w:pPr>
        <w:pStyle w:val="Heading2"/>
        <w:bidi w:val="0"/>
        <w:jc w:val="start"/>
        <w:rPr/>
      </w:pPr>
      <w:r>
        <w:rPr/>
        <w:t>2. AI questions</w:t>
      </w:r>
    </w:p>
    <w:p>
      <w:pPr>
        <w:pStyle w:val="BodyText"/>
        <w:bidi w:val="0"/>
        <w:jc w:val="start"/>
        <w:rPr/>
      </w:pPr>
      <w:r>
        <w:rPr/>
        <w:t>Provider training use, prompt/output retention, zero-retention options, human access, abuse monitoring, regions, routing and deletion.</w:t>
      </w:r>
    </w:p>
    <w:p>
      <w:pPr>
        <w:pStyle w:val="Heading2"/>
        <w:bidi w:val="0"/>
        <w:jc w:val="start"/>
        <w:rPr/>
      </w:pPr>
      <w:r>
        <w:rPr/>
        <w:t>3. Voice questions</w:t>
      </w:r>
    </w:p>
    <w:p>
      <w:pPr>
        <w:pStyle w:val="BodyText"/>
        <w:bidi w:val="0"/>
        <w:jc w:val="start"/>
        <w:rPr/>
      </w:pPr>
      <w:r>
        <w:rPr/>
        <w:t>Number ownership, call countries, recording/transcription storage, consent tooling, caller-ID, suppression, lawful interception, emergency limits and deletion.</w:t>
      </w:r>
    </w:p>
    <w:p>
      <w:pPr>
        <w:pStyle w:val="Heading2"/>
        <w:bidi w:val="0"/>
        <w:jc w:val="start"/>
        <w:rPr/>
      </w:pPr>
      <w:r>
        <w:rPr/>
        <w:t>4. Partner questions</w:t>
      </w:r>
    </w:p>
    <w:p>
      <w:pPr>
        <w:pStyle w:val="BodyText"/>
        <w:bidi w:val="0"/>
        <w:jc w:val="start"/>
        <w:rPr/>
      </w:pPr>
      <w:r>
        <w:rPr/>
        <w:t>Purpose, channels, consent, onward sharing, suppression, child/sensitive prohibition, retention, security, complaints and controller contact.</w:t>
      </w:r>
    </w:p>
    <w:p>
      <w:pPr>
        <w:pStyle w:val="Heading2"/>
        <w:bidi w:val="0"/>
        <w:jc w:val="start"/>
        <w:rPr/>
      </w:pPr>
      <w:r>
        <w:rPr/>
        <w:t>5. Rating/review</w:t>
      </w:r>
    </w:p>
    <w:p>
      <w:pPr>
        <w:pStyle w:val="BodyText"/>
        <w:bidi w:val="0"/>
        <w:jc w:val="start"/>
        <w:rPr/>
      </w:pPr>
      <w:r>
        <w:rPr/>
        <w:t>Critical/high/medium/low based on sensitivity, scale, country, access, replacement and impact. Critical/high require privacy, security and management approval. Review onboarding, annually for critical/high, after incidents and before material change.</w:t>
      </w:r>
    </w:p>
    <w:p>
      <w:pPr>
        <w:pStyle w:val="Heading2"/>
        <w:bidi w:val="0"/>
        <w:jc w:val="start"/>
        <w:rPr/>
      </w:pPr>
      <w:r>
        <w:rPr/>
        <w:t>6. Current gaps</w:t>
      </w:r>
    </w:p>
    <w:p>
      <w:pPr>
        <w:pStyle w:val="BodyText"/>
        <w:bidi w:val="0"/>
        <w:jc w:val="start"/>
        <w:rPr/>
      </w:pPr>
      <w:r>
        <w:rPr/>
        <w:t>Email provider, DNS/registrar/TLS role, Neon backup/deletion, Google contracting entity, AI/Voice providers and marketing partners remain unapproved.</w:t>
      </w:r>
    </w:p>
    <w:p>
      <w:pPr>
        <w:pStyle w:val="Heading1"/>
        <w:bidi w:val="0"/>
        <w:jc w:val="start"/>
        <w:rPr/>
      </w:pPr>
      <w:r>
        <w:rPr/>
        <w:t>Personal Data Breach Response Plan</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Reporting</w:t>
      </w:r>
    </w:p>
    <w:p>
      <w:pPr>
        <w:pStyle w:val="BodyText"/>
        <w:bidi w:val="0"/>
        <w:jc w:val="start"/>
        <w:rPr/>
      </w:pPr>
      <w:r>
        <w:rPr/>
        <w:t>Suspected loss, unauthorised access/disclosure/alteration/unavailability, model leakage or suppression failure must be reported immediately to security@djai.academy; do not wait for certainty.</w:t>
      </w:r>
    </w:p>
    <w:p>
      <w:pPr>
        <w:pStyle w:val="Heading2"/>
        <w:bidi w:val="0"/>
        <w:jc w:val="start"/>
        <w:rPr/>
      </w:pPr>
      <w:r>
        <w:rPr/>
        <w:t>2. Team/log</w:t>
      </w:r>
    </w:p>
    <w:p>
      <w:pPr>
        <w:pStyle w:val="BodyText"/>
        <w:bidi w:val="0"/>
        <w:jc w:val="start"/>
        <w:rPr/>
      </w:pPr>
      <w:r>
        <w:rPr/>
        <w:t>Incident lead coordinates security, privacy, engineering, operations, legal and communications. Privacy Lead assesses data risk/notification. Record facts, awareness time, containment, systems and deadlines.</w:t>
      </w:r>
    </w:p>
    <w:p>
      <w:pPr>
        <w:pStyle w:val="Heading2"/>
        <w:bidi w:val="0"/>
        <w:jc w:val="start"/>
        <w:rPr/>
      </w:pPr>
      <w:r>
        <w:rPr/>
        <w:t>3. Immediate actions</w:t>
      </w:r>
    </w:p>
    <w:p>
      <w:pPr>
        <w:pStyle w:val="BodyText"/>
        <w:bidi w:val="0"/>
        <w:jc w:val="start"/>
        <w:rPr/>
      </w:pPr>
      <w:r>
        <w:rPr/>
        <w:t>Preserve evidence; contain accounts/tokens/datasets/providers; identify data/persons/countries/Merchants/time; assess ongoing harm; notify affected Merchant controllers without undue delay.</w:t>
      </w:r>
    </w:p>
    <w:p>
      <w:pPr>
        <w:pStyle w:val="Heading2"/>
        <w:bidi w:val="0"/>
        <w:jc w:val="start"/>
        <w:rPr/>
      </w:pPr>
      <w:r>
        <w:rPr/>
        <w:t>4. Regulatory assessment</w:t>
      </w:r>
    </w:p>
    <w:p>
      <w:pPr>
        <w:pStyle w:val="BodyText"/>
        <w:bidi w:val="0"/>
        <w:jc w:val="start"/>
        <w:rPr/>
      </w:pPr>
      <w:r>
        <w:rPr/>
        <w:t>Assess whether PDPC notification is required within 72 hours after awareness, to the extent feasible, and whether high-risk notice to affected persons is required. Document delayed/non-notification reasons.</w:t>
      </w:r>
    </w:p>
    <w:p>
      <w:pPr>
        <w:pStyle w:val="Heading2"/>
        <w:bidi w:val="0"/>
        <w:jc w:val="start"/>
        <w:rPr/>
      </w:pPr>
      <w:r>
        <w:rPr/>
        <w:t>5. Merchant notice</w:t>
      </w:r>
    </w:p>
    <w:p>
      <w:pPr>
        <w:pStyle w:val="BodyText"/>
        <w:bidi w:val="0"/>
        <w:jc w:val="start"/>
        <w:rPr/>
      </w:pPr>
      <w:r>
        <w:rPr/>
        <w:t>Known nature, categories, approximate persons/records, consequences, measures, recommended actions and contact, with updates as facts develop.</w:t>
      </w:r>
    </w:p>
    <w:p>
      <w:pPr>
        <w:pStyle w:val="Heading2"/>
        <w:bidi w:val="0"/>
        <w:jc w:val="start"/>
        <w:rPr/>
      </w:pPr>
      <w:r>
        <w:rPr/>
        <w:t>6. Providers/special incidents</w:t>
      </w:r>
    </w:p>
    <w:p>
      <w:pPr>
        <w:pStyle w:val="BodyText"/>
        <w:bidi w:val="0"/>
        <w:jc w:val="start"/>
        <w:rPr/>
      </w:pPr>
      <w:r>
        <w:rPr/>
        <w:t>Invoke provider contacts and obtain findings. Suppression failure: halt campaign. Model leakage: quarantine model/dataset. Export exposure: revoke object/token. Tenant isolation failure: suspend affected access and scope cross-tenant records.</w:t>
      </w:r>
    </w:p>
    <w:p>
      <w:pPr>
        <w:pStyle w:val="Heading2"/>
        <w:bidi w:val="0"/>
        <w:jc w:val="start"/>
        <w:rPr/>
      </w:pPr>
      <w:r>
        <w:rPr/>
        <w:t>7. Closure</w:t>
      </w:r>
    </w:p>
    <w:p>
      <w:pPr>
        <w:pStyle w:val="BodyText"/>
        <w:bidi w:val="0"/>
        <w:jc w:val="start"/>
        <w:rPr/>
      </w:pPr>
      <w:r>
        <w:rPr/>
        <w:t>Close after containment, decisions, remediation, lessons, owners and verification. Retain incident records seven years or longer under hold.</w:t>
      </w:r>
    </w:p>
    <w:p>
      <w:pPr>
        <w:pStyle w:val="Heading1"/>
        <w:bidi w:val="0"/>
        <w:jc w:val="start"/>
        <w:rPr/>
      </w:pPr>
      <w:r>
        <w:rPr/>
        <w:t>Children and Sensitive Data Policy</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Default</w:t>
      </w:r>
    </w:p>
    <w:p>
      <w:pPr>
        <w:pStyle w:val="BodyText"/>
        <w:bidi w:val="0"/>
        <w:jc w:val="start"/>
        <w:rPr/>
      </w:pPr>
      <w:r>
        <w:rPr/>
        <w:t>Standard plans are not designed to intentionally collect children or sensitive data. Family/regulated businesses may use low-risk administrative enquiries unless separately approved.</w:t>
      </w:r>
    </w:p>
    <w:p>
      <w:pPr>
        <w:pStyle w:val="Heading2"/>
        <w:bidi w:val="0"/>
        <w:jc w:val="start"/>
        <w:rPr/>
      </w:pPr>
      <w:r>
        <w:rPr/>
        <w:t>2. Children</w:t>
      </w:r>
    </w:p>
    <w:p>
      <w:pPr>
        <w:pStyle w:val="BodyText"/>
        <w:bidi w:val="0"/>
        <w:jc w:val="start"/>
        <w:rPr/>
      </w:pPr>
      <w:r>
        <w:rPr/>
        <w:t>Child-directed bots require age/guardian flow, notice, lawful consent, minimisation and counsel approval. Preferred standard flow asks a parent/guardian to submit contact. Known child conversations are excluded from model development.</w:t>
      </w:r>
    </w:p>
    <w:p>
      <w:pPr>
        <w:pStyle w:val="Heading2"/>
        <w:bidi w:val="0"/>
        <w:jc w:val="start"/>
        <w:rPr/>
      </w:pPr>
      <w:r>
        <w:rPr/>
        <w:t>3. Sensitive data</w:t>
      </w:r>
    </w:p>
    <w:p>
      <w:pPr>
        <w:pStyle w:val="BodyText"/>
        <w:bidi w:val="0"/>
        <w:jc w:val="start"/>
        <w:rPr/>
      </w:pPr>
      <w:r>
        <w:rPr/>
        <w:t>No intentional request for racial/ethnic origin, politics, religion/philosophy, sexual behaviour, criminal records, health/disability, union, genetic, biometric or other sensitive categories in standard plans.</w:t>
      </w:r>
    </w:p>
    <w:p>
      <w:pPr>
        <w:pStyle w:val="Heading2"/>
        <w:bidi w:val="0"/>
        <w:jc w:val="start"/>
        <w:rPr/>
      </w:pPr>
      <w:r>
        <w:rPr/>
        <w:t>4. Regulated sectors</w:t>
      </w:r>
    </w:p>
    <w:p>
      <w:pPr>
        <w:pStyle w:val="BodyText"/>
        <w:bidi w:val="0"/>
        <w:jc w:val="start"/>
        <w:rPr/>
      </w:pPr>
      <w:r>
        <w:rPr/>
        <w:t>Healthcare, legal, finance, insurance, recruitment and education may use FAQs, hours, service descriptions, appointments and human contact. No diagnosis, prescription, eligibility decision, rejection or final professional advice.</w:t>
      </w:r>
    </w:p>
    <w:p>
      <w:pPr>
        <w:pStyle w:val="Heading2"/>
        <w:bidi w:val="0"/>
        <w:jc w:val="start"/>
        <w:rPr/>
      </w:pPr>
      <w:r>
        <w:rPr/>
        <w:t>5. Credentials/payment</w:t>
      </w:r>
    </w:p>
    <w:p>
      <w:pPr>
        <w:pStyle w:val="BodyText"/>
        <w:bidi w:val="0"/>
        <w:jc w:val="start"/>
        <w:rPr/>
      </w:pPr>
      <w:r>
        <w:rPr/>
        <w:t>Passwords, PINs, OTPs, private keys, full card numbers, CVV and online-banking credentials are prohibited. Stripe-hosted checkout is used for subscription payment.</w:t>
      </w:r>
    </w:p>
    <w:p>
      <w:pPr>
        <w:pStyle w:val="Heading2"/>
        <w:bidi w:val="0"/>
        <w:jc w:val="start"/>
        <w:rPr/>
      </w:pPr>
      <w:r>
        <w:rPr/>
        <w:t>6. Unexpected data</w:t>
      </w:r>
    </w:p>
    <w:p>
      <w:pPr>
        <w:pStyle w:val="BodyText"/>
        <w:bidi w:val="0"/>
        <w:jc w:val="start"/>
        <w:rPr/>
      </w:pPr>
      <w:r>
        <w:rPr/>
        <w:t>Restrict access, notify Merchant where appropriate and delete/restrict under incident/legal-hold process.</w:t>
      </w:r>
    </w:p>
    <w:p>
      <w:pPr>
        <w:pStyle w:val="Heading1"/>
        <w:bidi w:val="0"/>
        <w:jc w:val="start"/>
        <w:rPr/>
      </w:pPr>
      <w:r>
        <w:rPr/>
        <w:t>Merchant Registration and Bot Publication Controls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Registration checkbox</w:t>
      </w:r>
    </w:p>
    <w:p>
      <w:pPr>
        <w:pStyle w:val="BodyText"/>
        <w:bidi w:val="0"/>
        <w:jc w:val="start"/>
        <w:rPr/>
      </w:pPr>
      <w:r>
        <w:rPr/>
        <w:t>"I confirm that I am authorised to bind the Merchant. I agree to the Terms of Service and Data Processing Agreement and acknowledge that I have read the Privacy Notice."</w:t>
      </w:r>
    </w:p>
    <w:p>
      <w:pPr>
        <w:pStyle w:val="BodyText"/>
        <w:bidi w:val="0"/>
        <w:jc w:val="start"/>
        <w:rPr/>
      </w:pPr>
      <w:r>
        <w:rPr/>
        <w:t>Record Merchant, user, authority confirmation, timestamp, IP/user agent, Terms/DPA/Privacy versions, exact text/hash and event ID.</w:t>
      </w:r>
    </w:p>
    <w:p>
      <w:pPr>
        <w:pStyle w:val="Heading2"/>
        <w:bidi w:val="0"/>
        <w:jc w:val="start"/>
        <w:rPr/>
      </w:pPr>
      <w:r>
        <w:rPr/>
        <w:t>2. Publication checklist</w:t>
      </w:r>
    </w:p>
    <w:p>
      <w:pPr>
        <w:pStyle w:val="BodyText"/>
        <w:bidi w:val="0"/>
        <w:jc w:val="start"/>
        <w:rPr/>
      </w:pPr>
      <w:r>
        <w:rPr/>
        <w:t>Merchant identity/contact displayed; Merchant and Deejai notices linked; optional controls separate/unticked; core chat works without optional consent; no passwords/OTP/full cards/ID docs; no intentional sensitive/child data; marketing separate; content/prices/contact accurate; human help available.</w:t>
      </w:r>
    </w:p>
    <w:p>
      <w:pPr>
        <w:pStyle w:val="Heading2"/>
        <w:bidi w:val="0"/>
        <w:jc w:val="start"/>
        <w:rPr/>
      </w:pPr>
      <w:r>
        <w:rPr/>
        <w:t>3. Plan controls</w:t>
      </w:r>
    </w:p>
    <w:p>
      <w:pPr>
        <w:pStyle w:val="BodyText"/>
        <w:bidi w:val="0"/>
        <w:jc w:val="start"/>
        <w:rPr/>
      </w:pPr>
      <w:r>
        <w:rPr/>
        <w:t>Every Starter and Advanced tier uses the same privacy boundary: Deejai marketing and model-development choices are separate and optional, partner choice is disabled, and the Merchant has the approved model-development disable control. A higher tier never expands Deejai's data-use permission.</w:t>
      </w:r>
    </w:p>
    <w:p>
      <w:pPr>
        <w:pStyle w:val="Heading2"/>
        <w:bidi w:val="0"/>
        <w:jc w:val="start"/>
        <w:rPr/>
      </w:pPr>
      <w:r>
        <w:rPr/>
        <w:t>4. Domains/legal gate</w:t>
      </w:r>
    </w:p>
    <w:p>
      <w:pPr>
        <w:pStyle w:val="BodyText"/>
        <w:bidi w:val="0"/>
        <w:jc w:val="start"/>
        <w:rPr/>
      </w:pPr>
      <w:r>
        <w:rPr/>
        <w:t>Any package-specific domain/origin limit must come from the accepted catalogue and be technically enforced. Registration/publication fails closed if the legal bundle is missing, unapproved, expired or hash-mismatched.</w:t>
      </w:r>
    </w:p>
    <w:p>
      <w:pPr>
        <w:pStyle w:val="Heading1"/>
        <w:bidi w:val="0"/>
        <w:jc w:val="start"/>
        <w:rPr/>
      </w:pPr>
      <w:r>
        <w:rPr/>
        <w:t>Current-State Disclosure and Launch Conditions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Current facts</w:t>
      </w:r>
    </w:p>
    <w:p>
      <w:pPr>
        <w:pStyle w:val="BodyText"/>
        <w:bidi w:val="0"/>
        <w:jc w:val="start"/>
        <w:rPr/>
      </w:pPr>
      <w:r>
        <w:rPr/>
        <w:t>Until a Readiness Certificate says otherwise:</w:t>
      </w:r>
    </w:p>
    <w:p>
      <w:pPr>
        <w:pStyle w:val="BodyText"/>
        <w:numPr>
          <w:ilvl w:val="0"/>
          <w:numId w:val="8"/>
        </w:numPr>
        <w:tabs>
          <w:tab w:val="clear" w:pos="1134"/>
          <w:tab w:val="left" w:pos="709" w:leader="none"/>
        </w:tabs>
        <w:bidi w:val="0"/>
        <w:spacing w:before="0" w:after="0"/>
        <w:ind w:hanging="283" w:start="709"/>
        <w:jc w:val="start"/>
        <w:rPr/>
      </w:pPr>
      <w:r>
        <w:rPr/>
        <w:t>Primary data is Neon/AWS Ohio, USA.</w:t>
      </w:r>
    </w:p>
    <w:p>
      <w:pPr>
        <w:pStyle w:val="BodyText"/>
        <w:numPr>
          <w:ilvl w:val="0"/>
          <w:numId w:val="8"/>
        </w:numPr>
        <w:tabs>
          <w:tab w:val="clear" w:pos="1134"/>
          <w:tab w:val="left" w:pos="709" w:leader="none"/>
        </w:tabs>
        <w:bidi w:val="0"/>
        <w:spacing w:before="0" w:after="0"/>
        <w:ind w:hanging="283" w:start="709"/>
        <w:jc w:val="start"/>
        <w:rPr/>
      </w:pPr>
      <w:r>
        <w:rPr/>
        <w:t>GCP Asia is planned, not applied/verified.</w:t>
      </w:r>
    </w:p>
    <w:p>
      <w:pPr>
        <w:pStyle w:val="BodyText"/>
        <w:numPr>
          <w:ilvl w:val="0"/>
          <w:numId w:val="8"/>
        </w:numPr>
        <w:tabs>
          <w:tab w:val="clear" w:pos="1134"/>
          <w:tab w:val="left" w:pos="709" w:leader="none"/>
        </w:tabs>
        <w:bidi w:val="0"/>
        <w:spacing w:before="0" w:after="0"/>
        <w:ind w:hanging="283" w:start="709"/>
        <w:jc w:val="start"/>
        <w:rPr/>
      </w:pPr>
      <w:r>
        <w:rPr/>
        <w:t>Transcript default 365; customer-facing Merchant API range 30-730.</w:t>
      </w:r>
    </w:p>
    <w:p>
      <w:pPr>
        <w:pStyle w:val="BodyText"/>
        <w:numPr>
          <w:ilvl w:val="0"/>
          <w:numId w:val="8"/>
        </w:numPr>
        <w:tabs>
          <w:tab w:val="clear" w:pos="1134"/>
          <w:tab w:val="left" w:pos="709" w:leader="none"/>
        </w:tabs>
        <w:bidi w:val="0"/>
        <w:spacing w:before="0" w:after="0"/>
        <w:ind w:hanging="283" w:start="709"/>
        <w:jc w:val="start"/>
        <w:rPr/>
      </w:pPr>
      <w:r>
        <w:rPr/>
        <w:t>Voice recording disabled/zero.</w:t>
      </w:r>
    </w:p>
    <w:p>
      <w:pPr>
        <w:pStyle w:val="BodyText"/>
        <w:numPr>
          <w:ilvl w:val="0"/>
          <w:numId w:val="8"/>
        </w:numPr>
        <w:tabs>
          <w:tab w:val="clear" w:pos="1134"/>
          <w:tab w:val="left" w:pos="709" w:leader="none"/>
        </w:tabs>
        <w:bidi w:val="0"/>
        <w:spacing w:before="0" w:after="0"/>
        <w:ind w:hanging="283" w:start="709"/>
        <w:jc w:val="start"/>
        <w:rPr/>
      </w:pPr>
      <w:r>
        <w:rPr/>
        <w:t>Privacy links expire seven days; encrypted row not physically purged.</w:t>
      </w:r>
    </w:p>
    <w:p>
      <w:pPr>
        <w:pStyle w:val="BodyText"/>
        <w:numPr>
          <w:ilvl w:val="0"/>
          <w:numId w:val="8"/>
        </w:numPr>
        <w:tabs>
          <w:tab w:val="clear" w:pos="1134"/>
          <w:tab w:val="left" w:pos="709" w:leader="none"/>
        </w:tabs>
        <w:bidi w:val="0"/>
        <w:spacing w:before="0" w:after="0"/>
        <w:ind w:hanging="283" w:start="709"/>
        <w:jc w:val="start"/>
        <w:rPr/>
      </w:pPr>
      <w:r>
        <w:rPr/>
        <w:t>Contacts/leads have no time-based purge.</w:t>
      </w:r>
    </w:p>
    <w:p>
      <w:pPr>
        <w:pStyle w:val="BodyText"/>
        <w:numPr>
          <w:ilvl w:val="0"/>
          <w:numId w:val="8"/>
        </w:numPr>
        <w:tabs>
          <w:tab w:val="clear" w:pos="1134"/>
          <w:tab w:val="left" w:pos="709" w:leader="none"/>
        </w:tabs>
        <w:bidi w:val="0"/>
        <w:spacing w:before="0" w:after="0"/>
        <w:ind w:hanging="283" w:start="709"/>
        <w:jc w:val="start"/>
        <w:rPr/>
      </w:pPr>
      <w:r>
        <w:rPr/>
        <w:t>Closure/read-only/reactivation/purge/app-log/backup schedule is not approved automated behavior.</w:t>
      </w:r>
    </w:p>
    <w:p>
      <w:pPr>
        <w:pStyle w:val="BodyText"/>
        <w:numPr>
          <w:ilvl w:val="0"/>
          <w:numId w:val="8"/>
        </w:numPr>
        <w:tabs>
          <w:tab w:val="clear" w:pos="1134"/>
          <w:tab w:val="left" w:pos="709" w:leader="none"/>
        </w:tabs>
        <w:bidi w:val="0"/>
        <w:ind w:hanging="283" w:start="709"/>
        <w:jc w:val="start"/>
        <w:rPr/>
      </w:pPr>
      <w:r>
        <w:rPr/>
        <w:t>No email, AI, voice, Meta, analytics, Sentry, Cloudflare or partner activation is approved.</w:t>
      </w:r>
    </w:p>
    <w:p>
      <w:pPr>
        <w:pStyle w:val="Heading2"/>
        <w:bidi w:val="0"/>
        <w:jc w:val="start"/>
        <w:rPr/>
      </w:pPr>
      <w:r>
        <w:rPr/>
        <w:t>2. Affected drafting</w:t>
      </w:r>
    </w:p>
    <w:p>
      <w:pPr>
        <w:pStyle w:val="BodyText"/>
        <w:bidi w:val="0"/>
        <w:jc w:val="start"/>
        <w:rPr/>
      </w:pPr>
      <w:r>
        <w:rPr/>
        <w:t>Main Privacy Notice uses current facts. Target Terms/Retention statements are conditional. Interfaces must not present targets as current.</w:t>
      </w:r>
    </w:p>
    <w:p>
      <w:pPr>
        <w:pStyle w:val="Heading2"/>
        <w:bidi w:val="0"/>
        <w:jc w:val="start"/>
        <w:rPr/>
      </w:pPr>
      <w:r>
        <w:rPr/>
        <w:t>3. Launch blockers</w:t>
      </w:r>
    </w:p>
    <w:p>
      <w:pPr>
        <w:pStyle w:val="BodyText"/>
        <w:numPr>
          <w:ilvl w:val="0"/>
          <w:numId w:val="9"/>
        </w:numPr>
        <w:tabs>
          <w:tab w:val="clear" w:pos="1134"/>
          <w:tab w:val="left" w:pos="709" w:leader="none"/>
        </w:tabs>
        <w:bidi w:val="0"/>
        <w:spacing w:before="0" w:after="0"/>
        <w:ind w:hanging="283" w:start="709"/>
        <w:jc w:val="start"/>
        <w:rPr/>
      </w:pPr>
      <w:r>
        <w:rPr/>
        <w:t>Provision support/privacy/legal/security mailboxes.</w:t>
      </w:r>
    </w:p>
    <w:p>
      <w:pPr>
        <w:pStyle w:val="BodyText"/>
        <w:numPr>
          <w:ilvl w:val="0"/>
          <w:numId w:val="9"/>
        </w:numPr>
        <w:tabs>
          <w:tab w:val="clear" w:pos="1134"/>
          <w:tab w:val="left" w:pos="709" w:leader="none"/>
        </w:tabs>
        <w:bidi w:val="0"/>
        <w:spacing w:before="0" w:after="0"/>
        <w:ind w:hanging="283" w:start="709"/>
        <w:jc w:val="start"/>
        <w:rPr/>
      </w:pPr>
      <w:r>
        <w:rPr/>
        <w:t>Enforce three-domain limit.</w:t>
      </w:r>
    </w:p>
    <w:p>
      <w:pPr>
        <w:pStyle w:val="BodyText"/>
        <w:numPr>
          <w:ilvl w:val="0"/>
          <w:numId w:val="9"/>
        </w:numPr>
        <w:tabs>
          <w:tab w:val="clear" w:pos="1134"/>
          <w:tab w:val="left" w:pos="709" w:leader="none"/>
        </w:tabs>
        <w:bidi w:val="0"/>
        <w:spacing w:before="0" w:after="0"/>
        <w:ind w:hanging="283" w:start="709"/>
        <w:jc w:val="start"/>
        <w:rPr/>
      </w:pPr>
      <w:r>
        <w:rPr/>
        <w:t>Implement 24-month contact sweep or retain current notice.</w:t>
      </w:r>
    </w:p>
    <w:p>
      <w:pPr>
        <w:pStyle w:val="BodyText"/>
        <w:numPr>
          <w:ilvl w:val="0"/>
          <w:numId w:val="9"/>
        </w:numPr>
        <w:tabs>
          <w:tab w:val="clear" w:pos="1134"/>
          <w:tab w:val="left" w:pos="709" w:leader="none"/>
        </w:tabs>
        <w:bidi w:val="0"/>
        <w:spacing w:before="0" w:after="0"/>
        <w:ind w:hanging="283" w:start="709"/>
        <w:jc w:val="start"/>
        <w:rPr/>
      </w:pPr>
      <w:r>
        <w:rPr/>
        <w:t>Purge expired export objects.</w:t>
      </w:r>
    </w:p>
    <w:p>
      <w:pPr>
        <w:pStyle w:val="BodyText"/>
        <w:numPr>
          <w:ilvl w:val="0"/>
          <w:numId w:val="9"/>
        </w:numPr>
        <w:tabs>
          <w:tab w:val="clear" w:pos="1134"/>
          <w:tab w:val="left" w:pos="709" w:leader="none"/>
        </w:tabs>
        <w:bidi w:val="0"/>
        <w:spacing w:before="0" w:after="0"/>
        <w:ind w:hanging="283" w:start="709"/>
        <w:jc w:val="start"/>
        <w:rPr/>
      </w:pPr>
      <w:r>
        <w:rPr/>
        <w:t>Implement closure/read-only/purge/reactivation if activated.</w:t>
      </w:r>
    </w:p>
    <w:p>
      <w:pPr>
        <w:pStyle w:val="BodyText"/>
        <w:numPr>
          <w:ilvl w:val="0"/>
          <w:numId w:val="9"/>
        </w:numPr>
        <w:tabs>
          <w:tab w:val="clear" w:pos="1134"/>
          <w:tab w:val="left" w:pos="709" w:leader="none"/>
        </w:tabs>
        <w:bidi w:val="0"/>
        <w:spacing w:before="0" w:after="0"/>
        <w:ind w:hanging="283" w:start="709"/>
        <w:jc w:val="start"/>
        <w:rPr/>
      </w:pPr>
      <w:r>
        <w:rPr/>
        <w:t>Align/verify backup expiry at 30 days after purge.</w:t>
      </w:r>
    </w:p>
    <w:p>
      <w:pPr>
        <w:pStyle w:val="BodyText"/>
        <w:numPr>
          <w:ilvl w:val="0"/>
          <w:numId w:val="9"/>
        </w:numPr>
        <w:tabs>
          <w:tab w:val="clear" w:pos="1134"/>
          <w:tab w:val="left" w:pos="709" w:leader="none"/>
        </w:tabs>
        <w:bidi w:val="0"/>
        <w:spacing w:before="0" w:after="0"/>
        <w:ind w:hanging="283" w:start="709"/>
        <w:jc w:val="start"/>
        <w:rPr/>
      </w:pPr>
      <w:r>
        <w:rPr/>
        <w:t>Confirm 30-day app logs.</w:t>
      </w:r>
    </w:p>
    <w:p>
      <w:pPr>
        <w:pStyle w:val="BodyText"/>
        <w:numPr>
          <w:ilvl w:val="0"/>
          <w:numId w:val="9"/>
        </w:numPr>
        <w:tabs>
          <w:tab w:val="clear" w:pos="1134"/>
          <w:tab w:val="left" w:pos="709" w:leader="none"/>
        </w:tabs>
        <w:bidi w:val="0"/>
        <w:spacing w:before="0" w:after="0"/>
        <w:ind w:hanging="283" w:start="709"/>
        <w:jc w:val="start"/>
        <w:rPr/>
      </w:pPr>
      <w:r>
        <w:rPr/>
        <w:t>Approve email provider.</w:t>
      </w:r>
    </w:p>
    <w:p>
      <w:pPr>
        <w:pStyle w:val="BodyText"/>
        <w:numPr>
          <w:ilvl w:val="0"/>
          <w:numId w:val="9"/>
        </w:numPr>
        <w:tabs>
          <w:tab w:val="clear" w:pos="1134"/>
          <w:tab w:val="left" w:pos="709" w:leader="none"/>
        </w:tabs>
        <w:bidi w:val="0"/>
        <w:spacing w:before="0" w:after="0"/>
        <w:ind w:hanging="283" w:start="709"/>
        <w:jc w:val="start"/>
        <w:rPr/>
      </w:pPr>
      <w:r>
        <w:rPr/>
        <w:t>Verify DNS/TLS provider and list if it processes data.</w:t>
      </w:r>
    </w:p>
    <w:p>
      <w:pPr>
        <w:pStyle w:val="BodyText"/>
        <w:numPr>
          <w:ilvl w:val="0"/>
          <w:numId w:val="9"/>
        </w:numPr>
        <w:tabs>
          <w:tab w:val="clear" w:pos="1134"/>
          <w:tab w:val="left" w:pos="709" w:leader="none"/>
        </w:tabs>
        <w:bidi w:val="0"/>
        <w:spacing w:before="0" w:after="0"/>
        <w:ind w:hanging="283" w:start="709"/>
        <w:jc w:val="start"/>
        <w:rPr/>
      </w:pPr>
      <w:r>
        <w:rPr/>
        <w:t>Implement consent/suppression/preferences.</w:t>
      </w:r>
    </w:p>
    <w:p>
      <w:pPr>
        <w:pStyle w:val="BodyText"/>
        <w:numPr>
          <w:ilvl w:val="0"/>
          <w:numId w:val="9"/>
        </w:numPr>
        <w:tabs>
          <w:tab w:val="clear" w:pos="1134"/>
          <w:tab w:val="left" w:pos="709" w:leader="none"/>
        </w:tabs>
        <w:bidi w:val="0"/>
        <w:spacing w:before="0" w:after="0"/>
        <w:ind w:hanging="283" w:start="709"/>
        <w:jc w:val="start"/>
        <w:rPr/>
      </w:pPr>
      <w:r>
        <w:rPr/>
        <w:t>Implement model identifier removal/screening/register before consent.</w:t>
      </w:r>
    </w:p>
    <w:p>
      <w:pPr>
        <w:pStyle w:val="BodyText"/>
        <w:numPr>
          <w:ilvl w:val="0"/>
          <w:numId w:val="9"/>
        </w:numPr>
        <w:tabs>
          <w:tab w:val="clear" w:pos="1134"/>
          <w:tab w:val="left" w:pos="709" w:leader="none"/>
        </w:tabs>
        <w:bidi w:val="0"/>
        <w:spacing w:before="0" w:after="0"/>
        <w:ind w:hanging="283" w:start="709"/>
        <w:jc w:val="start"/>
        <w:rPr/>
      </w:pPr>
      <w:r>
        <w:rPr/>
        <w:t>Verify the tier-neutral model-development disable control.</w:t>
      </w:r>
    </w:p>
    <w:p>
      <w:pPr>
        <w:pStyle w:val="BodyText"/>
        <w:numPr>
          <w:ilvl w:val="0"/>
          <w:numId w:val="9"/>
        </w:numPr>
        <w:tabs>
          <w:tab w:val="clear" w:pos="1134"/>
          <w:tab w:val="left" w:pos="709" w:leader="none"/>
        </w:tabs>
        <w:bidi w:val="0"/>
        <w:ind w:hanging="283" w:start="709"/>
        <w:jc w:val="start"/>
        <w:rPr/>
      </w:pPr>
      <w:r>
        <w:rPr/>
        <w:t>Keep partner sharing and production AI/Voice processing disabled until their specific gates; keep all social channels excluded from the initial release.</w:t>
      </w:r>
    </w:p>
    <w:p>
      <w:pPr>
        <w:pStyle w:val="Heading2"/>
        <w:bidi w:val="0"/>
        <w:jc w:val="start"/>
        <w:rPr/>
      </w:pPr>
      <w:r>
        <w:rPr/>
        <w:t>4. Rule</w:t>
      </w:r>
    </w:p>
    <w:p>
      <w:pPr>
        <w:pStyle w:val="BodyText"/>
        <w:bidi w:val="0"/>
        <w:jc w:val="start"/>
        <w:rPr/>
      </w:pPr>
      <w:r>
        <w:rPr/>
        <w:t>Describe US Neon/AWS now. Change only after Asian production is applied and independently verified.</w:t>
      </w:r>
    </w:p>
    <w:p>
      <w:pPr>
        <w:pStyle w:val="Heading1"/>
        <w:bidi w:val="0"/>
        <w:jc w:val="start"/>
        <w:rPr/>
      </w:pPr>
      <w:r>
        <w:rPr/>
        <w:t>Launch Readiness Certificate - Standard</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Status</w:t>
      </w:r>
    </w:p>
    <w:p>
      <w:pPr>
        <w:pStyle w:val="BodyText"/>
        <w:bidi w:val="0"/>
        <w:jc w:val="start"/>
        <w:rPr/>
      </w:pPr>
      <w:r>
        <w:rPr/>
        <w:t xml:space="preserve">Operational evidence required before legal bundle becomes effective. Current status: </w:t>
      </w:r>
      <w:r>
        <w:rPr>
          <w:rStyle w:val="Strong"/>
        </w:rPr>
        <w:t>NOT READY</w:t>
      </w:r>
      <w:r>
        <w:rPr/>
        <w:t>.</w:t>
      </w:r>
    </w:p>
    <w:p>
      <w:pPr>
        <w:pStyle w:val="Heading2"/>
        <w:bidi w:val="0"/>
        <w:jc w:val="start"/>
        <w:rPr/>
      </w:pPr>
      <w:r>
        <w:rPr/>
        <w:t>2. Criteria</w:t>
      </w:r>
    </w:p>
    <w:tbl>
      <w:tblPr>
        <w:tblW w:w="8000" w:type="dxa"/>
        <w:jc w:val="start"/>
        <w:tblInd w:w="0" w:type="dxa"/>
        <w:tblLayout w:type="fixed"/>
        <w:tblCellMar>
          <w:top w:w="28" w:type="dxa"/>
          <w:start w:w="28" w:type="dxa"/>
          <w:bottom w:w="28" w:type="dxa"/>
          <w:end w:w="28" w:type="dxa"/>
        </w:tblCellMar>
      </w:tblPr>
      <w:tblGrid>
        <w:gridCol w:w="1711"/>
        <w:gridCol w:w="3465"/>
        <w:gridCol w:w="2824"/>
      </w:tblGrid>
      <w:tr>
        <w:trPr>
          <w:tblHeader w:val="true"/>
        </w:trPr>
        <w:tc>
          <w:tcPr>
            <w:tcW w:w="1711" w:type="dxa"/>
            <w:tcBorders/>
            <w:vAlign w:val="center"/>
          </w:tcPr>
          <w:p>
            <w:pPr>
              <w:pStyle w:val="TableHeading"/>
              <w:suppressLineNumbers/>
              <w:shd w:fill="173F35" w:val="clear"/>
              <w:bidi w:val="0"/>
              <w:spacing w:before="0" w:after="160"/>
              <w:jc w:val="start"/>
              <w:rPr/>
            </w:pPr>
            <w:r>
              <w:rPr/>
              <w:t>Control</w:t>
            </w:r>
          </w:p>
        </w:tc>
        <w:tc>
          <w:tcPr>
            <w:tcW w:w="3465" w:type="dxa"/>
            <w:tcBorders/>
            <w:vAlign w:val="center"/>
          </w:tcPr>
          <w:p>
            <w:pPr>
              <w:pStyle w:val="TableHeading"/>
              <w:suppressLineNumbers/>
              <w:shd w:fill="173F35" w:val="clear"/>
              <w:bidi w:val="0"/>
              <w:spacing w:before="0" w:after="160"/>
              <w:jc w:val="start"/>
              <w:rPr/>
            </w:pPr>
            <w:r>
              <w:rPr/>
              <w:t>Evidence</w:t>
            </w:r>
          </w:p>
        </w:tc>
        <w:tc>
          <w:tcPr>
            <w:tcW w:w="2824" w:type="dxa"/>
            <w:tcBorders/>
            <w:vAlign w:val="center"/>
          </w:tcPr>
          <w:p>
            <w:pPr>
              <w:pStyle w:val="TableHeading"/>
              <w:suppressLineNumbers/>
              <w:shd w:fill="173F35" w:val="clear"/>
              <w:bidi w:val="0"/>
              <w:spacing w:before="0" w:after="160"/>
              <w:jc w:val="start"/>
              <w:rPr/>
            </w:pPr>
            <w:r>
              <w:rPr/>
              <w:t>Current</w:t>
            </w:r>
          </w:p>
        </w:tc>
      </w:tr>
      <w:tr>
        <w:trPr/>
        <w:tc>
          <w:tcPr>
            <w:tcW w:w="1711" w:type="dxa"/>
            <w:tcBorders/>
            <w:vAlign w:val="center"/>
          </w:tcPr>
          <w:p>
            <w:pPr>
              <w:pStyle w:val="TableContents"/>
              <w:bidi w:val="0"/>
              <w:spacing w:before="0" w:after="160"/>
              <w:jc w:val="start"/>
              <w:rPr/>
            </w:pPr>
            <w:r>
              <w:rPr/>
              <w:t>Counsel approval</w:t>
            </w:r>
          </w:p>
        </w:tc>
        <w:tc>
          <w:tcPr>
            <w:tcW w:w="3465" w:type="dxa"/>
            <w:tcBorders/>
            <w:vAlign w:val="center"/>
          </w:tcPr>
          <w:p>
            <w:pPr>
              <w:pStyle w:val="TableContents"/>
              <w:bidi w:val="0"/>
              <w:spacing w:before="0" w:after="160"/>
              <w:jc w:val="start"/>
              <w:rPr/>
            </w:pPr>
            <w:r>
              <w:rPr/>
              <w:t>Owner-attested approval; underlying lawyer communication held outside Git</w:t>
            </w:r>
          </w:p>
        </w:tc>
        <w:tc>
          <w:tcPr>
            <w:tcW w:w="2824" w:type="dxa"/>
            <w:tcBorders/>
            <w:vAlign w:val="center"/>
          </w:tcPr>
          <w:p>
            <w:pPr>
              <w:pStyle w:val="TableContents"/>
              <w:bidi w:val="0"/>
              <w:spacing w:before="0" w:after="160"/>
              <w:jc w:val="start"/>
              <w:rPr/>
            </w:pPr>
            <w:r>
              <w:rPr/>
              <w:t>Recorded 15 August 2026</w:t>
            </w:r>
          </w:p>
        </w:tc>
      </w:tr>
      <w:tr>
        <w:trPr/>
        <w:tc>
          <w:tcPr>
            <w:tcW w:w="1711" w:type="dxa"/>
            <w:tcBorders/>
            <w:vAlign w:val="center"/>
          </w:tcPr>
          <w:p>
            <w:pPr>
              <w:pStyle w:val="TableContents"/>
              <w:bidi w:val="0"/>
              <w:spacing w:before="0" w:after="160"/>
              <w:jc w:val="start"/>
              <w:rPr/>
            </w:pPr>
            <w:r>
              <w:rPr/>
              <w:t>Legal bundle</w:t>
            </w:r>
          </w:p>
        </w:tc>
        <w:tc>
          <w:tcPr>
            <w:tcW w:w="3465" w:type="dxa"/>
            <w:tcBorders/>
            <w:vAlign w:val="center"/>
          </w:tcPr>
          <w:p>
            <w:pPr>
              <w:pStyle w:val="TableContents"/>
              <w:bidi w:val="0"/>
              <w:spacing w:before="0" w:after="160"/>
              <w:jc w:val="start"/>
              <w:rPr/>
            </w:pPr>
            <w:r>
              <w:rPr/>
              <w:t>Approved hashes and fail-closed registration test</w:t>
            </w:r>
          </w:p>
        </w:tc>
        <w:tc>
          <w:tcPr>
            <w:tcW w:w="2824" w:type="dxa"/>
            <w:tcBorders/>
            <w:vAlign w:val="center"/>
          </w:tcPr>
          <w:p>
            <w:pPr>
              <w:pStyle w:val="TableContents"/>
              <w:bidi w:val="0"/>
              <w:spacing w:before="0" w:after="160"/>
              <w:jc w:val="start"/>
              <w:rPr/>
            </w:pPr>
            <w:r>
              <w:rPr/>
              <w:t>Package hashes complete; production mount pending</w:t>
            </w:r>
          </w:p>
        </w:tc>
      </w:tr>
      <w:tr>
        <w:trPr/>
        <w:tc>
          <w:tcPr>
            <w:tcW w:w="1711" w:type="dxa"/>
            <w:tcBorders/>
            <w:vAlign w:val="center"/>
          </w:tcPr>
          <w:p>
            <w:pPr>
              <w:pStyle w:val="TableContents"/>
              <w:bidi w:val="0"/>
              <w:spacing w:before="0" w:after="160"/>
              <w:jc w:val="start"/>
              <w:rPr/>
            </w:pPr>
            <w:r>
              <w:rPr/>
              <w:t>Hosting</w:t>
            </w:r>
          </w:p>
        </w:tc>
        <w:tc>
          <w:tcPr>
            <w:tcW w:w="3465" w:type="dxa"/>
            <w:tcBorders/>
            <w:vAlign w:val="center"/>
          </w:tcPr>
          <w:p>
            <w:pPr>
              <w:pStyle w:val="TableContents"/>
              <w:bidi w:val="0"/>
              <w:spacing w:before="0" w:after="160"/>
              <w:jc w:val="start"/>
              <w:rPr/>
            </w:pPr>
            <w:r>
              <w:rPr/>
              <w:t>Production region verification</w:t>
            </w:r>
          </w:p>
        </w:tc>
        <w:tc>
          <w:tcPr>
            <w:tcW w:w="2824" w:type="dxa"/>
            <w:tcBorders/>
            <w:vAlign w:val="center"/>
          </w:tcPr>
          <w:p>
            <w:pPr>
              <w:pStyle w:val="TableContents"/>
              <w:bidi w:val="0"/>
              <w:spacing w:before="0" w:after="160"/>
              <w:jc w:val="start"/>
              <w:rPr/>
            </w:pPr>
            <w:r>
              <w:rPr/>
              <w:t>US disclosure available</w:t>
            </w:r>
          </w:p>
        </w:tc>
      </w:tr>
      <w:tr>
        <w:trPr/>
        <w:tc>
          <w:tcPr>
            <w:tcW w:w="1711" w:type="dxa"/>
            <w:tcBorders/>
            <w:vAlign w:val="center"/>
          </w:tcPr>
          <w:p>
            <w:pPr>
              <w:pStyle w:val="TableContents"/>
              <w:bidi w:val="0"/>
              <w:spacing w:before="0" w:after="160"/>
              <w:jc w:val="start"/>
              <w:rPr/>
            </w:pPr>
            <w:r>
              <w:rPr/>
              <w:t>Domain limit</w:t>
            </w:r>
          </w:p>
        </w:tc>
        <w:tc>
          <w:tcPr>
            <w:tcW w:w="3465" w:type="dxa"/>
            <w:tcBorders/>
            <w:vAlign w:val="center"/>
          </w:tcPr>
          <w:p>
            <w:pPr>
              <w:pStyle w:val="TableContents"/>
              <w:bidi w:val="0"/>
              <w:spacing w:before="0" w:after="160"/>
              <w:jc w:val="start"/>
              <w:rPr/>
            </w:pPr>
            <w:r>
              <w:rPr/>
              <w:t>Automated three-domain test</w:t>
            </w:r>
          </w:p>
        </w:tc>
        <w:tc>
          <w:tcPr>
            <w:tcW w:w="2824" w:type="dxa"/>
            <w:tcBorders/>
            <w:vAlign w:val="center"/>
          </w:tcPr>
          <w:p>
            <w:pPr>
              <w:pStyle w:val="TableContents"/>
              <w:bidi w:val="0"/>
              <w:spacing w:before="0" w:after="160"/>
              <w:jc w:val="start"/>
              <w:rPr/>
            </w:pPr>
            <w:r>
              <w:rPr/>
              <w:t>Unverified</w:t>
            </w:r>
          </w:p>
        </w:tc>
      </w:tr>
      <w:tr>
        <w:trPr/>
        <w:tc>
          <w:tcPr>
            <w:tcW w:w="1711" w:type="dxa"/>
            <w:tcBorders/>
            <w:vAlign w:val="center"/>
          </w:tcPr>
          <w:p>
            <w:pPr>
              <w:pStyle w:val="TableContents"/>
              <w:bidi w:val="0"/>
              <w:spacing w:before="0" w:after="160"/>
              <w:jc w:val="start"/>
              <w:rPr/>
            </w:pPr>
            <w:r>
              <w:rPr/>
              <w:t>Transcript</w:t>
            </w:r>
          </w:p>
        </w:tc>
        <w:tc>
          <w:tcPr>
            <w:tcW w:w="3465" w:type="dxa"/>
            <w:tcBorders/>
            <w:vAlign w:val="center"/>
          </w:tcPr>
          <w:p>
            <w:pPr>
              <w:pStyle w:val="TableContents"/>
              <w:bidi w:val="0"/>
              <w:spacing w:before="0" w:after="160"/>
              <w:jc w:val="start"/>
              <w:rPr/>
            </w:pPr>
            <w:r>
              <w:rPr/>
              <w:t>Default/range production test</w:t>
            </w:r>
          </w:p>
        </w:tc>
        <w:tc>
          <w:tcPr>
            <w:tcW w:w="2824" w:type="dxa"/>
            <w:tcBorders/>
            <w:vAlign w:val="center"/>
          </w:tcPr>
          <w:p>
            <w:pPr>
              <w:pStyle w:val="TableContents"/>
              <w:bidi w:val="0"/>
              <w:spacing w:before="0" w:after="160"/>
              <w:jc w:val="start"/>
              <w:rPr/>
            </w:pPr>
            <w:r>
              <w:rPr/>
              <w:t>Source-supported; test needed</w:t>
            </w:r>
          </w:p>
        </w:tc>
      </w:tr>
      <w:tr>
        <w:trPr/>
        <w:tc>
          <w:tcPr>
            <w:tcW w:w="1711" w:type="dxa"/>
            <w:tcBorders/>
            <w:vAlign w:val="center"/>
          </w:tcPr>
          <w:p>
            <w:pPr>
              <w:pStyle w:val="TableContents"/>
              <w:bidi w:val="0"/>
              <w:spacing w:before="0" w:after="160"/>
              <w:jc w:val="start"/>
              <w:rPr/>
            </w:pPr>
            <w:r>
              <w:rPr/>
              <w:t>Contact retention</w:t>
            </w:r>
          </w:p>
        </w:tc>
        <w:tc>
          <w:tcPr>
            <w:tcW w:w="3465" w:type="dxa"/>
            <w:tcBorders/>
            <w:vAlign w:val="center"/>
          </w:tcPr>
          <w:p>
            <w:pPr>
              <w:pStyle w:val="TableContents"/>
              <w:bidi w:val="0"/>
              <w:spacing w:before="0" w:after="160"/>
              <w:jc w:val="start"/>
              <w:rPr/>
            </w:pPr>
            <w:r>
              <w:rPr/>
              <w:t>24-month job or current notice</w:t>
            </w:r>
          </w:p>
        </w:tc>
        <w:tc>
          <w:tcPr>
            <w:tcW w:w="2824" w:type="dxa"/>
            <w:tcBorders/>
            <w:vAlign w:val="center"/>
          </w:tcPr>
          <w:p>
            <w:pPr>
              <w:pStyle w:val="TableContents"/>
              <w:bidi w:val="0"/>
              <w:spacing w:before="0" w:after="160"/>
              <w:jc w:val="start"/>
              <w:rPr/>
            </w:pPr>
            <w:r>
              <w:rPr/>
              <w:t>Not implemented</w:t>
            </w:r>
          </w:p>
        </w:tc>
      </w:tr>
      <w:tr>
        <w:trPr/>
        <w:tc>
          <w:tcPr>
            <w:tcW w:w="1711" w:type="dxa"/>
            <w:tcBorders/>
            <w:vAlign w:val="center"/>
          </w:tcPr>
          <w:p>
            <w:pPr>
              <w:pStyle w:val="TableContents"/>
              <w:bidi w:val="0"/>
              <w:spacing w:before="0" w:after="160"/>
              <w:jc w:val="start"/>
              <w:rPr/>
            </w:pPr>
            <w:r>
              <w:rPr/>
              <w:t>Export expiry</w:t>
            </w:r>
          </w:p>
        </w:tc>
        <w:tc>
          <w:tcPr>
            <w:tcW w:w="3465" w:type="dxa"/>
            <w:tcBorders/>
            <w:vAlign w:val="center"/>
          </w:tcPr>
          <w:p>
            <w:pPr>
              <w:pStyle w:val="TableContents"/>
              <w:bidi w:val="0"/>
              <w:spacing w:before="0" w:after="160"/>
              <w:jc w:val="start"/>
              <w:rPr/>
            </w:pPr>
            <w:r>
              <w:rPr/>
              <w:t>Seven-day access + physical purge</w:t>
            </w:r>
          </w:p>
        </w:tc>
        <w:tc>
          <w:tcPr>
            <w:tcW w:w="2824" w:type="dxa"/>
            <w:tcBorders/>
            <w:vAlign w:val="center"/>
          </w:tcPr>
          <w:p>
            <w:pPr>
              <w:pStyle w:val="TableContents"/>
              <w:bidi w:val="0"/>
              <w:spacing w:before="0" w:after="160"/>
              <w:jc w:val="start"/>
              <w:rPr/>
            </w:pPr>
            <w:r>
              <w:rPr/>
              <w:t>Purge missing</w:t>
            </w:r>
          </w:p>
        </w:tc>
      </w:tr>
      <w:tr>
        <w:trPr/>
        <w:tc>
          <w:tcPr>
            <w:tcW w:w="1711" w:type="dxa"/>
            <w:tcBorders/>
            <w:vAlign w:val="center"/>
          </w:tcPr>
          <w:p>
            <w:pPr>
              <w:pStyle w:val="TableContents"/>
              <w:bidi w:val="0"/>
              <w:spacing w:before="0" w:after="160"/>
              <w:jc w:val="start"/>
              <w:rPr/>
            </w:pPr>
            <w:r>
              <w:rPr/>
              <w:t>Closure</w:t>
            </w:r>
          </w:p>
        </w:tc>
        <w:tc>
          <w:tcPr>
            <w:tcW w:w="3465" w:type="dxa"/>
            <w:tcBorders/>
            <w:vAlign w:val="center"/>
          </w:tcPr>
          <w:p>
            <w:pPr>
              <w:pStyle w:val="TableContents"/>
              <w:bidi w:val="0"/>
              <w:spacing w:before="0" w:after="160"/>
              <w:jc w:val="start"/>
              <w:rPr/>
            </w:pPr>
            <w:r>
              <w:rPr/>
              <w:t>Paid-term/read-only/purge/reactivation tests</w:t>
            </w:r>
          </w:p>
        </w:tc>
        <w:tc>
          <w:tcPr>
            <w:tcW w:w="2824" w:type="dxa"/>
            <w:tcBorders/>
            <w:vAlign w:val="center"/>
          </w:tcPr>
          <w:p>
            <w:pPr>
              <w:pStyle w:val="TableContents"/>
              <w:bidi w:val="0"/>
              <w:spacing w:before="0" w:after="160"/>
              <w:jc w:val="start"/>
              <w:rPr/>
            </w:pPr>
            <w:r>
              <w:rPr/>
              <w:t>Missing</w:t>
            </w:r>
          </w:p>
        </w:tc>
      </w:tr>
      <w:tr>
        <w:trPr/>
        <w:tc>
          <w:tcPr>
            <w:tcW w:w="1711" w:type="dxa"/>
            <w:tcBorders/>
            <w:vAlign w:val="center"/>
          </w:tcPr>
          <w:p>
            <w:pPr>
              <w:pStyle w:val="TableContents"/>
              <w:bidi w:val="0"/>
              <w:spacing w:before="0" w:after="160"/>
              <w:jc w:val="start"/>
              <w:rPr/>
            </w:pPr>
            <w:r>
              <w:rPr/>
              <w:t>Backups</w:t>
            </w:r>
          </w:p>
        </w:tc>
        <w:tc>
          <w:tcPr>
            <w:tcW w:w="3465" w:type="dxa"/>
            <w:tcBorders/>
            <w:vAlign w:val="center"/>
          </w:tcPr>
          <w:p>
            <w:pPr>
              <w:pStyle w:val="TableContents"/>
              <w:bidi w:val="0"/>
              <w:spacing w:before="0" w:after="160"/>
              <w:jc w:val="start"/>
              <w:rPr/>
            </w:pPr>
            <w:r>
              <w:rPr/>
              <w:t>30-day post-purge evidence</w:t>
            </w:r>
          </w:p>
        </w:tc>
        <w:tc>
          <w:tcPr>
            <w:tcW w:w="2824" w:type="dxa"/>
            <w:tcBorders/>
            <w:vAlign w:val="center"/>
          </w:tcPr>
          <w:p>
            <w:pPr>
              <w:pStyle w:val="TableContents"/>
              <w:bidi w:val="0"/>
              <w:spacing w:before="0" w:after="160"/>
              <w:jc w:val="start"/>
              <w:rPr/>
            </w:pPr>
            <w:r>
              <w:rPr/>
              <w:t>Unverified</w:t>
            </w:r>
          </w:p>
        </w:tc>
      </w:tr>
      <w:tr>
        <w:trPr/>
        <w:tc>
          <w:tcPr>
            <w:tcW w:w="1711" w:type="dxa"/>
            <w:tcBorders/>
            <w:vAlign w:val="center"/>
          </w:tcPr>
          <w:p>
            <w:pPr>
              <w:pStyle w:val="TableContents"/>
              <w:bidi w:val="0"/>
              <w:spacing w:before="0" w:after="160"/>
              <w:jc w:val="start"/>
              <w:rPr/>
            </w:pPr>
            <w:r>
              <w:rPr/>
              <w:t>Logs</w:t>
            </w:r>
          </w:p>
        </w:tc>
        <w:tc>
          <w:tcPr>
            <w:tcW w:w="3465" w:type="dxa"/>
            <w:tcBorders/>
            <w:vAlign w:val="center"/>
          </w:tcPr>
          <w:p>
            <w:pPr>
              <w:pStyle w:val="TableContents"/>
              <w:bidi w:val="0"/>
              <w:spacing w:before="0" w:after="160"/>
              <w:jc w:val="start"/>
              <w:rPr/>
            </w:pPr>
            <w:r>
              <w:rPr/>
              <w:t>30-day setting</w:t>
            </w:r>
          </w:p>
        </w:tc>
        <w:tc>
          <w:tcPr>
            <w:tcW w:w="2824" w:type="dxa"/>
            <w:tcBorders/>
            <w:vAlign w:val="center"/>
          </w:tcPr>
          <w:p>
            <w:pPr>
              <w:pStyle w:val="TableContents"/>
              <w:bidi w:val="0"/>
              <w:spacing w:before="0" w:after="160"/>
              <w:jc w:val="start"/>
              <w:rPr/>
            </w:pPr>
            <w:r>
              <w:rPr/>
              <w:t>Unverified</w:t>
            </w:r>
          </w:p>
        </w:tc>
      </w:tr>
      <w:tr>
        <w:trPr/>
        <w:tc>
          <w:tcPr>
            <w:tcW w:w="1711" w:type="dxa"/>
            <w:tcBorders/>
            <w:vAlign w:val="center"/>
          </w:tcPr>
          <w:p>
            <w:pPr>
              <w:pStyle w:val="TableContents"/>
              <w:bidi w:val="0"/>
              <w:spacing w:before="0" w:after="160"/>
              <w:jc w:val="start"/>
              <w:rPr/>
            </w:pPr>
            <w:r>
              <w:rPr/>
              <w:t>Consent</w:t>
            </w:r>
          </w:p>
        </w:tc>
        <w:tc>
          <w:tcPr>
            <w:tcW w:w="3465" w:type="dxa"/>
            <w:tcBorders/>
            <w:vAlign w:val="center"/>
          </w:tcPr>
          <w:p>
            <w:pPr>
              <w:pStyle w:val="TableContents"/>
              <w:bidi w:val="0"/>
              <w:spacing w:before="0" w:after="160"/>
              <w:jc w:val="start"/>
              <w:rPr/>
            </w:pPr>
            <w:r>
              <w:rPr/>
              <w:t>Separate versions/withdrawal tests</w:t>
            </w:r>
          </w:p>
        </w:tc>
        <w:tc>
          <w:tcPr>
            <w:tcW w:w="2824" w:type="dxa"/>
            <w:tcBorders/>
            <w:vAlign w:val="center"/>
          </w:tcPr>
          <w:p>
            <w:pPr>
              <w:pStyle w:val="TableContents"/>
              <w:bidi w:val="0"/>
              <w:spacing w:before="0" w:after="160"/>
              <w:jc w:val="start"/>
              <w:rPr/>
            </w:pPr>
            <w:r>
              <w:rPr/>
              <w:t>Unverified</w:t>
            </w:r>
          </w:p>
        </w:tc>
      </w:tr>
      <w:tr>
        <w:trPr/>
        <w:tc>
          <w:tcPr>
            <w:tcW w:w="1711" w:type="dxa"/>
            <w:tcBorders/>
            <w:vAlign w:val="center"/>
          </w:tcPr>
          <w:p>
            <w:pPr>
              <w:pStyle w:val="TableContents"/>
              <w:bidi w:val="0"/>
              <w:spacing w:before="0" w:after="160"/>
              <w:jc w:val="start"/>
              <w:rPr/>
            </w:pPr>
            <w:r>
              <w:rPr/>
              <w:t>Suppression</w:t>
            </w:r>
          </w:p>
        </w:tc>
        <w:tc>
          <w:tcPr>
            <w:tcW w:w="3465" w:type="dxa"/>
            <w:tcBorders/>
            <w:vAlign w:val="center"/>
          </w:tcPr>
          <w:p>
            <w:pPr>
              <w:pStyle w:val="TableContents"/>
              <w:bidi w:val="0"/>
              <w:spacing w:before="0" w:after="160"/>
              <w:jc w:val="start"/>
              <w:rPr/>
            </w:pPr>
            <w:r>
              <w:rPr/>
              <w:t>Cross-channel/partner tests</w:t>
            </w:r>
          </w:p>
        </w:tc>
        <w:tc>
          <w:tcPr>
            <w:tcW w:w="2824" w:type="dxa"/>
            <w:tcBorders/>
            <w:vAlign w:val="center"/>
          </w:tcPr>
          <w:p>
            <w:pPr>
              <w:pStyle w:val="TableContents"/>
              <w:bidi w:val="0"/>
              <w:spacing w:before="0" w:after="160"/>
              <w:jc w:val="start"/>
              <w:rPr/>
            </w:pPr>
            <w:r>
              <w:rPr/>
              <w:t>Unverified</w:t>
            </w:r>
          </w:p>
        </w:tc>
      </w:tr>
      <w:tr>
        <w:trPr/>
        <w:tc>
          <w:tcPr>
            <w:tcW w:w="1711" w:type="dxa"/>
            <w:tcBorders/>
            <w:vAlign w:val="center"/>
          </w:tcPr>
          <w:p>
            <w:pPr>
              <w:pStyle w:val="TableContents"/>
              <w:bidi w:val="0"/>
              <w:spacing w:before="0" w:after="160"/>
              <w:jc w:val="start"/>
              <w:rPr/>
            </w:pPr>
            <w:r>
              <w:rPr/>
              <w:t>Model</w:t>
            </w:r>
          </w:p>
        </w:tc>
        <w:tc>
          <w:tcPr>
            <w:tcW w:w="3465" w:type="dxa"/>
            <w:tcBorders/>
            <w:vAlign w:val="center"/>
          </w:tcPr>
          <w:p>
            <w:pPr>
              <w:pStyle w:val="TableContents"/>
              <w:bidi w:val="0"/>
              <w:spacing w:before="0" w:after="160"/>
              <w:jc w:val="start"/>
              <w:rPr/>
            </w:pPr>
            <w:r>
              <w:rPr/>
              <w:t>Removal/screening/exclusion/register</w:t>
            </w:r>
          </w:p>
        </w:tc>
        <w:tc>
          <w:tcPr>
            <w:tcW w:w="2824" w:type="dxa"/>
            <w:tcBorders/>
            <w:vAlign w:val="center"/>
          </w:tcPr>
          <w:p>
            <w:pPr>
              <w:pStyle w:val="TableContents"/>
              <w:bidi w:val="0"/>
              <w:spacing w:before="0" w:after="160"/>
              <w:jc w:val="start"/>
              <w:rPr/>
            </w:pPr>
            <w:r>
              <w:rPr/>
              <w:t>Unverified</w:t>
            </w:r>
          </w:p>
        </w:tc>
      </w:tr>
      <w:tr>
        <w:trPr/>
        <w:tc>
          <w:tcPr>
            <w:tcW w:w="1711" w:type="dxa"/>
            <w:tcBorders/>
            <w:vAlign w:val="center"/>
          </w:tcPr>
          <w:p>
            <w:pPr>
              <w:pStyle w:val="TableContents"/>
              <w:bidi w:val="0"/>
              <w:spacing w:before="0" w:after="160"/>
              <w:jc w:val="start"/>
              <w:rPr/>
            </w:pPr>
            <w:r>
              <w:rPr/>
              <w:t>Tier-neutral data-use control</w:t>
            </w:r>
          </w:p>
        </w:tc>
        <w:tc>
          <w:tcPr>
            <w:tcW w:w="3465" w:type="dxa"/>
            <w:tcBorders/>
            <w:vAlign w:val="center"/>
          </w:tcPr>
          <w:p>
            <w:pPr>
              <w:pStyle w:val="TableContents"/>
              <w:bidi w:val="0"/>
              <w:spacing w:before="0" w:after="160"/>
              <w:jc w:val="start"/>
              <w:rPr/>
            </w:pPr>
            <w:r>
              <w:rPr/>
              <w:t>Merchant model-development disable</w:t>
            </w:r>
          </w:p>
        </w:tc>
        <w:tc>
          <w:tcPr>
            <w:tcW w:w="2824" w:type="dxa"/>
            <w:tcBorders/>
            <w:vAlign w:val="center"/>
          </w:tcPr>
          <w:p>
            <w:pPr>
              <w:pStyle w:val="TableContents"/>
              <w:bidi w:val="0"/>
              <w:spacing w:before="0" w:after="160"/>
              <w:jc w:val="start"/>
              <w:rPr/>
            </w:pPr>
            <w:r>
              <w:rPr/>
              <w:t>Unverified</w:t>
            </w:r>
          </w:p>
        </w:tc>
      </w:tr>
      <w:tr>
        <w:trPr/>
        <w:tc>
          <w:tcPr>
            <w:tcW w:w="1711" w:type="dxa"/>
            <w:tcBorders/>
            <w:vAlign w:val="center"/>
          </w:tcPr>
          <w:p>
            <w:pPr>
              <w:pStyle w:val="TableContents"/>
              <w:bidi w:val="0"/>
              <w:spacing w:before="0" w:after="160"/>
              <w:jc w:val="start"/>
              <w:rPr/>
            </w:pPr>
            <w:r>
              <w:rPr/>
              <w:t>Providers</w:t>
            </w:r>
          </w:p>
        </w:tc>
        <w:tc>
          <w:tcPr>
            <w:tcW w:w="3465" w:type="dxa"/>
            <w:tcBorders/>
            <w:vAlign w:val="center"/>
          </w:tcPr>
          <w:p>
            <w:pPr>
              <w:pStyle w:val="TableContents"/>
              <w:bidi w:val="0"/>
              <w:spacing w:before="0" w:after="160"/>
              <w:jc w:val="start"/>
              <w:rPr/>
            </w:pPr>
            <w:r>
              <w:rPr/>
              <w:t>Email/vendor due diligence</w:t>
            </w:r>
          </w:p>
        </w:tc>
        <w:tc>
          <w:tcPr>
            <w:tcW w:w="2824" w:type="dxa"/>
            <w:tcBorders/>
            <w:vAlign w:val="center"/>
          </w:tcPr>
          <w:p>
            <w:pPr>
              <w:pStyle w:val="TableContents"/>
              <w:bidi w:val="0"/>
              <w:spacing w:before="0" w:after="160"/>
              <w:jc w:val="start"/>
              <w:rPr/>
            </w:pPr>
            <w:r>
              <w:rPr/>
              <w:t>Incomplete</w:t>
            </w:r>
          </w:p>
        </w:tc>
      </w:tr>
      <w:tr>
        <w:trPr/>
        <w:tc>
          <w:tcPr>
            <w:tcW w:w="1711" w:type="dxa"/>
            <w:tcBorders/>
            <w:vAlign w:val="center"/>
          </w:tcPr>
          <w:p>
            <w:pPr>
              <w:pStyle w:val="TableContents"/>
              <w:bidi w:val="0"/>
              <w:spacing w:before="0" w:after="160"/>
              <w:jc w:val="start"/>
              <w:rPr/>
            </w:pPr>
            <w:r>
              <w:rPr/>
              <w:t>AI Text/AI Voice</w:t>
            </w:r>
          </w:p>
        </w:tc>
        <w:tc>
          <w:tcPr>
            <w:tcW w:w="3465" w:type="dxa"/>
            <w:tcBorders/>
            <w:vAlign w:val="center"/>
          </w:tcPr>
          <w:p>
            <w:pPr>
              <w:pStyle w:val="TableContents"/>
              <w:bidi w:val="0"/>
              <w:spacing w:before="0" w:after="160"/>
              <w:jc w:val="start"/>
              <w:rPr/>
            </w:pPr>
            <w:r>
              <w:rPr/>
              <w:t>Product-specific provider approval</w:t>
            </w:r>
          </w:p>
        </w:tc>
        <w:tc>
          <w:tcPr>
            <w:tcW w:w="2824" w:type="dxa"/>
            <w:tcBorders/>
            <w:vAlign w:val="center"/>
          </w:tcPr>
          <w:p>
            <w:pPr>
              <w:pStyle w:val="TableContents"/>
              <w:bidi w:val="0"/>
              <w:spacing w:before="0" w:after="160"/>
              <w:jc w:val="start"/>
              <w:rPr/>
            </w:pPr>
            <w:r>
              <w:rPr/>
              <w:t>Dormant</w:t>
            </w:r>
          </w:p>
        </w:tc>
      </w:tr>
      <w:tr>
        <w:trPr/>
        <w:tc>
          <w:tcPr>
            <w:tcW w:w="1711" w:type="dxa"/>
            <w:tcBorders/>
            <w:vAlign w:val="center"/>
          </w:tcPr>
          <w:p>
            <w:pPr>
              <w:pStyle w:val="TableContents"/>
              <w:bidi w:val="0"/>
              <w:spacing w:before="0" w:after="160"/>
              <w:jc w:val="start"/>
              <w:rPr/>
            </w:pPr>
            <w:r>
              <w:rPr/>
              <w:t>Social channels</w:t>
            </w:r>
          </w:p>
        </w:tc>
        <w:tc>
          <w:tcPr>
            <w:tcW w:w="3465" w:type="dxa"/>
            <w:tcBorders/>
            <w:vAlign w:val="center"/>
          </w:tcPr>
          <w:p>
            <w:pPr>
              <w:pStyle w:val="TableContents"/>
              <w:bidi w:val="0"/>
              <w:spacing w:before="0" w:after="160"/>
              <w:jc w:val="start"/>
              <w:rPr/>
            </w:pPr>
            <w:r>
              <w:rPr/>
              <w:t>Release exclusion and fail-closed gate</w:t>
            </w:r>
          </w:p>
        </w:tc>
        <w:tc>
          <w:tcPr>
            <w:tcW w:w="2824" w:type="dxa"/>
            <w:tcBorders/>
            <w:vAlign w:val="center"/>
          </w:tcPr>
          <w:p>
            <w:pPr>
              <w:pStyle w:val="TableContents"/>
              <w:bidi w:val="0"/>
              <w:spacing w:before="0" w:after="160"/>
              <w:jc w:val="start"/>
              <w:rPr/>
            </w:pPr>
            <w:r>
              <w:rPr/>
              <w:t>Excluded</w:t>
            </w:r>
          </w:p>
        </w:tc>
      </w:tr>
    </w:tbl>
    <w:p>
      <w:pPr>
        <w:pStyle w:val="BodyText"/>
        <w:bidi w:val="0"/>
        <w:jc w:val="start"/>
        <w:rPr/>
      </w:pPr>
      <w:r>
        <w:rPr/>
        <w:t>No product is ready unless every applicable item passes, is reasoned not applicable, or is accepted by counsel as a residual. Final certificate identifies evidence, tester, date, environment, version and approver.</w:t>
      </w:r>
    </w:p>
    <w:p>
      <w:pPr>
        <w:pStyle w:val="Heading1"/>
        <w:bidi w:val="0"/>
        <w:jc w:val="start"/>
        <w:rPr/>
      </w:pPr>
      <w:r>
        <w:rPr/>
        <w:t>Legal Authority and Source Notes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Primary sources</w:t>
      </w:r>
    </w:p>
    <w:p>
      <w:pPr>
        <w:pStyle w:val="BodyText"/>
        <w:numPr>
          <w:ilvl w:val="0"/>
          <w:numId w:val="10"/>
        </w:numPr>
        <w:tabs>
          <w:tab w:val="clear" w:pos="1134"/>
          <w:tab w:val="left" w:pos="709" w:leader="none"/>
        </w:tabs>
        <w:bidi w:val="0"/>
        <w:spacing w:before="0" w:after="0"/>
        <w:ind w:hanging="283" w:start="709"/>
        <w:jc w:val="start"/>
        <w:rPr/>
      </w:pPr>
      <w:r>
        <w:rPr/>
        <w:t>Thai Personal Data Protection Act B.E. 2562: https://ratchakitcha.soc.go.th/documents/17082307.pdf</w:t>
      </w:r>
    </w:p>
    <w:p>
      <w:pPr>
        <w:pStyle w:val="BodyText"/>
        <w:numPr>
          <w:ilvl w:val="0"/>
          <w:numId w:val="10"/>
        </w:numPr>
        <w:tabs>
          <w:tab w:val="clear" w:pos="1134"/>
          <w:tab w:val="left" w:pos="709" w:leader="none"/>
        </w:tabs>
        <w:bidi w:val="0"/>
        <w:spacing w:before="0" w:after="0"/>
        <w:ind w:hanging="283" w:start="709"/>
        <w:jc w:val="start"/>
        <w:rPr/>
      </w:pPr>
      <w:r>
        <w:rPr/>
        <w:t>PDPC Security Measures Notification B.E. 2565: https://www.ratchakitcha.soc.go.th/DATA/PDF/2565/E/140/T_0028.PDF</w:t>
      </w:r>
    </w:p>
    <w:p>
      <w:pPr>
        <w:pStyle w:val="BodyText"/>
        <w:numPr>
          <w:ilvl w:val="0"/>
          <w:numId w:val="10"/>
        </w:numPr>
        <w:tabs>
          <w:tab w:val="clear" w:pos="1134"/>
          <w:tab w:val="left" w:pos="709" w:leader="none"/>
        </w:tabs>
        <w:bidi w:val="0"/>
        <w:spacing w:before="0" w:after="0"/>
        <w:ind w:hanging="283" w:start="709"/>
        <w:jc w:val="start"/>
        <w:rPr/>
      </w:pPr>
      <w:r>
        <w:rPr/>
        <w:t>PDPC Processor Processing Records Notification B.E. 2565: https://www.ratchakitcha.soc.go.th/DATA/PDF/2565/E/140/T_0026.PDF</w:t>
      </w:r>
    </w:p>
    <w:p>
      <w:pPr>
        <w:pStyle w:val="BodyText"/>
        <w:numPr>
          <w:ilvl w:val="0"/>
          <w:numId w:val="10"/>
        </w:numPr>
        <w:tabs>
          <w:tab w:val="clear" w:pos="1134"/>
          <w:tab w:val="left" w:pos="709" w:leader="none"/>
        </w:tabs>
        <w:bidi w:val="0"/>
        <w:spacing w:before="0" w:after="0"/>
        <w:ind w:hanging="283" w:start="709"/>
        <w:jc w:val="start"/>
        <w:rPr/>
      </w:pPr>
      <w:r>
        <w:rPr/>
        <w:t>Electronic Transactions Act B.E. 2544, ETDA English translation: https://www.etda.or.th/getattachment/8faa736b-3235-49c8-8b01-d37ff53a9a45/ENG-Version.aspx</w:t>
      </w:r>
    </w:p>
    <w:p>
      <w:pPr>
        <w:pStyle w:val="BodyText"/>
        <w:numPr>
          <w:ilvl w:val="0"/>
          <w:numId w:val="10"/>
        </w:numPr>
        <w:tabs>
          <w:tab w:val="clear" w:pos="1134"/>
          <w:tab w:val="left" w:pos="709" w:leader="none"/>
        </w:tabs>
        <w:bidi w:val="0"/>
        <w:spacing w:before="0" w:after="0"/>
        <w:ind w:hanging="283" w:start="709"/>
        <w:jc w:val="start"/>
        <w:rPr/>
      </w:pPr>
      <w:r>
        <w:rPr/>
        <w:t>Revenue Department VAT registration and tax-invoice provisions, including the prohibition on non-VAT registrants issuing VAT tax invoices: https://www.rd.go.th/english/37718.html</w:t>
      </w:r>
    </w:p>
    <w:p>
      <w:pPr>
        <w:pStyle w:val="BodyText"/>
        <w:numPr>
          <w:ilvl w:val="0"/>
          <w:numId w:val="10"/>
        </w:numPr>
        <w:tabs>
          <w:tab w:val="clear" w:pos="1134"/>
          <w:tab w:val="left" w:pos="709" w:leader="none"/>
        </w:tabs>
        <w:bidi w:val="0"/>
        <w:ind w:hanging="283" w:start="709"/>
        <w:jc w:val="start"/>
        <w:rPr/>
      </w:pPr>
      <w:r>
        <w:rPr/>
        <w:t>Revenue Department VAT record-retention provisions: https://www.rd.go.th/english/37747.html</w:t>
      </w:r>
    </w:p>
    <w:p>
      <w:pPr>
        <w:pStyle w:val="Heading2"/>
        <w:bidi w:val="0"/>
        <w:jc w:val="start"/>
        <w:rPr/>
      </w:pPr>
      <w:r>
        <w:rPr/>
        <w:t>2. Principles</w:t>
      </w:r>
    </w:p>
    <w:p>
      <w:pPr>
        <w:pStyle w:val="BodyText"/>
        <w:bidi w:val="0"/>
        <w:jc w:val="start"/>
        <w:rPr/>
      </w:pPr>
      <w:r>
        <w:rPr/>
        <w:t>Consent must be specific/distinguishable/withdrawable when relied on. Controllers provide notice of purposes, retention, recipients, rights and contact. Controllers/processors implement appropriate security and records. Qualifying breaches may require PDPC notice within 72 hours and high-risk data-subject notice. Electronic contracts can be effective where identity, intention, integrity and accessibility are reliably evidenced. A non-VAT registrant must not issue a VAT tax invoice. The package adopts seven-year retention for billing, receipt and tax records subject to the company's accountant and applicable law.</w:t>
      </w:r>
    </w:p>
    <w:p>
      <w:pPr>
        <w:pStyle w:val="Heading2"/>
        <w:bidi w:val="0"/>
        <w:jc w:val="start"/>
        <w:rPr/>
      </w:pPr>
      <w:r>
        <w:rPr/>
        <w:t>3. Operator sources</w:t>
      </w:r>
    </w:p>
    <w:p>
      <w:pPr>
        <w:pStyle w:val="BodyText"/>
        <w:bidi w:val="0"/>
        <w:jc w:val="start"/>
        <w:rPr/>
      </w:pPr>
      <w:r>
        <w:rPr/>
        <w:t xml:space="preserve">DBD registration package; </w:t>
      </w:r>
      <w:r>
        <w:rPr>
          <w:rStyle w:val="SourceText"/>
        </w:rPr>
        <w:t>counsel-brief-sku1.md</w:t>
      </w:r>
      <w:r>
        <w:rPr/>
        <w:t>; round-two technical answers; retention/closure clarification dated 27 July 2026.</w:t>
      </w:r>
    </w:p>
    <w:p>
      <w:pPr>
        <w:pStyle w:val="Heading2"/>
        <w:bidi w:val="0"/>
        <w:jc w:val="start"/>
        <w:rPr/>
      </w:pPr>
      <w:r>
        <w:rPr/>
        <w:t>4. Limitations</w:t>
      </w:r>
    </w:p>
    <w:p>
      <w:pPr>
        <w:pStyle w:val="BodyText"/>
        <w:bidi w:val="0"/>
        <w:spacing w:before="0" w:after="160"/>
        <w:jc w:val="start"/>
        <w:rPr/>
      </w:pPr>
      <w:r>
        <w:rPr/>
        <w:t>External Thai counsel approval is recorded through the business owner's attestation; the lawyer communication and counsel identity are retained outside Git, so this repository does not contain or claim a digitally signed Thai legal opinion. Product facts, provider contracts, controls and final Thai-language publication still require verification. Sources do not support claiming inactive Asia hosting, automatic contact purge, active partner, active AI or active Voice provider.</w:t>
      </w:r>
    </w:p>
    <w:sectPr>
      <w:type w:val="nextPage"/>
      <w:pgSz w:w="11906" w:h="16838"/>
      <w:pgMar w:left="1134" w:right="1134" w:gutter="0" w:header="0" w:top="1247" w:footer="0" w:bottom="124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Noto Sans Thai"/>
    <w:charset w:val="01" w:characterSet="utf-8"/>
    <w:family w:val="auto"/>
    <w:pitch w:val="default"/>
  </w:font>
  <w:font w:name="Noto Sans">
    <w:charset w:val="01" w:characterSet="utf-8"/>
    <w:family w:val="auto"/>
    <w:pitch w:val="variable"/>
  </w:font>
  <w:font w:name="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Noto Sans Thai;sans-serif" w:hAnsi="Arial;Noto Sans Thai;sans-serif" w:eastAsia="Arial;Noto Sans Thai;sans-serif" w:cs="Arial;Noto Sans Thai;sans-serif"/>
      <w:color w:val="171A1F"/>
      <w:sz w:val="21"/>
      <w:szCs w:val="21"/>
      <w:lang w:val="en-US" w:eastAsia="zh-CN" w:bidi="hi-IN"/>
    </w:rPr>
  </w:style>
  <w:style w:type="paragraph" w:styleId="Heading1">
    <w:name w:val="Heading 1"/>
    <w:basedOn w:val="Heading"/>
    <w:next w:val="BodyText"/>
    <w:qFormat/>
    <w:pPr>
      <w:spacing w:before="240" w:after="320"/>
    </w:pPr>
    <w:rPr>
      <w:rFonts w:ascii="Noto Sans" w:hAnsi="Noto Sans"/>
      <w:b/>
      <w:bCs/>
      <w:color w:val="0D4D3A"/>
      <w:sz w:val="46"/>
      <w:szCs w:val="46"/>
    </w:rPr>
  </w:style>
  <w:style w:type="paragraph" w:styleId="Heading2">
    <w:name w:val="Heading 2"/>
    <w:basedOn w:val="Heading"/>
    <w:next w:val="BodyText"/>
    <w:qFormat/>
    <w:pPr>
      <w:spacing w:before="360" w:after="160"/>
      <w:ind w:start="360" w:end="360"/>
      <w:outlineLvl w:val="1"/>
    </w:pPr>
    <w:rPr>
      <w:rFonts w:ascii="Liberation Serif" w:hAnsi="Liberation Serif" w:eastAsia="Noto Serif CJK SC" w:cs="Noto Sans Devanagari"/>
      <w:b/>
      <w:bCs/>
      <w:color w:val="126149"/>
      <w:sz w:val="30"/>
      <w:szCs w:val="30"/>
    </w:rPr>
  </w:style>
  <w:style w:type="paragraph" w:styleId="Heading3">
    <w:name w:val="Heading 3"/>
    <w:basedOn w:val="Heading"/>
    <w:next w:val="BodyText"/>
    <w:qFormat/>
    <w:pPr>
      <w:spacing w:before="280" w:after="120"/>
      <w:ind w:start="280" w:end="280"/>
      <w:outlineLvl w:val="2"/>
    </w:pPr>
    <w:rPr>
      <w:rFonts w:ascii="Liberation Serif" w:hAnsi="Liberation Serif" w:eastAsia="Noto Serif CJK SC" w:cs="Noto Sans Devanagari"/>
      <w:b/>
      <w:bCs/>
      <w:color w:val="173F35"/>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26149"/>
      <w:u w:val="single"/>
    </w:rPr>
  </w:style>
  <w:style w:type="character" w:styleId="SourceText">
    <w:name w:val="Source Text"/>
    <w:qFormat/>
    <w:rPr>
      <w:rFonts w:ascii="monospace" w:hAnsi="monospace" w:eastAsia="monospace" w:cs="monospace"/>
      <w:shd w:fill="F4F6F5"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126149"/>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73F35"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DJBOT Internal Privacy and AI Governance</dc:title>
</cp:coreProperties>
</file>

<file path=docProps/custom.xml><?xml version="1.0" encoding="utf-8"?>
<Properties xmlns="http://schemas.openxmlformats.org/officeDocument/2006/custom-properties" xmlns:vt="http://schemas.openxmlformats.org/officeDocument/2006/docPropsVTypes"/>
</file>