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81"/>
        <w:jc w:val="center"/>
      </w:pPr>
      <w:r>
        <w:rPr>
          <w:rFonts w:ascii="Noto Sans" w:hAnsi="Noto Sans" w:eastAsia="Noto Sans" w:cs="Noto Sans"/>
          <w:b/>
          <w:color w:val="1F2A44"/>
          <w:sz w:val="48"/>
        </w:rPr>
        <w:t>DJBOT Complete Legal Package</w:t>
      </w:r>
    </w:p>
    <w:p>
      <w:pPr>
        <w:jc w:val="center"/>
      </w:pPr>
      <w:r>
        <w:rPr>
          <w:rFonts w:ascii="Noto Sans" w:hAnsi="Noto Sans" w:eastAsia="Noto Sans" w:cs="Noto Sans"/>
          <w:color w:val="355D7A"/>
          <w:sz w:val="24"/>
        </w:rPr>
        <w:t>Master contracts, notices, product schedules and governance</w:t>
      </w:r>
    </w:p>
    <w:p>
      <w:pPr>
        <w:spacing w:before="737"/>
        <w:jc w:val="center"/>
      </w:pPr>
      <w:r>
        <w:rPr>
          <w:rFonts w:ascii="Noto Sans Thai" w:hAnsi="Noto Sans Thai" w:eastAsia="Noto Sans Thai" w:cs="Noto Sans Thai"/>
          <w:b/>
          <w:color w:val="333333"/>
          <w:sz w:val="20"/>
        </w:rPr>
        <w:t>DEEJAI LAB CO., LTD. / บริษัท ดีใจ แล็บ จำกัด</w:t>
        <w:br/>
      </w:r>
      <w:r>
        <w:rPr>
          <w:rFonts w:ascii="Noto Sans" w:hAnsi="Noto Sans" w:eastAsia="Noto Sans" w:cs="Noto Sans"/>
          <w:b w:val="0"/>
          <w:color w:val="333333"/>
          <w:sz w:val="20"/>
        </w:rPr>
        <w:t>Company registration no. 0105569117953</w:t>
        <w:br/>
      </w:r>
      <w:r>
        <w:rPr>
          <w:rFonts w:ascii="Noto Sans" w:hAnsi="Noto Sans" w:eastAsia="Noto Sans" w:cs="Noto Sans"/>
          <w:b w:val="0"/>
          <w:color w:val="333333"/>
          <w:sz w:val="20"/>
        </w:rPr>
        <w:t>DJAI Academy and DJBOT</w:t>
        <w:br/>
      </w:r>
      <w:r>
        <w:rPr>
          <w:rFonts w:ascii="Noto Sans" w:hAnsi="Noto Sans" w:eastAsia="Noto Sans" w:cs="Noto Sans"/>
          <w:b w:val="0"/>
          <w:color w:val="333333"/>
          <w:sz w:val="20"/>
        </w:rPr>
        <w:t>Drafting date: 27 July 2026</w:t>
        <w:br/>
      </w:r>
    </w:p>
    <w:tbl>
      <w:tblPr>
        <w:tblW w:type="auto" w:w="0"/>
        <w:jc w:val="center"/>
        <w:tblLook w:firstColumn="1" w:firstRow="1" w:lastColumn="0" w:lastRow="0" w:noHBand="0" w:noVBand="1" w:val="04A0"/>
      </w:tblPr>
      <w:tblGrid>
        <w:gridCol w:w="10148"/>
      </w:tblGrid>
      <w:tr>
        <w:tc>
          <w:tcPr>
            <w:tcW w:type="dxa" w:w="10148"/>
            <w:shd w:fill="F2F4F7"/>
            <w:tcMar>
              <w:top w:w="180" w:type="dxa"/>
              <w:start w:w="220" w:type="dxa"/>
              <w:bottom w:w="180" w:type="dxa"/>
              <w:end w:w="220" w:type="dxa"/>
            </w:tcMar>
          </w:tcPr>
          <w:p>
            <w:pPr>
              <w:jc w:val="center"/>
            </w:pPr>
            <w:r>
              <w:rPr>
                <w:rFonts w:ascii="Noto Sans" w:hAnsi="Noto Sans" w:eastAsia="Noto Sans" w:cs="Noto Sans"/>
                <w:b/>
                <w:color w:val="9C2B2E"/>
                <w:sz w:val="20"/>
              </w:rPr>
              <w:t>COUNSEL DRAFT - NOT APPROVED - NOT FOR PRODUCTION USE</w:t>
            </w:r>
          </w:p>
          <w:p>
            <w:pPr>
              <w:jc w:val="center"/>
            </w:pPr>
            <w:r>
              <w:rPr>
                <w:rFonts w:ascii="Noto Sans" w:hAnsi="Noto Sans" w:eastAsia="Noto Sans" w:cs="Noto Sans"/>
                <w:color w:val="555555"/>
                <w:sz w:val="17"/>
              </w:rPr>
              <w:t>Current-state facts control over target policy until technical verification and signed external Thai counsel approval.</w:t>
            </w:r>
          </w:p>
        </w:tc>
      </w:tr>
    </w:tbl>
    <w:p>
      <w:pPr>
        <w:spacing w:before="567"/>
        <w:jc w:val="center"/>
      </w:pPr>
      <w:r>
        <w:rPr>
          <w:rFonts w:ascii="Noto Sans" w:hAnsi="Noto Sans" w:eastAsia="Noto Sans" w:cs="Noto Sans"/>
          <w:b/>
          <w:color w:val="1F2A44"/>
          <w:sz w:val="20"/>
        </w:rPr>
        <w:t>Contains 47 legal documents</w:t>
      </w:r>
    </w:p>
    <w:p>
      <w:r>
        <w:br w:type="page"/>
      </w:r>
    </w:p>
    <w:p>
      <w:pPr>
        <w:pStyle w:val="Heading1"/>
      </w:pPr>
      <w:r>
        <w:t>Document Index</w:t>
      </w:r>
    </w:p>
    <w:p>
      <w:pPr>
        <w:spacing w:after="20"/>
        <w:ind w:left="340" w:hanging="255"/>
      </w:pPr>
      <w:r>
        <w:rPr>
          <w:rFonts w:ascii="Noto Sans" w:hAnsi="Noto Sans" w:eastAsia="Noto Sans" w:cs="Noto Sans"/>
          <w:b w:val="0"/>
          <w:i w:val="0"/>
          <w:sz w:val="17"/>
        </w:rPr>
        <w:t>1. Consolidated Counsel Brief - DJBOT Platform</w:t>
      </w:r>
    </w:p>
    <w:p>
      <w:pPr>
        <w:spacing w:after="20"/>
        <w:ind w:left="340" w:hanging="255"/>
      </w:pPr>
      <w:r>
        <w:rPr>
          <w:rFonts w:ascii="Noto Sans" w:hAnsi="Noto Sans" w:eastAsia="Noto Sans" w:cs="Noto Sans"/>
          <w:b w:val="0"/>
          <w:i w:val="0"/>
          <w:sz w:val="17"/>
        </w:rPr>
        <w:t>2. Controller and Processor Role Matrix</w:t>
      </w:r>
    </w:p>
    <w:p>
      <w:pPr>
        <w:spacing w:after="20"/>
        <w:ind w:left="340" w:hanging="255"/>
      </w:pPr>
      <w:r>
        <w:rPr>
          <w:rFonts w:ascii="Noto Sans" w:hAnsi="Noto Sans" w:eastAsia="Noto Sans" w:cs="Noto Sans"/>
          <w:b w:val="0"/>
          <w:i w:val="0"/>
          <w:sz w:val="17"/>
        </w:rPr>
        <w:t>3. Counsel Decision Schedule</w:t>
      </w:r>
    </w:p>
    <w:p>
      <w:pPr>
        <w:spacing w:after="20"/>
        <w:ind w:left="340" w:hanging="255"/>
      </w:pPr>
      <w:r>
        <w:rPr>
          <w:rFonts w:ascii="Noto Sans" w:hAnsi="Noto Sans" w:eastAsia="Noto Sans" w:cs="Noto Sans"/>
          <w:b w:val="0"/>
          <w:i w:val="0"/>
          <w:sz w:val="17"/>
        </w:rPr>
        <w:t>4. Counsel Approval Certificate - Standard Form</w:t>
      </w:r>
    </w:p>
    <w:p>
      <w:pPr>
        <w:spacing w:after="20"/>
        <w:ind w:left="340" w:hanging="255"/>
      </w:pPr>
      <w:r>
        <w:rPr>
          <w:rFonts w:ascii="Noto Sans" w:hAnsi="Noto Sans" w:eastAsia="Noto Sans" w:cs="Noto Sans"/>
          <w:b w:val="0"/>
          <w:i w:val="0"/>
          <w:sz w:val="17"/>
        </w:rPr>
        <w:t>5. Legal Version and Deployment Manifest</w:t>
      </w:r>
    </w:p>
    <w:p>
      <w:pPr>
        <w:spacing w:after="20"/>
        <w:ind w:left="340" w:hanging="255"/>
      </w:pPr>
      <w:r>
        <w:rPr>
          <w:rFonts w:ascii="Noto Sans" w:hAnsi="Noto Sans" w:eastAsia="Noto Sans" w:cs="Noto Sans"/>
          <w:b w:val="0"/>
          <w:i w:val="0"/>
          <w:sz w:val="17"/>
        </w:rPr>
        <w:t>6. DJBOT Master Terms of Service</w:t>
      </w:r>
    </w:p>
    <w:p>
      <w:pPr>
        <w:spacing w:after="20"/>
        <w:ind w:left="340" w:hanging="255"/>
      </w:pPr>
      <w:r>
        <w:rPr>
          <w:rFonts w:ascii="Noto Sans" w:hAnsi="Noto Sans" w:eastAsia="Noto Sans" w:cs="Noto Sans"/>
          <w:b w:val="0"/>
          <w:i w:val="0"/>
          <w:sz w:val="17"/>
        </w:rPr>
        <w:t>7. FlowBot Basic Product Schedule</w:t>
      </w:r>
    </w:p>
    <w:p>
      <w:pPr>
        <w:spacing w:after="20"/>
        <w:ind w:left="340" w:hanging="255"/>
      </w:pPr>
      <w:r>
        <w:rPr>
          <w:rFonts w:ascii="Noto Sans" w:hAnsi="Noto Sans" w:eastAsia="Noto Sans" w:cs="Noto Sans"/>
          <w:b w:val="0"/>
          <w:i w:val="0"/>
          <w:sz w:val="17"/>
        </w:rPr>
        <w:t>8. DJBOT Premium Product Schedule</w:t>
      </w:r>
    </w:p>
    <w:p>
      <w:pPr>
        <w:spacing w:after="20"/>
        <w:ind w:left="340" w:hanging="255"/>
      </w:pPr>
      <w:r>
        <w:rPr>
          <w:rFonts w:ascii="Noto Sans" w:hAnsi="Noto Sans" w:eastAsia="Noto Sans" w:cs="Noto Sans"/>
          <w:b w:val="0"/>
          <w:i w:val="0"/>
          <w:sz w:val="17"/>
        </w:rPr>
        <w:t>9. AI Text Bot Product Schedule</w:t>
      </w:r>
    </w:p>
    <w:p>
      <w:pPr>
        <w:spacing w:after="20"/>
        <w:ind w:left="340" w:hanging="255"/>
      </w:pPr>
      <w:r>
        <w:rPr>
          <w:rFonts w:ascii="Noto Sans" w:hAnsi="Noto Sans" w:eastAsia="Noto Sans" w:cs="Noto Sans"/>
          <w:b w:val="0"/>
          <w:i w:val="0"/>
          <w:sz w:val="17"/>
        </w:rPr>
        <w:t>10. Voice Bot Product Schedule</w:t>
      </w:r>
    </w:p>
    <w:p>
      <w:pPr>
        <w:spacing w:after="20"/>
        <w:ind w:left="340" w:hanging="255"/>
      </w:pPr>
      <w:r>
        <w:rPr>
          <w:rFonts w:ascii="Noto Sans" w:hAnsi="Noto Sans" w:eastAsia="Noto Sans" w:cs="Noto Sans"/>
          <w:b w:val="0"/>
          <w:i w:val="0"/>
          <w:sz w:val="17"/>
        </w:rPr>
        <w:t>11. LINE Channel Add-on Schedule</w:t>
      </w:r>
    </w:p>
    <w:p>
      <w:pPr>
        <w:spacing w:after="20"/>
        <w:ind w:left="340" w:hanging="255"/>
      </w:pPr>
      <w:r>
        <w:rPr>
          <w:rFonts w:ascii="Noto Sans" w:hAnsi="Noto Sans" w:eastAsia="Noto Sans" w:cs="Noto Sans"/>
          <w:b w:val="0"/>
          <w:i w:val="0"/>
          <w:sz w:val="17"/>
        </w:rPr>
        <w:t>12. DJBOT Acceptable Use Policy</w:t>
      </w:r>
    </w:p>
    <w:p>
      <w:pPr>
        <w:spacing w:after="20"/>
        <w:ind w:left="340" w:hanging="255"/>
      </w:pPr>
      <w:r>
        <w:rPr>
          <w:rFonts w:ascii="Noto Sans" w:hAnsi="Noto Sans" w:eastAsia="Noto Sans" w:cs="Noto Sans"/>
          <w:b w:val="0"/>
          <w:i w:val="0"/>
          <w:sz w:val="17"/>
        </w:rPr>
        <w:t>13. Merchant Data Processing Agreement</w:t>
      </w:r>
    </w:p>
    <w:p>
      <w:pPr>
        <w:spacing w:after="20"/>
        <w:ind w:left="340" w:hanging="255"/>
      </w:pPr>
      <w:r>
        <w:rPr>
          <w:rFonts w:ascii="Noto Sans" w:hAnsi="Noto Sans" w:eastAsia="Noto Sans" w:cs="Noto Sans"/>
          <w:b w:val="0"/>
          <w:i w:val="0"/>
          <w:sz w:val="17"/>
        </w:rPr>
        <w:t>14. DPA Schedule 1 - Processing Details</w:t>
      </w:r>
    </w:p>
    <w:p>
      <w:pPr>
        <w:spacing w:after="20"/>
        <w:ind w:left="340" w:hanging="255"/>
      </w:pPr>
      <w:r>
        <w:rPr>
          <w:rFonts w:ascii="Noto Sans" w:hAnsi="Noto Sans" w:eastAsia="Noto Sans" w:cs="Noto Sans"/>
          <w:b w:val="0"/>
          <w:i w:val="0"/>
          <w:sz w:val="17"/>
        </w:rPr>
        <w:t>15. DPA Schedule 2 - Technical and Organisational Measures</w:t>
      </w:r>
    </w:p>
    <w:p>
      <w:pPr>
        <w:spacing w:after="20"/>
        <w:ind w:left="340" w:hanging="255"/>
      </w:pPr>
      <w:r>
        <w:rPr>
          <w:rFonts w:ascii="Noto Sans" w:hAnsi="Noto Sans" w:eastAsia="Noto Sans" w:cs="Noto Sans"/>
          <w:b w:val="0"/>
          <w:i w:val="0"/>
          <w:sz w:val="17"/>
        </w:rPr>
        <w:t>16. DPA Schedule 3 - Subprocessors and External Platforms</w:t>
      </w:r>
    </w:p>
    <w:p>
      <w:pPr>
        <w:spacing w:after="20"/>
        <w:ind w:left="340" w:hanging="255"/>
      </w:pPr>
      <w:r>
        <w:rPr>
          <w:rFonts w:ascii="Noto Sans" w:hAnsi="Noto Sans" w:eastAsia="Noto Sans" w:cs="Noto Sans"/>
          <w:b w:val="0"/>
          <w:i w:val="0"/>
          <w:sz w:val="17"/>
        </w:rPr>
        <w:t>17. FlowBot Basic Controller-to-Controller Data Use Addendum</w:t>
      </w:r>
    </w:p>
    <w:p>
      <w:pPr>
        <w:spacing w:after="20"/>
        <w:ind w:left="340" w:hanging="255"/>
      </w:pPr>
      <w:r>
        <w:rPr>
          <w:rFonts w:ascii="Noto Sans" w:hAnsi="Noto Sans" w:eastAsia="Noto Sans" w:cs="Noto Sans"/>
          <w:b w:val="0"/>
          <w:i w:val="0"/>
          <w:sz w:val="17"/>
        </w:rPr>
        <w:t>18. Marketing Partner Standard Data Sharing Terms</w:t>
      </w:r>
    </w:p>
    <w:p>
      <w:pPr>
        <w:spacing w:after="20"/>
        <w:ind w:left="340" w:hanging="255"/>
      </w:pPr>
      <w:r>
        <w:rPr>
          <w:rFonts w:ascii="Noto Sans" w:hAnsi="Noto Sans" w:eastAsia="Noto Sans" w:cs="Noto Sans"/>
          <w:b w:val="0"/>
          <w:i w:val="0"/>
          <w:sz w:val="17"/>
        </w:rPr>
        <w:t>19. Marketing Partner Schedule</w:t>
      </w:r>
    </w:p>
    <w:p>
      <w:pPr>
        <w:spacing w:after="20"/>
        <w:ind w:left="340" w:hanging="255"/>
      </w:pPr>
      <w:r>
        <w:rPr>
          <w:rFonts w:ascii="Noto Sans" w:hAnsi="Noto Sans" w:eastAsia="Noto Sans" w:cs="Noto Sans"/>
          <w:b w:val="0"/>
          <w:i w:val="0"/>
          <w:sz w:val="17"/>
        </w:rPr>
        <w:t>20. Deejai Lab Privacy Notice</w:t>
      </w:r>
    </w:p>
    <w:p>
      <w:pPr>
        <w:spacing w:after="20"/>
        <w:ind w:left="340" w:hanging="255"/>
      </w:pPr>
      <w:r>
        <w:rPr>
          <w:rFonts w:ascii="Noto Sans" w:hAnsi="Noto Sans" w:eastAsia="Noto Sans" w:cs="Noto Sans"/>
          <w:b w:val="0"/>
          <w:i w:val="0"/>
          <w:sz w:val="17"/>
        </w:rPr>
        <w:t>21. Layered End-Customer Privacy Notice</w:t>
      </w:r>
    </w:p>
    <w:p>
      <w:pPr>
        <w:spacing w:after="20"/>
        <w:ind w:left="340" w:hanging="255"/>
      </w:pPr>
      <w:r>
        <w:rPr>
          <w:rFonts w:ascii="Noto Sans" w:hAnsi="Noto Sans" w:eastAsia="Noto Sans" w:cs="Noto Sans"/>
          <w:b w:val="0"/>
          <w:i w:val="0"/>
          <w:sz w:val="17"/>
        </w:rPr>
        <w:t>22. FlowBot Basic Data Use Notice</w:t>
      </w:r>
    </w:p>
    <w:p>
      <w:pPr>
        <w:spacing w:after="20"/>
        <w:ind w:left="340" w:hanging="255"/>
      </w:pPr>
      <w:r>
        <w:rPr>
          <w:rFonts w:ascii="Noto Sans" w:hAnsi="Noto Sans" w:eastAsia="Noto Sans" w:cs="Noto Sans"/>
          <w:b w:val="0"/>
          <w:i w:val="0"/>
          <w:sz w:val="17"/>
        </w:rPr>
        <w:t>23. Premium Data Use Notice</w:t>
      </w:r>
    </w:p>
    <w:p>
      <w:pPr>
        <w:spacing w:after="20"/>
        <w:ind w:left="340" w:hanging="255"/>
      </w:pPr>
      <w:r>
        <w:rPr>
          <w:rFonts w:ascii="Noto Sans" w:hAnsi="Noto Sans" w:eastAsia="Noto Sans" w:cs="Noto Sans"/>
          <w:b w:val="0"/>
          <w:i w:val="0"/>
          <w:sz w:val="17"/>
        </w:rPr>
        <w:t>24. Model Development Data Notice</w:t>
      </w:r>
    </w:p>
    <w:p>
      <w:pPr>
        <w:spacing w:after="20"/>
        <w:ind w:left="340" w:hanging="255"/>
      </w:pPr>
      <w:r>
        <w:rPr>
          <w:rFonts w:ascii="Noto Sans" w:hAnsi="Noto Sans" w:eastAsia="Noto Sans" w:cs="Noto Sans"/>
          <w:b w:val="0"/>
          <w:i w:val="0"/>
          <w:sz w:val="17"/>
        </w:rPr>
        <w:t>25. Deejai Marketing Consent Text</w:t>
      </w:r>
    </w:p>
    <w:p>
      <w:pPr>
        <w:spacing w:after="20"/>
        <w:ind w:left="340" w:hanging="255"/>
      </w:pPr>
      <w:r>
        <w:rPr>
          <w:rFonts w:ascii="Noto Sans" w:hAnsi="Noto Sans" w:eastAsia="Noto Sans" w:cs="Noto Sans"/>
          <w:b w:val="0"/>
          <w:i w:val="0"/>
          <w:sz w:val="17"/>
        </w:rPr>
        <w:t>26. Marketing Partner Consent Text</w:t>
      </w:r>
    </w:p>
    <w:p>
      <w:pPr>
        <w:spacing w:after="20"/>
        <w:ind w:left="340" w:hanging="255"/>
      </w:pPr>
      <w:r>
        <w:rPr>
          <w:rFonts w:ascii="Noto Sans" w:hAnsi="Noto Sans" w:eastAsia="Noto Sans" w:cs="Noto Sans"/>
          <w:b w:val="0"/>
          <w:i w:val="0"/>
          <w:sz w:val="17"/>
        </w:rPr>
        <w:t>27. Model Development Consent Text</w:t>
      </w:r>
    </w:p>
    <w:p>
      <w:pPr>
        <w:spacing w:after="20"/>
        <w:ind w:left="340" w:hanging="255"/>
      </w:pPr>
      <w:r>
        <w:rPr>
          <w:rFonts w:ascii="Noto Sans" w:hAnsi="Noto Sans" w:eastAsia="Noto Sans" w:cs="Noto Sans"/>
          <w:b w:val="0"/>
          <w:i w:val="0"/>
          <w:sz w:val="17"/>
        </w:rPr>
        <w:t>28. Consent Withdrawal and Preference Notice</w:t>
      </w:r>
    </w:p>
    <w:p>
      <w:pPr>
        <w:spacing w:after="20"/>
        <w:ind w:left="340" w:hanging="255"/>
      </w:pPr>
      <w:r>
        <w:rPr>
          <w:rFonts w:ascii="Noto Sans" w:hAnsi="Noto Sans" w:eastAsia="Noto Sans" w:cs="Noto Sans"/>
          <w:b w:val="0"/>
          <w:i w:val="0"/>
          <w:sz w:val="17"/>
        </w:rPr>
        <w:t>29. AI Text Bot Interaction Notice</w:t>
      </w:r>
    </w:p>
    <w:p>
      <w:pPr>
        <w:spacing w:after="20"/>
        <w:ind w:left="340" w:hanging="255"/>
      </w:pPr>
      <w:r>
        <w:rPr>
          <w:rFonts w:ascii="Noto Sans" w:hAnsi="Noto Sans" w:eastAsia="Noto Sans" w:cs="Noto Sans"/>
          <w:b w:val="0"/>
          <w:i w:val="0"/>
          <w:sz w:val="17"/>
        </w:rPr>
        <w:t>30. Voice Call Notice and Consent Scripts</w:t>
      </w:r>
    </w:p>
    <w:p>
      <w:pPr>
        <w:spacing w:after="20"/>
        <w:ind w:left="340" w:hanging="255"/>
      </w:pPr>
      <w:r>
        <w:rPr>
          <w:rFonts w:ascii="Noto Sans" w:hAnsi="Noto Sans" w:eastAsia="Noto Sans" w:cs="Noto Sans"/>
          <w:b w:val="0"/>
          <w:i w:val="0"/>
          <w:sz w:val="17"/>
        </w:rPr>
        <w:t>31. Data Flow Map and Processing Narrative</w:t>
      </w:r>
    </w:p>
    <w:p>
      <w:pPr>
        <w:spacing w:after="20"/>
        <w:ind w:left="340" w:hanging="255"/>
      </w:pPr>
      <w:r>
        <w:rPr>
          <w:rFonts w:ascii="Noto Sans" w:hAnsi="Noto Sans" w:eastAsia="Noto Sans" w:cs="Noto Sans"/>
          <w:b w:val="0"/>
          <w:i w:val="0"/>
          <w:sz w:val="17"/>
        </w:rPr>
        <w:t>32. Record of Processing Activities</w:t>
      </w:r>
    </w:p>
    <w:p>
      <w:pPr>
        <w:spacing w:after="20"/>
        <w:ind w:left="340" w:hanging="255"/>
      </w:pPr>
      <w:r>
        <w:rPr>
          <w:rFonts w:ascii="Noto Sans" w:hAnsi="Noto Sans" w:eastAsia="Noto Sans" w:cs="Noto Sans"/>
          <w:b w:val="0"/>
          <w:i w:val="0"/>
          <w:sz w:val="17"/>
        </w:rPr>
        <w:t>33. Legal Basis Matrix</w:t>
      </w:r>
    </w:p>
    <w:p>
      <w:pPr>
        <w:spacing w:after="20"/>
        <w:ind w:left="340" w:hanging="255"/>
      </w:pPr>
      <w:r>
        <w:rPr>
          <w:rFonts w:ascii="Noto Sans" w:hAnsi="Noto Sans" w:eastAsia="Noto Sans" w:cs="Noto Sans"/>
          <w:b w:val="0"/>
          <w:i w:val="0"/>
          <w:sz w:val="17"/>
        </w:rPr>
        <w:t>34. Consent Governance Specification</w:t>
      </w:r>
    </w:p>
    <w:p>
      <w:pPr>
        <w:spacing w:after="20"/>
        <w:ind w:left="340" w:hanging="255"/>
      </w:pPr>
      <w:r>
        <w:rPr>
          <w:rFonts w:ascii="Noto Sans" w:hAnsi="Noto Sans" w:eastAsia="Noto Sans" w:cs="Noto Sans"/>
          <w:b w:val="0"/>
          <w:i w:val="0"/>
          <w:sz w:val="17"/>
        </w:rPr>
        <w:t>35. Marketing Suppression Policy</w:t>
      </w:r>
    </w:p>
    <w:p>
      <w:pPr>
        <w:spacing w:after="20"/>
        <w:ind w:left="340" w:hanging="255"/>
      </w:pPr>
      <w:r>
        <w:rPr>
          <w:rFonts w:ascii="Noto Sans" w:hAnsi="Noto Sans" w:eastAsia="Noto Sans" w:cs="Noto Sans"/>
          <w:b w:val="0"/>
          <w:i w:val="0"/>
          <w:sz w:val="17"/>
        </w:rPr>
        <w:t>36. Model Development Governance Policy</w:t>
      </w:r>
    </w:p>
    <w:p>
      <w:pPr>
        <w:spacing w:after="20"/>
        <w:ind w:left="340" w:hanging="255"/>
      </w:pPr>
      <w:r>
        <w:rPr>
          <w:rFonts w:ascii="Noto Sans" w:hAnsi="Noto Sans" w:eastAsia="Noto Sans" w:cs="Noto Sans"/>
          <w:b w:val="0"/>
          <w:i w:val="0"/>
          <w:sz w:val="17"/>
        </w:rPr>
        <w:t>37. Model Dataset Register</w:t>
      </w:r>
    </w:p>
    <w:p>
      <w:pPr>
        <w:spacing w:after="20"/>
        <w:ind w:left="340" w:hanging="255"/>
      </w:pPr>
      <w:r>
        <w:rPr>
          <w:rFonts w:ascii="Noto Sans" w:hAnsi="Noto Sans" w:eastAsia="Noto Sans" w:cs="Noto Sans"/>
          <w:b w:val="0"/>
          <w:i w:val="0"/>
          <w:sz w:val="17"/>
        </w:rPr>
        <w:t>38. Retention and Deletion Standard</w:t>
      </w:r>
    </w:p>
    <w:p>
      <w:pPr>
        <w:spacing w:after="20"/>
        <w:ind w:left="340" w:hanging="255"/>
      </w:pPr>
      <w:r>
        <w:rPr>
          <w:rFonts w:ascii="Noto Sans" w:hAnsi="Noto Sans" w:eastAsia="Noto Sans" w:cs="Noto Sans"/>
          <w:b w:val="0"/>
          <w:i w:val="0"/>
          <w:sz w:val="17"/>
        </w:rPr>
        <w:t>39. DSAR Residual List and Counsel Sign-off Record</w:t>
      </w:r>
    </w:p>
    <w:p>
      <w:pPr>
        <w:spacing w:after="20"/>
        <w:ind w:left="340" w:hanging="255"/>
      </w:pPr>
      <w:r>
        <w:rPr>
          <w:rFonts w:ascii="Noto Sans" w:hAnsi="Noto Sans" w:eastAsia="Noto Sans" w:cs="Noto Sans"/>
          <w:b w:val="0"/>
          <w:i w:val="0"/>
          <w:sz w:val="17"/>
        </w:rPr>
        <w:t>40. International Transfer Assessment</w:t>
      </w:r>
    </w:p>
    <w:p>
      <w:pPr>
        <w:spacing w:after="20"/>
        <w:ind w:left="340" w:hanging="255"/>
      </w:pPr>
      <w:r>
        <w:rPr>
          <w:rFonts w:ascii="Noto Sans" w:hAnsi="Noto Sans" w:eastAsia="Noto Sans" w:cs="Noto Sans"/>
          <w:b w:val="0"/>
          <w:i w:val="0"/>
          <w:sz w:val="17"/>
        </w:rPr>
        <w:t>41. Vendor and Subprocessor Due-Diligence Standard</w:t>
      </w:r>
    </w:p>
    <w:p>
      <w:pPr>
        <w:spacing w:after="20"/>
        <w:ind w:left="340" w:hanging="255"/>
      </w:pPr>
      <w:r>
        <w:rPr>
          <w:rFonts w:ascii="Noto Sans" w:hAnsi="Noto Sans" w:eastAsia="Noto Sans" w:cs="Noto Sans"/>
          <w:b w:val="0"/>
          <w:i w:val="0"/>
          <w:sz w:val="17"/>
        </w:rPr>
        <w:t>42. Personal Data Breach Response Plan</w:t>
      </w:r>
    </w:p>
    <w:p>
      <w:pPr>
        <w:spacing w:after="20"/>
        <w:ind w:left="340" w:hanging="255"/>
      </w:pPr>
      <w:r>
        <w:rPr>
          <w:rFonts w:ascii="Noto Sans" w:hAnsi="Noto Sans" w:eastAsia="Noto Sans" w:cs="Noto Sans"/>
          <w:b w:val="0"/>
          <w:i w:val="0"/>
          <w:sz w:val="17"/>
        </w:rPr>
        <w:t>43. Children and Sensitive Data Policy</w:t>
      </w:r>
    </w:p>
    <w:p>
      <w:pPr>
        <w:spacing w:after="20"/>
        <w:ind w:left="340" w:hanging="255"/>
      </w:pPr>
      <w:r>
        <w:rPr>
          <w:rFonts w:ascii="Noto Sans" w:hAnsi="Noto Sans" w:eastAsia="Noto Sans" w:cs="Noto Sans"/>
          <w:b w:val="0"/>
          <w:i w:val="0"/>
          <w:sz w:val="17"/>
        </w:rPr>
        <w:t>44. Merchant Registration and Bot Publication Controls</w:t>
      </w:r>
    </w:p>
    <w:p>
      <w:pPr>
        <w:spacing w:after="20"/>
        <w:ind w:left="340" w:hanging="255"/>
      </w:pPr>
      <w:r>
        <w:rPr>
          <w:rFonts w:ascii="Noto Sans" w:hAnsi="Noto Sans" w:eastAsia="Noto Sans" w:cs="Noto Sans"/>
          <w:b w:val="0"/>
          <w:i w:val="0"/>
          <w:sz w:val="17"/>
        </w:rPr>
        <w:t>45. Current-State Disclosure and Launch Conditions</w:t>
      </w:r>
    </w:p>
    <w:p>
      <w:pPr>
        <w:spacing w:after="20"/>
        <w:ind w:left="340" w:hanging="255"/>
      </w:pPr>
      <w:r>
        <w:rPr>
          <w:rFonts w:ascii="Noto Sans" w:hAnsi="Noto Sans" w:eastAsia="Noto Sans" w:cs="Noto Sans"/>
          <w:b w:val="0"/>
          <w:i w:val="0"/>
          <w:sz w:val="17"/>
        </w:rPr>
        <w:t>46. Launch Readiness Certificate - Standard</w:t>
      </w:r>
    </w:p>
    <w:p>
      <w:pPr>
        <w:spacing w:after="20"/>
        <w:ind w:left="340" w:hanging="255"/>
      </w:pPr>
      <w:r>
        <w:rPr>
          <w:rFonts w:ascii="Noto Sans" w:hAnsi="Noto Sans" w:eastAsia="Noto Sans" w:cs="Noto Sans"/>
          <w:b w:val="0"/>
          <w:i w:val="0"/>
          <w:sz w:val="17"/>
        </w:rPr>
        <w:t>47. Legal Authority and Source Notes</w:t>
      </w:r>
    </w:p>
    <w:p>
      <w:r>
        <w:br w:type="page"/>
      </w:r>
    </w:p>
    <w:p>
      <w:pPr>
        <w:pStyle w:val="Heading1"/>
      </w:pPr>
      <w:r>
        <w:rPr>
          <w:rFonts w:ascii="Noto Sans" w:hAnsi="Noto Sans" w:eastAsia="Noto Sans" w:cs="Noto Sans"/>
          <w:b/>
          <w:i w:val="0"/>
          <w:sz w:val="32"/>
        </w:rPr>
        <w:t>Consolidated Counsel Brief - DJBOT Platform</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Instruction and scope</w:t>
      </w:r>
    </w:p>
    <w:p>
      <w:pPr>
        <w:spacing w:before="0" w:after="80" w:line="252" w:lineRule="auto"/>
      </w:pPr>
      <w:r>
        <w:rPr>
          <w:rFonts w:ascii="Noto Sans" w:hAnsi="Noto Sans" w:eastAsia="Noto Sans" w:cs="Noto Sans"/>
          <w:b w:val="0"/>
          <w:i w:val="0"/>
          <w:sz w:val="18"/>
        </w:rPr>
        <w:t xml:space="preserve">This brief requests legal approval for a modular Thai SaaS framework. It supersedes the SKU1-only brief for </w:t>
      </w:r>
      <w:r>
        <w:rPr>
          <w:rFonts w:ascii="Noto Sans Mono" w:hAnsi="Noto Sans Mono" w:eastAsia="Noto Sans Mono" w:cs="Noto Sans Mono"/>
          <w:b w:val="0"/>
          <w:i w:val="0"/>
          <w:color w:val="464646"/>
          <w:sz w:val="18"/>
        </w:rPr>
        <w:t>flowbot_basic</w:t>
      </w:r>
      <w:r>
        <w:rPr>
          <w:rFonts w:ascii="Noto Sans" w:hAnsi="Noto Sans" w:eastAsia="Noto Sans" w:cs="Noto Sans"/>
          <w:b w:val="0"/>
          <w:i w:val="0"/>
          <w:sz w:val="18"/>
        </w:rPr>
        <w:t xml:space="preserve"> but preserves the rule that each product or channel requires its own documented approval before activation.</w:t>
      </w:r>
    </w:p>
    <w:p>
      <w:pPr>
        <w:spacing w:before="0" w:after="80" w:line="252" w:lineRule="auto"/>
      </w:pPr>
      <w:r>
        <w:rPr>
          <w:rFonts w:ascii="Noto Sans" w:hAnsi="Noto Sans" w:eastAsia="Noto Sans" w:cs="Noto Sans"/>
          <w:b w:val="0"/>
          <w:i w:val="0"/>
          <w:sz w:val="18"/>
        </w:rPr>
        <w:t>Covered products and uses:</w:t>
      </w:r>
    </w:p>
    <w:p>
      <w:pPr>
        <w:spacing w:after="30"/>
        <w:ind w:left="369" w:hanging="170"/>
      </w:pPr>
      <w:r>
        <w:rPr>
          <w:rFonts w:ascii="Noto Sans" w:hAnsi="Noto Sans" w:eastAsia="Noto Sans" w:cs="Noto Sans"/>
          <w:b w:val="0"/>
          <w:i w:val="0"/>
          <w:sz w:val="17"/>
        </w:rPr>
        <w:t>• FlowBot Basic: rule-based website chat and lead capture.</w:t>
      </w:r>
    </w:p>
    <w:p>
      <w:pPr>
        <w:spacing w:after="30"/>
        <w:ind w:left="369" w:hanging="170"/>
      </w:pPr>
      <w:r>
        <w:rPr>
          <w:rFonts w:ascii="Noto Sans" w:hAnsi="Noto Sans" w:eastAsia="Noto Sans" w:cs="Noto Sans"/>
          <w:b w:val="0"/>
          <w:i w:val="0"/>
          <w:sz w:val="17"/>
        </w:rPr>
        <w:t>• FlowBot Premium: enhanced plan with no Deejai use of end-customer contact details for Deejai or partner marketing.</w:t>
      </w:r>
    </w:p>
    <w:p>
      <w:pPr>
        <w:spacing w:after="30"/>
        <w:ind w:left="369" w:hanging="170"/>
      </w:pPr>
      <w:r>
        <w:rPr>
          <w:rFonts w:ascii="Noto Sans" w:hAnsi="Noto Sans" w:eastAsia="Noto Sans" w:cs="Noto Sans"/>
          <w:b w:val="0"/>
          <w:i w:val="0"/>
          <w:sz w:val="17"/>
        </w:rPr>
        <w:t>• AI Text Bot: dormant until an approved AI provider and release are recorded.</w:t>
      </w:r>
    </w:p>
    <w:p>
      <w:pPr>
        <w:spacing w:after="30"/>
        <w:ind w:left="369" w:hanging="170"/>
      </w:pPr>
      <w:r>
        <w:rPr>
          <w:rFonts w:ascii="Noto Sans" w:hAnsi="Noto Sans" w:eastAsia="Noto Sans" w:cs="Noto Sans"/>
          <w:b w:val="0"/>
          <w:i w:val="0"/>
          <w:sz w:val="17"/>
        </w:rPr>
        <w:t>• Voice Bot: dormant until telephony, speech, recording and calling controls are approved.</w:t>
      </w:r>
    </w:p>
    <w:p>
      <w:pPr>
        <w:spacing w:after="30"/>
        <w:ind w:left="369" w:hanging="170"/>
      </w:pPr>
      <w:r>
        <w:rPr>
          <w:rFonts w:ascii="Noto Sans" w:hAnsi="Noto Sans" w:eastAsia="Noto Sans" w:cs="Noto Sans"/>
          <w:b w:val="0"/>
          <w:i w:val="0"/>
          <w:sz w:val="17"/>
        </w:rPr>
        <w:t>• LINE Channel Add-on: optional and separately approved.</w:t>
      </w:r>
    </w:p>
    <w:p>
      <w:pPr>
        <w:spacing w:after="30"/>
        <w:ind w:left="369" w:hanging="170"/>
      </w:pPr>
      <w:r>
        <w:rPr>
          <w:rFonts w:ascii="Noto Sans" w:hAnsi="Noto Sans" w:eastAsia="Noto Sans" w:cs="Noto Sans"/>
          <w:b w:val="0"/>
          <w:i w:val="0"/>
          <w:sz w:val="17"/>
        </w:rPr>
        <w:t>• Deejai marketing, partner marketing and model development, each separated from merchant-service processing.</w:t>
      </w:r>
    </w:p>
    <w:p>
      <w:pPr>
        <w:pStyle w:val="Heading2"/>
      </w:pPr>
      <w:r>
        <w:rPr>
          <w:rFonts w:ascii="Noto Sans" w:hAnsi="Noto Sans" w:eastAsia="Noto Sans" w:cs="Noto Sans"/>
          <w:b/>
          <w:i w:val="0"/>
          <w:sz w:val="24"/>
        </w:rPr>
        <w:t>2. Legal entity</w:t>
      </w:r>
    </w:p>
    <w:p>
      <w:pPr>
        <w:spacing w:before="0" w:after="80" w:line="252" w:lineRule="auto"/>
      </w:pPr>
      <w:r>
        <w:rPr>
          <w:rFonts w:ascii="Noto Sans" w:hAnsi="Noto Sans" w:eastAsia="Noto Sans" w:cs="Noto Sans"/>
          <w:b w:val="0"/>
          <w:i w:val="0"/>
          <w:sz w:val="18"/>
        </w:rPr>
        <w:t>The contracting entity is DEEJAI LAB CO., LTD., registration number 0105569117953, with registered office at 48/187 Soi Sukhumvit 64, Bang Chak, Phra Khanong, Bangkok, Thailand. DJAI Academy and DJBOT are brands. Company registry materials state that one director may sign and bind the company. Registered objectives include digital platforms, SaaS, AI/technology training, consulting, software, cloud systems and IT outsourcing.</w:t>
      </w:r>
    </w:p>
    <w:p>
      <w:pPr>
        <w:pStyle w:val="Heading2"/>
      </w:pPr>
      <w:r>
        <w:rPr>
          <w:rFonts w:ascii="Noto Sans" w:hAnsi="Noto Sans" w:eastAsia="Noto Sans" w:cs="Noto Sans"/>
          <w:b/>
          <w:i w:val="0"/>
          <w:sz w:val="24"/>
        </w:rPr>
        <w:t>3. FlowBot Basic commercial facts</w:t>
      </w:r>
    </w:p>
    <w:p>
      <w:pPr>
        <w:spacing w:before="0" w:after="80" w:line="252" w:lineRule="auto"/>
      </w:pPr>
      <w:r>
        <w:rPr>
          <w:rFonts w:ascii="Noto Sans" w:hAnsi="Noto Sans" w:eastAsia="Noto Sans" w:cs="Noto Sans"/>
          <w:b w:val="0"/>
          <w:i w:val="0"/>
          <w:sz w:val="18"/>
        </w:rPr>
        <w:t>FlowBot Basic includes one active bot, one workspace, one included administrator seat and 50,000 flow executions per annual billing period. First-year price is THB 2,499 tax-inclusive; renewal is THB 4,999 tax-inclusive per year. Excess executions are refused rather than automatically billed. Additional administrators are THB 99/month each; an additional workspace is from THB 299/month; an additional supported social channel is THB 299/month; optional starter setup is from THB 3,900.</w:t>
      </w:r>
    </w:p>
    <w:p>
      <w:pPr>
        <w:spacing w:before="0" w:after="80" w:line="252" w:lineRule="auto"/>
      </w:pPr>
      <w:r>
        <w:rPr>
          <w:rFonts w:ascii="Noto Sans" w:hAnsi="Noto Sans" w:eastAsia="Noto Sans" w:cs="Noto Sans"/>
          <w:b w:val="0"/>
          <w:i w:val="0"/>
          <w:sz w:val="18"/>
        </w:rPr>
        <w:t>A target maximum of three authorised website domains per bot is adopted, but the platform must enforce it before the Product Schedule becomes effective.</w:t>
      </w:r>
    </w:p>
    <w:p>
      <w:pPr>
        <w:pStyle w:val="Heading2"/>
      </w:pPr>
      <w:r>
        <w:rPr>
          <w:rFonts w:ascii="Noto Sans" w:hAnsi="Noto Sans" w:eastAsia="Noto Sans" w:cs="Noto Sans"/>
          <w:b/>
          <w:i w:val="0"/>
          <w:sz w:val="24"/>
        </w:rPr>
        <w:t>4. Role model</w:t>
      </w:r>
    </w:p>
    <w:p>
      <w:pPr>
        <w:spacing w:before="0" w:after="80" w:line="252" w:lineRule="auto"/>
      </w:pPr>
      <w:r>
        <w:rPr>
          <w:rFonts w:ascii="Noto Sans" w:hAnsi="Noto Sans" w:eastAsia="Noto Sans" w:cs="Noto Sans"/>
          <w:b w:val="0"/>
          <w:i w:val="0"/>
          <w:sz w:val="18"/>
        </w:rPr>
        <w:t>For a merchant enquiry, lead, merchant workspace and merchant-directed marketing, the Merchant is controller and Deejai is processor under the DPA.</w:t>
      </w:r>
    </w:p>
    <w:p>
      <w:pPr>
        <w:spacing w:before="0" w:after="80" w:line="252" w:lineRule="auto"/>
      </w:pPr>
      <w:r>
        <w:rPr>
          <w:rFonts w:ascii="Noto Sans" w:hAnsi="Noto Sans" w:eastAsia="Noto Sans" w:cs="Noto Sans"/>
          <w:b w:val="0"/>
          <w:i w:val="0"/>
          <w:sz w:val="18"/>
        </w:rPr>
        <w:t>For merchant accounts, billing, security, fraud prevention, Deejai marketing, partner marketing and model development, Deejai determines its own purpose and acts as controller. Basic-plan independent uses are governed by a controller-to-controller addendum and separate end-customer choices.</w:t>
      </w:r>
    </w:p>
    <w:p>
      <w:pPr>
        <w:spacing w:before="0" w:after="80" w:line="252" w:lineRule="auto"/>
      </w:pPr>
      <w:r>
        <w:rPr>
          <w:rFonts w:ascii="Noto Sans" w:hAnsi="Noto Sans" w:eastAsia="Noto Sans" w:cs="Noto Sans"/>
          <w:b w:val="0"/>
          <w:i w:val="0"/>
          <w:sz w:val="18"/>
        </w:rPr>
        <w:t>The following must be separate, unticked and optional:</w:t>
      </w:r>
    </w:p>
    <w:p>
      <w:pPr>
        <w:spacing w:after="30"/>
        <w:ind w:left="369" w:hanging="255"/>
      </w:pPr>
      <w:r>
        <w:rPr>
          <w:rFonts w:ascii="Noto Sans" w:hAnsi="Noto Sans" w:eastAsia="Noto Sans" w:cs="Noto Sans"/>
          <w:b w:val="0"/>
          <w:i w:val="0"/>
          <w:sz w:val="17"/>
        </w:rPr>
        <w:t>1. Deejai marketing.</w:t>
      </w:r>
    </w:p>
    <w:p>
      <w:pPr>
        <w:spacing w:after="30"/>
        <w:ind w:left="369" w:hanging="255"/>
      </w:pPr>
      <w:r>
        <w:rPr>
          <w:rFonts w:ascii="Noto Sans" w:hAnsi="Noto Sans" w:eastAsia="Noto Sans" w:cs="Noto Sans"/>
          <w:b w:val="0"/>
          <w:i w:val="0"/>
          <w:sz w:val="17"/>
        </w:rPr>
        <w:t>2. Marketing-partner disclosure.</w:t>
      </w:r>
    </w:p>
    <w:p>
      <w:pPr>
        <w:spacing w:after="30"/>
        <w:ind w:left="369" w:hanging="255"/>
      </w:pPr>
      <w:r>
        <w:rPr>
          <w:rFonts w:ascii="Noto Sans" w:hAnsi="Noto Sans" w:eastAsia="Noto Sans" w:cs="Noto Sans"/>
          <w:b w:val="0"/>
          <w:i w:val="0"/>
          <w:sz w:val="17"/>
        </w:rPr>
        <w:t>3. Model development.</w:t>
      </w:r>
    </w:p>
    <w:p>
      <w:pPr>
        <w:spacing w:before="0" w:after="80" w:line="252" w:lineRule="auto"/>
      </w:pPr>
      <w:r>
        <w:rPr>
          <w:rFonts w:ascii="Noto Sans" w:hAnsi="Noto Sans" w:eastAsia="Noto Sans" w:cs="Noto Sans"/>
          <w:b w:val="0"/>
          <w:i w:val="0"/>
          <w:sz w:val="18"/>
        </w:rPr>
        <w:t>Partner sharing remains disabled until a named partner is approved and contracted.</w:t>
      </w:r>
    </w:p>
    <w:p>
      <w:pPr>
        <w:pStyle w:val="Heading2"/>
      </w:pPr>
      <w:r>
        <w:rPr>
          <w:rFonts w:ascii="Noto Sans" w:hAnsi="Noto Sans" w:eastAsia="Noto Sans" w:cs="Noto Sans"/>
          <w:b/>
          <w:i w:val="0"/>
          <w:sz w:val="24"/>
        </w:rPr>
        <w:t>5. Model-development rule</w:t>
      </w:r>
    </w:p>
    <w:p>
      <w:pPr>
        <w:spacing w:before="0" w:after="80" w:line="252" w:lineRule="auto"/>
      </w:pPr>
      <w:r>
        <w:rPr>
          <w:rFonts w:ascii="Noto Sans" w:hAnsi="Noto Sans" w:eastAsia="Noto Sans" w:cs="Noto Sans"/>
          <w:b w:val="0"/>
          <w:i w:val="0"/>
          <w:sz w:val="18"/>
        </w:rPr>
        <w:t xml:space="preserve">The package does not call conversation data anonymous. It uses </w:t>
      </w:r>
      <w:r>
        <w:rPr>
          <w:rFonts w:ascii="Noto Sans" w:hAnsi="Noto Sans" w:eastAsia="Noto Sans" w:cs="Noto Sans"/>
          <w:b/>
          <w:i w:val="0"/>
          <w:sz w:val="18"/>
        </w:rPr>
        <w:t>Training Conversation Data</w:t>
      </w:r>
      <w:r>
        <w:rPr>
          <w:rFonts w:ascii="Noto Sans" w:hAnsi="Noto Sans" w:eastAsia="Noto Sans" w:cs="Noto Sans"/>
          <w:b w:val="0"/>
          <w:i w:val="0"/>
          <w:sz w:val="18"/>
        </w:rPr>
        <w:t xml:space="preserve"> or </w:t>
      </w:r>
      <w:r>
        <w:rPr>
          <w:rFonts w:ascii="Noto Sans" w:hAnsi="Noto Sans" w:eastAsia="Noto Sans" w:cs="Noto Sans"/>
          <w:b/>
          <w:i w:val="0"/>
          <w:sz w:val="18"/>
        </w:rPr>
        <w:t>Model Development Data</w:t>
      </w:r>
      <w:r>
        <w:rPr>
          <w:rFonts w:ascii="Noto Sans" w:hAnsi="Noto Sans" w:eastAsia="Noto Sans" w:cs="Noto Sans"/>
          <w:b w:val="0"/>
          <w:i w:val="0"/>
          <w:sz w:val="18"/>
        </w:rPr>
        <w:t>. Direct identifiers must be removed before dataset admission; free-text screening, child/sensitive-data exclusion, provenance, access control and consent verification are mandatory. The data remains treated as personal data unless identification is no longer reasonably possible.</w:t>
      </w:r>
    </w:p>
    <w:p>
      <w:pPr>
        <w:pStyle w:val="Heading2"/>
      </w:pPr>
      <w:r>
        <w:rPr>
          <w:rFonts w:ascii="Noto Sans" w:hAnsi="Noto Sans" w:eastAsia="Noto Sans" w:cs="Noto Sans"/>
          <w:b/>
          <w:i w:val="0"/>
          <w:sz w:val="24"/>
        </w:rPr>
        <w:t>6. Current infrastructure</w:t>
      </w:r>
    </w:p>
    <w:p>
      <w:pPr>
        <w:spacing w:before="0" w:after="80" w:line="252" w:lineRule="auto"/>
      </w:pPr>
      <w:r>
        <w:rPr>
          <w:rFonts w:ascii="Noto Sans" w:hAnsi="Noto Sans" w:eastAsia="Noto Sans" w:cs="Noto Sans"/>
          <w:b w:val="0"/>
          <w:i w:val="0"/>
          <w:sz w:val="18"/>
        </w:rPr>
        <w:t xml:space="preserve">The primary database is currently Neon on AWS </w:t>
      </w:r>
      <w:r>
        <w:rPr>
          <w:rFonts w:ascii="Noto Sans Mono" w:hAnsi="Noto Sans Mono" w:eastAsia="Noto Sans Mono" w:cs="Noto Sans Mono"/>
          <w:b w:val="0"/>
          <w:i w:val="0"/>
          <w:color w:val="464646"/>
          <w:sz w:val="18"/>
        </w:rPr>
        <w:t>us-east-2</w:t>
      </w:r>
      <w:r>
        <w:rPr>
          <w:rFonts w:ascii="Noto Sans" w:hAnsi="Noto Sans" w:eastAsia="Noto Sans" w:cs="Noto Sans"/>
          <w:b w:val="0"/>
          <w:i w:val="0"/>
          <w:sz w:val="18"/>
        </w:rPr>
        <w:t xml:space="preserve"> (Ohio, United States). The proposed GCP deployment declares </w:t>
      </w:r>
      <w:r>
        <w:rPr>
          <w:rFonts w:ascii="Noto Sans Mono" w:hAnsi="Noto Sans Mono" w:eastAsia="Noto Sans Mono" w:cs="Noto Sans Mono"/>
          <w:b w:val="0"/>
          <w:i w:val="0"/>
          <w:color w:val="464646"/>
          <w:sz w:val="18"/>
        </w:rPr>
        <w:t>asia-southeast3</w:t>
      </w:r>
      <w:r>
        <w:rPr>
          <w:rFonts w:ascii="Noto Sans" w:hAnsi="Noto Sans" w:eastAsia="Noto Sans" w:cs="Noto Sans"/>
          <w:b w:val="0"/>
          <w:i w:val="0"/>
          <w:sz w:val="18"/>
        </w:rPr>
        <w:t xml:space="preserve"> primary and </w:t>
      </w:r>
      <w:r>
        <w:rPr>
          <w:rFonts w:ascii="Noto Sans Mono" w:hAnsi="Noto Sans Mono" w:eastAsia="Noto Sans Mono" w:cs="Noto Sans Mono"/>
          <w:b w:val="0"/>
          <w:i w:val="0"/>
          <w:color w:val="464646"/>
          <w:sz w:val="18"/>
        </w:rPr>
        <w:t>asia-southeast1</w:t>
      </w:r>
      <w:r>
        <w:rPr>
          <w:rFonts w:ascii="Noto Sans" w:hAnsi="Noto Sans" w:eastAsia="Noto Sans" w:cs="Noto Sans"/>
          <w:b w:val="0"/>
          <w:i w:val="0"/>
          <w:sz w:val="18"/>
        </w:rPr>
        <w:t xml:space="preserve"> recovery, but it has not been applied or independently verified. Public documents must disclose US processing now and change only after verified migration.</w:t>
      </w:r>
    </w:p>
    <w:p>
      <w:pPr>
        <w:spacing w:before="0" w:after="80" w:line="252" w:lineRule="auto"/>
      </w:pPr>
      <w:r>
        <w:rPr>
          <w:rFonts w:ascii="Noto Sans" w:hAnsi="Noto Sans" w:eastAsia="Noto Sans" w:cs="Noto Sans"/>
          <w:b w:val="0"/>
          <w:i w:val="0"/>
          <w:sz w:val="18"/>
        </w:rPr>
        <w:t>Current/planned vendors include Neon, AWS, Google Cloud and Stripe. No production transactional-email provider is approved. No AI, telephony, Meta, analytics, Sentry, Cloudflare or marketing-partner processing is approved. LINE applies only when separately activated.</w:t>
      </w:r>
    </w:p>
    <w:p>
      <w:pPr>
        <w:pStyle w:val="Heading2"/>
      </w:pPr>
      <w:r>
        <w:rPr>
          <w:rFonts w:ascii="Noto Sans" w:hAnsi="Noto Sans" w:eastAsia="Noto Sans" w:cs="Noto Sans"/>
          <w:b/>
          <w:i w:val="0"/>
          <w:sz w:val="24"/>
        </w:rPr>
        <w:t>7. Current retention facts</w:t>
      </w:r>
    </w:p>
    <w:p>
      <w:pPr>
        <w:spacing w:after="30"/>
        <w:ind w:left="369" w:hanging="170"/>
      </w:pPr>
      <w:r>
        <w:rPr>
          <w:rFonts w:ascii="Noto Sans" w:hAnsi="Noto Sans" w:eastAsia="Noto Sans" w:cs="Noto Sans"/>
          <w:b w:val="0"/>
          <w:i w:val="0"/>
          <w:sz w:val="17"/>
        </w:rPr>
        <w:t>• Chat content defaults to 365 days and is then replaced by a non-content tombstone.</w:t>
      </w:r>
    </w:p>
    <w:p>
      <w:pPr>
        <w:spacing w:after="30"/>
        <w:ind w:left="369" w:hanging="170"/>
      </w:pPr>
      <w:r>
        <w:rPr>
          <w:rFonts w:ascii="Noto Sans" w:hAnsi="Noto Sans" w:eastAsia="Noto Sans" w:cs="Noto Sans"/>
          <w:b w:val="0"/>
          <w:i w:val="0"/>
          <w:sz w:val="17"/>
        </w:rPr>
        <w:t>• Merchants can configure transcripts from 30 to 3,650 days.</w:t>
      </w:r>
    </w:p>
    <w:p>
      <w:pPr>
        <w:spacing w:after="30"/>
        <w:ind w:left="369" w:hanging="170"/>
      </w:pPr>
      <w:r>
        <w:rPr>
          <w:rFonts w:ascii="Noto Sans" w:hAnsi="Noto Sans" w:eastAsia="Noto Sans" w:cs="Noto Sans"/>
          <w:b w:val="0"/>
          <w:i w:val="0"/>
          <w:sz w:val="17"/>
        </w:rPr>
        <w:t>• Voice recording is disabled and forced to zero retention.</w:t>
      </w:r>
    </w:p>
    <w:p>
      <w:pPr>
        <w:spacing w:after="30"/>
        <w:ind w:left="369" w:hanging="170"/>
      </w:pPr>
      <w:r>
        <w:rPr>
          <w:rFonts w:ascii="Noto Sans" w:hAnsi="Noto Sans" w:eastAsia="Noto Sans" w:cs="Noto Sans"/>
          <w:b w:val="0"/>
          <w:i w:val="0"/>
          <w:sz w:val="17"/>
        </w:rPr>
        <w:t>• Privacy export access expires after seven days; the expired encrypted row is not yet physically purged.</w:t>
      </w:r>
    </w:p>
    <w:p>
      <w:pPr>
        <w:spacing w:after="30"/>
        <w:ind w:left="369" w:hanging="170"/>
      </w:pPr>
      <w:r>
        <w:rPr>
          <w:rFonts w:ascii="Noto Sans" w:hAnsi="Noto Sans" w:eastAsia="Noto Sans" w:cs="Noto Sans"/>
          <w:b w:val="0"/>
          <w:i w:val="0"/>
          <w:sz w:val="17"/>
        </w:rPr>
        <w:t>• Contacts and leads persist until erasure or closure handling; no time-based purge is active.</w:t>
      </w:r>
    </w:p>
    <w:p>
      <w:pPr>
        <w:spacing w:after="30"/>
        <w:ind w:left="369" w:hanging="170"/>
      </w:pPr>
      <w:r>
        <w:rPr>
          <w:rFonts w:ascii="Noto Sans" w:hAnsi="Noto Sans" w:eastAsia="Noto Sans" w:cs="Noto Sans"/>
          <w:b w:val="0"/>
          <w:i w:val="0"/>
          <w:sz w:val="17"/>
        </w:rPr>
        <w:t>• Closure, read-only export, production purge, reactivation, application-log retention and tax-record retention are not implemented as an approved automated schedule.</w:t>
      </w:r>
    </w:p>
    <w:p>
      <w:pPr>
        <w:spacing w:after="30"/>
        <w:ind w:left="369" w:hanging="170"/>
      </w:pPr>
      <w:r>
        <w:rPr>
          <w:rFonts w:ascii="Noto Sans" w:hAnsi="Noto Sans" w:eastAsia="Noto Sans" w:cs="Noto Sans"/>
          <w:b w:val="0"/>
          <w:i w:val="0"/>
          <w:sz w:val="17"/>
        </w:rPr>
        <w:t>• Planned GCP Cloud SQL specifies 30 retained backups and seven days of transaction logs.</w:t>
      </w:r>
    </w:p>
    <w:p>
      <w:pPr>
        <w:pStyle w:val="Heading2"/>
      </w:pPr>
      <w:r>
        <w:rPr>
          <w:rFonts w:ascii="Noto Sans" w:hAnsi="Noto Sans" w:eastAsia="Noto Sans" w:cs="Noto Sans"/>
          <w:b/>
          <w:i w:val="0"/>
          <w:sz w:val="24"/>
        </w:rPr>
        <w:t>8. Target policy, subject to implementation</w:t>
      </w:r>
    </w:p>
    <w:p>
      <w:pPr>
        <w:spacing w:after="30"/>
        <w:ind w:left="369" w:hanging="170"/>
      </w:pPr>
      <w:r>
        <w:rPr>
          <w:rFonts w:ascii="Noto Sans" w:hAnsi="Noto Sans" w:eastAsia="Noto Sans" w:cs="Noto Sans"/>
          <w:b w:val="0"/>
          <w:i w:val="0"/>
          <w:sz w:val="17"/>
        </w:rPr>
        <w:t>• Contacts/leads: 24 months after last activity.</w:t>
      </w:r>
    </w:p>
    <w:p>
      <w:pPr>
        <w:spacing w:after="30"/>
        <w:ind w:left="369" w:hanging="170"/>
      </w:pPr>
      <w:r>
        <w:rPr>
          <w:rFonts w:ascii="Noto Sans" w:hAnsi="Noto Sans" w:eastAsia="Noto Sans" w:cs="Noto Sans"/>
          <w:b w:val="0"/>
          <w:i w:val="0"/>
          <w:sz w:val="17"/>
        </w:rPr>
        <w:t>• Voluntary cancellation: access through paid term.</w:t>
      </w:r>
    </w:p>
    <w:p>
      <w:pPr>
        <w:spacing w:after="30"/>
        <w:ind w:left="369" w:hanging="170"/>
      </w:pPr>
      <w:r>
        <w:rPr>
          <w:rFonts w:ascii="Noto Sans" w:hAnsi="Noto Sans" w:eastAsia="Noto Sans" w:cs="Noto Sans"/>
          <w:b w:val="0"/>
          <w:i w:val="0"/>
          <w:sz w:val="17"/>
        </w:rPr>
        <w:t>• Read-only export/reactivation: 30 days after paid term.</w:t>
      </w:r>
    </w:p>
    <w:p>
      <w:pPr>
        <w:spacing w:after="30"/>
        <w:ind w:left="369" w:hanging="170"/>
      </w:pPr>
      <w:r>
        <w:rPr>
          <w:rFonts w:ascii="Noto Sans" w:hAnsi="Noto Sans" w:eastAsia="Noto Sans" w:cs="Noto Sans"/>
          <w:b w:val="0"/>
          <w:i w:val="0"/>
          <w:sz w:val="17"/>
        </w:rPr>
        <w:t>• Production purge after that window.</w:t>
      </w:r>
    </w:p>
    <w:p>
      <w:pPr>
        <w:spacing w:after="30"/>
        <w:ind w:left="369" w:hanging="170"/>
      </w:pPr>
      <w:r>
        <w:rPr>
          <w:rFonts w:ascii="Noto Sans" w:hAnsi="Noto Sans" w:eastAsia="Noto Sans" w:cs="Noto Sans"/>
          <w:b w:val="0"/>
          <w:i w:val="0"/>
          <w:sz w:val="17"/>
        </w:rPr>
        <w:t>• Backups expire within 30 additional days.</w:t>
      </w:r>
    </w:p>
    <w:p>
      <w:pPr>
        <w:spacing w:after="30"/>
        <w:ind w:left="369" w:hanging="170"/>
      </w:pPr>
      <w:r>
        <w:rPr>
          <w:rFonts w:ascii="Noto Sans" w:hAnsi="Noto Sans" w:eastAsia="Noto Sans" w:cs="Noto Sans"/>
          <w:b w:val="0"/>
          <w:i w:val="0"/>
          <w:sz w:val="17"/>
        </w:rPr>
        <w:t>• Application logs: 30 days.</w:t>
      </w:r>
    </w:p>
    <w:p>
      <w:pPr>
        <w:spacing w:after="30"/>
        <w:ind w:left="369" w:hanging="170"/>
      </w:pPr>
      <w:r>
        <w:rPr>
          <w:rFonts w:ascii="Noto Sans" w:hAnsi="Noto Sans" w:eastAsia="Noto Sans" w:cs="Noto Sans"/>
          <w:b w:val="0"/>
          <w:i w:val="0"/>
          <w:sz w:val="17"/>
        </w:rPr>
        <w:t>• Security/audit metadata: 24 months except legal/immutable evidence.</w:t>
      </w:r>
    </w:p>
    <w:p>
      <w:pPr>
        <w:spacing w:after="30"/>
        <w:ind w:left="369" w:hanging="170"/>
      </w:pPr>
      <w:r>
        <w:rPr>
          <w:rFonts w:ascii="Noto Sans" w:hAnsi="Noto Sans" w:eastAsia="Noto Sans" w:cs="Noto Sans"/>
          <w:b w:val="0"/>
          <w:i w:val="0"/>
          <w:sz w:val="17"/>
        </w:rPr>
        <w:t>• Billing/tax: seven years.</w:t>
      </w:r>
    </w:p>
    <w:p>
      <w:pPr>
        <w:spacing w:after="30"/>
        <w:ind w:left="369" w:hanging="170"/>
      </w:pPr>
      <w:r>
        <w:rPr>
          <w:rFonts w:ascii="Noto Sans" w:hAnsi="Noto Sans" w:eastAsia="Noto Sans" w:cs="Noto Sans"/>
          <w:b w:val="0"/>
          <w:i w:val="0"/>
          <w:sz w:val="17"/>
        </w:rPr>
        <w:t>• Legal holds: until released, then deletion resumes.</w:t>
      </w:r>
    </w:p>
    <w:p>
      <w:pPr>
        <w:pStyle w:val="Heading2"/>
      </w:pPr>
      <w:r>
        <w:rPr>
          <w:rFonts w:ascii="Noto Sans" w:hAnsi="Noto Sans" w:eastAsia="Noto Sans" w:cs="Noto Sans"/>
          <w:b/>
          <w:i w:val="0"/>
          <w:sz w:val="24"/>
        </w:rPr>
        <w:t>9. Decisions requested</w:t>
      </w:r>
    </w:p>
    <w:p>
      <w:pPr>
        <w:spacing w:before="0" w:after="80" w:line="252" w:lineRule="auto"/>
      </w:pPr>
      <w:r>
        <w:rPr>
          <w:rFonts w:ascii="Noto Sans" w:hAnsi="Noto Sans" w:eastAsia="Noto Sans" w:cs="Noto Sans"/>
          <w:b w:val="0"/>
          <w:i w:val="0"/>
          <w:sz w:val="18"/>
        </w:rPr>
        <w:t>Counsel is asked to approve roles, legal bases, consent architecture, children/sensitive-data restrictions, transfers, target retention, liability, indemnity, model-development safeguards, voice rules, DPO threshold assessment and version-specific signed approval.</w:t>
      </w:r>
    </w:p>
    <w:p>
      <w:pPr>
        <w:spacing w:before="0" w:after="80" w:line="252" w:lineRule="auto"/>
      </w:pPr>
      <w:r>
        <w:rPr>
          <w:rFonts w:ascii="Noto Sans" w:hAnsi="Noto Sans" w:eastAsia="Noto Sans" w:cs="Noto Sans"/>
          <w:b w:val="0"/>
          <w:i w:val="0"/>
          <w:sz w:val="18"/>
        </w:rPr>
        <w:t>FlowBot Basic may be approved separately. AI, Voice, LINE and partner sharing remain dormant until their specific gates pass.</w:t>
      </w:r>
    </w:p>
    <w:p>
      <w:r>
        <w:br w:type="page"/>
      </w:r>
    </w:p>
    <w:p>
      <w:pPr>
        <w:pStyle w:val="Heading1"/>
      </w:pPr>
      <w:r>
        <w:rPr>
          <w:rFonts w:ascii="Noto Sans" w:hAnsi="Noto Sans" w:eastAsia="Noto Sans" w:cs="Noto Sans"/>
          <w:b/>
          <w:i w:val="0"/>
          <w:sz w:val="32"/>
        </w:rPr>
        <w:t>Controller and Processor Role Matrix</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Role matrix</w:t>
      </w:r>
    </w:p>
    <w:tbl>
      <w:tblPr>
        <w:tblStyle w:val="TableGrid"/>
        <w:tblW w:type="auto" w:w="0"/>
        <w:jc w:val="center"/>
        <w:tblLayout w:type="autofit"/>
        <w:tblLook w:firstColumn="1" w:firstRow="1" w:lastColumn="0" w:lastRow="0" w:noHBand="0" w:noVBand="1" w:val="04A0"/>
      </w:tblPr>
      <w:tblGrid>
        <w:gridCol w:w="2030"/>
        <w:gridCol w:w="2030"/>
        <w:gridCol w:w="2030"/>
        <w:gridCol w:w="2030"/>
        <w:gridCol w:w="2030"/>
      </w:tblGrid>
      <w:tr>
        <w:trPr>
          <w:tblHeader w:val="true"/>
        </w:trPr>
        <w:tc>
          <w:tcPr>
            <w:tcW w:type="dxa" w:w="2030"/>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2"/>
              </w:rPr>
              <w:t>Activity</w:t>
            </w:r>
          </w:p>
        </w:tc>
        <w:tc>
          <w:tcPr>
            <w:tcW w:type="dxa" w:w="2030"/>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2"/>
              </w:rPr>
              <w:t>Merchant role</w:t>
            </w:r>
          </w:p>
        </w:tc>
        <w:tc>
          <w:tcPr>
            <w:tcW w:type="dxa" w:w="2030"/>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2"/>
              </w:rPr>
              <w:t>Deejai role</w:t>
            </w:r>
          </w:p>
        </w:tc>
        <w:tc>
          <w:tcPr>
            <w:tcW w:type="dxa" w:w="2030"/>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2"/>
              </w:rPr>
              <w:t>Governing document</w:t>
            </w:r>
          </w:p>
        </w:tc>
        <w:tc>
          <w:tcPr>
            <w:tcW w:type="dxa" w:w="2030"/>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2"/>
              </w:rPr>
              <w:t>Condition</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Merchant registration/authentication</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Business customer/data source</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Controller</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Main Privacy Notice</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Active</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Billing/tax</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Business customer</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Controller</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Terms; Privacy Notice</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Stripe active</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Website enquiry and lead</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Controller</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Processor</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DPA</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FlowBot active</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Merchant marketing</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Controller</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Processor to documented instructions</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DPA; Merchant notice</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Merchant lawful basis</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Security/abuse monitoring</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Service user</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Controller</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Main Privacy Notice</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Legitimate-interest review</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Deejai marketing to Basic end customer</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Collection-interface participant</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Independent controller</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Basic Addendum; Consent</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Separate opt-in</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Partner disclosure</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Collection-interface participant</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Disclosing controller</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Addendum; Partner Consent/Terms</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Disabled until named partner</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Model development</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Collection-interface participant</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Controller</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Model Notice and Consent</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Governance gate</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Premium contact details</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Controller</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Processor; no own marketing</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DPA; Premium Notice</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Premium rule</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AI response delivery</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Controller of business purpose</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Processor for delivery; controller for separate security/model purposes</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AI Schedule</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Provider approved</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Voice call delivery</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Controller of call purpose/list</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Processor for merchant call; controller for separate uses</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Voice Schedule</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Providers approved</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LINE delivery</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Controller</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Processor; LINE external platform</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LINE Schedule</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Add-on active</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Merchant-purpose rights request</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Controller</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Processor assisting</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DPA</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Privacy jobs</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Deejai-purpose rights request</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Cooperation duty</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Controller</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Privacy/Preference Notice</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Direct channel</w:t>
            </w:r>
          </w:p>
        </w:tc>
      </w:tr>
    </w:tbl>
    <w:p>
      <w:pPr>
        <w:spacing w:after="20"/>
      </w:pPr>
    </w:p>
    <w:p>
      <w:pPr>
        <w:pStyle w:val="Heading2"/>
      </w:pPr>
      <w:r>
        <w:rPr>
          <w:rFonts w:ascii="Noto Sans" w:hAnsi="Noto Sans" w:eastAsia="Noto Sans" w:cs="Noto Sans"/>
          <w:b/>
          <w:i w:val="0"/>
          <w:sz w:val="24"/>
        </w:rPr>
        <w:t>2. Joint-controller caution</w:t>
      </w:r>
    </w:p>
    <w:p>
      <w:pPr>
        <w:spacing w:before="0" w:after="80" w:line="252" w:lineRule="auto"/>
      </w:pPr>
      <w:r>
        <w:rPr>
          <w:rFonts w:ascii="Noto Sans" w:hAnsi="Noto Sans" w:eastAsia="Noto Sans" w:cs="Noto Sans"/>
          <w:b w:val="0"/>
          <w:i w:val="0"/>
          <w:sz w:val="18"/>
        </w:rPr>
        <w:t>The parties will not use joint-controller language by default. It will be added only where both parties jointly determine essential purposes and means. The interface must clearly separate Merchant and Deejai purposes.</w:t>
      </w:r>
    </w:p>
    <w:p>
      <w:pPr>
        <w:pStyle w:val="Heading2"/>
      </w:pPr>
      <w:r>
        <w:rPr>
          <w:rFonts w:ascii="Noto Sans" w:hAnsi="Noto Sans" w:eastAsia="Noto Sans" w:cs="Noto Sans"/>
          <w:b/>
          <w:i w:val="0"/>
          <w:sz w:val="24"/>
        </w:rPr>
        <w:t>3. Processor boundary</w:t>
      </w:r>
    </w:p>
    <w:p>
      <w:pPr>
        <w:spacing w:before="0" w:after="80" w:line="252" w:lineRule="auto"/>
      </w:pPr>
      <w:r>
        <w:rPr>
          <w:rFonts w:ascii="Noto Sans" w:hAnsi="Noto Sans" w:eastAsia="Noto Sans" w:cs="Noto Sans"/>
          <w:b w:val="0"/>
          <w:i w:val="0"/>
          <w:sz w:val="18"/>
        </w:rPr>
        <w:t>Processor data may not be used for Deejai marketing, partner disclosure or model development unless the person separately authorises that purpose and the necessary data is copied into a logically separated Deejai-controller dataset.</w:t>
      </w:r>
    </w:p>
    <w:p>
      <w:r>
        <w:br w:type="page"/>
      </w:r>
    </w:p>
    <w:p>
      <w:pPr>
        <w:pStyle w:val="Heading1"/>
      </w:pPr>
      <w:r>
        <w:rPr>
          <w:rFonts w:ascii="Noto Sans" w:hAnsi="Noto Sans" w:eastAsia="Noto Sans" w:cs="Noto Sans"/>
          <w:b/>
          <w:i w:val="0"/>
          <w:sz w:val="32"/>
        </w:rPr>
        <w:t>Counsel Decision Schedule</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Proposed decisions</w:t>
      </w:r>
    </w:p>
    <w:tbl>
      <w:tblPr>
        <w:tblStyle w:val="TableGrid"/>
        <w:tblW w:type="auto" w:w="0"/>
        <w:jc w:val="center"/>
        <w:tblLayout w:type="autofit"/>
        <w:tblLook w:firstColumn="1" w:firstRow="1" w:lastColumn="0" w:lastRow="0" w:noHBand="0" w:noVBand="1" w:val="04A0"/>
      </w:tblPr>
      <w:tblGrid>
        <w:gridCol w:w="2537"/>
        <w:gridCol w:w="2537"/>
        <w:gridCol w:w="2537"/>
        <w:gridCol w:w="2537"/>
      </w:tblGrid>
      <w:tr>
        <w:trPr>
          <w:tblHeader w:val="true"/>
        </w:trPr>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Ref</w:t>
            </w:r>
          </w:p>
        </w:tc>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Issue</w:t>
            </w:r>
          </w:p>
        </w:tc>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Proposed decision</w:t>
            </w:r>
          </w:p>
        </w:tc>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Status</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CD-01</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Entity</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DEEJAI LAB CO., LTD.; DJAI Academy/DJBOT are brands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CD-02</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Merchant-service role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Merchant controller; Deejai processor</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CD-03</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Deejai marketing</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Independent controller; separate opt-in</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CD-04</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Partner marketing</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Separate opt-in; disabled until partner named/contracted</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CD-05</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Model development</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Controller; separate opt-in; no anonymous claim</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CD-06</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DPA acceptance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Mandatory electronic acceptance during registration</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Adopted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CD-07</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Basic contact use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Only with end-customer Deejai-marketing consent</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CD-08</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Premium contact use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No Deejai/partner marketing</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Adopted policy</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CD-09</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Hosting</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Disclose Neon/AWS Ohio until verified migration</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Current fact</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CD-10</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Transcript retention</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Default 365; configurable 30-3,650</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Current fact</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CD-11</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Contacts/leads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Current until erasure/closure; target 24 months inactivity</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 target</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CD-12</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Closure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Paid term + 30-day read-only/reactivation + purge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 target</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CD-13</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Backups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30 days after production purge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 target</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CD-14</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Application logs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30 days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 target</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CD-15</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Security/audit</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24 months except legal/immutable records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 target</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CD-16</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Billing/tax</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Seven years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CD-17</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Privacy exports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Seven-day link; physical purge after expiry once implemented</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Partial current fact</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CD-18</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Voice recording</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Disabled until approved scripts/provider/retention</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Adopted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CD-19</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Children</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Guardian process and written approval</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CD-20</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Sensitive data</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Not intentional in standard plans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CD-21</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SLA</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Commercially reasonable efforts; no credits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CD-22</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Support</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Email, 09:00-18:00 ICT business days; target next business day</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CD-23</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Law/forum</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Thai law; Bangkok courts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CD-24</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DPO</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Privacy Lead now; reassess statutory DPO threshold at scale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w:t>
            </w:r>
          </w:p>
        </w:tc>
      </w:tr>
    </w:tbl>
    <w:p>
      <w:pPr>
        <w:spacing w:after="20"/>
      </w:pPr>
    </w:p>
    <w:p>
      <w:pPr>
        <w:pStyle w:val="Heading2"/>
      </w:pPr>
      <w:r>
        <w:rPr>
          <w:rFonts w:ascii="Noto Sans" w:hAnsi="Noto Sans" w:eastAsia="Noto Sans" w:cs="Noto Sans"/>
          <w:b/>
          <w:i w:val="0"/>
          <w:sz w:val="24"/>
        </w:rPr>
        <w:t>2. Release blockers</w:t>
      </w:r>
    </w:p>
    <w:p>
      <w:pPr>
        <w:spacing w:before="0" w:after="80" w:line="252" w:lineRule="auto"/>
      </w:pPr>
      <w:r>
        <w:rPr>
          <w:rFonts w:ascii="Noto Sans" w:hAnsi="Noto Sans" w:eastAsia="Noto Sans" w:cs="Noto Sans"/>
          <w:b w:val="0"/>
          <w:i w:val="0"/>
          <w:sz w:val="18"/>
        </w:rPr>
        <w:t>Domain enforcement, contact sweep, export-object purge, closure workflow, backup alignment, mailboxes, provider naming, model pipeline, suppression, Premium training-disable control and AI/Voice approvals require operational evidence.</w:t>
      </w:r>
    </w:p>
    <w:p>
      <w:r>
        <w:br w:type="page"/>
      </w:r>
    </w:p>
    <w:p>
      <w:pPr>
        <w:pStyle w:val="Heading1"/>
      </w:pPr>
      <w:r>
        <w:rPr>
          <w:rFonts w:ascii="Noto Sans" w:hAnsi="Noto Sans" w:eastAsia="Noto Sans" w:cs="Noto Sans"/>
          <w:b/>
          <w:i w:val="0"/>
          <w:sz w:val="32"/>
        </w:rPr>
        <w:t>Counsel Approval Certificate - Standard Form</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Purpose</w:t>
      </w:r>
    </w:p>
    <w:p>
      <w:pPr>
        <w:spacing w:before="0" w:after="80" w:line="252" w:lineRule="auto"/>
      </w:pPr>
      <w:r>
        <w:rPr>
          <w:rFonts w:ascii="Noto Sans" w:hAnsi="Noto Sans" w:eastAsia="Noto Sans" w:cs="Noto Sans"/>
          <w:b w:val="0"/>
          <w:i w:val="0"/>
          <w:sz w:val="18"/>
        </w:rPr>
        <w:t xml:space="preserve">This standard records version-specific approval. Until external Thai counsel issues a digitally signed certificate, every document is </w:t>
      </w:r>
      <w:r>
        <w:rPr>
          <w:rFonts w:ascii="Noto Sans" w:hAnsi="Noto Sans" w:eastAsia="Noto Sans" w:cs="Noto Sans"/>
          <w:b/>
          <w:i w:val="0"/>
          <w:sz w:val="18"/>
        </w:rPr>
        <w:t>not approved</w:t>
      </w:r>
      <w:r>
        <w:rPr>
          <w:rFonts w:ascii="Noto Sans" w:hAnsi="Noto Sans" w:eastAsia="Noto Sans" w:cs="Noto Sans"/>
          <w:b w:val="0"/>
          <w:i w:val="0"/>
          <w:sz w:val="18"/>
        </w:rPr>
        <w:t>.</w:t>
      </w:r>
    </w:p>
    <w:p>
      <w:pPr>
        <w:pStyle w:val="Heading2"/>
      </w:pPr>
      <w:r>
        <w:rPr>
          <w:rFonts w:ascii="Noto Sans" w:hAnsi="Noto Sans" w:eastAsia="Noto Sans" w:cs="Noto Sans"/>
          <w:b/>
          <w:i w:val="0"/>
          <w:sz w:val="24"/>
        </w:rPr>
        <w:t>2. Required certificate data</w:t>
      </w:r>
    </w:p>
    <w:p>
      <w:pPr>
        <w:spacing w:before="0" w:after="80" w:line="252" w:lineRule="auto"/>
      </w:pPr>
      <w:r>
        <w:rPr>
          <w:rFonts w:ascii="Noto Sans" w:hAnsi="Noto Sans" w:eastAsia="Noto Sans" w:cs="Noto Sans"/>
          <w:b w:val="0"/>
          <w:i w:val="0"/>
          <w:sz w:val="18"/>
        </w:rPr>
        <w:t>The certificate must identify:</w:t>
      </w:r>
    </w:p>
    <w:p>
      <w:pPr>
        <w:spacing w:after="30"/>
        <w:ind w:left="369" w:hanging="170"/>
      </w:pPr>
      <w:r>
        <w:rPr>
          <w:rFonts w:ascii="Noto Sans" w:hAnsi="Noto Sans" w:eastAsia="Noto Sans" w:cs="Noto Sans"/>
          <w:b w:val="0"/>
          <w:i w:val="0"/>
          <w:sz w:val="17"/>
        </w:rPr>
        <w:t>• Client: DEEJAI LAB CO., LTD., registration number 0105569117953.</w:t>
      </w:r>
    </w:p>
    <w:p>
      <w:pPr>
        <w:spacing w:after="30"/>
        <w:ind w:left="369" w:hanging="170"/>
      </w:pPr>
      <w:r>
        <w:rPr>
          <w:rFonts w:ascii="Noto Sans" w:hAnsi="Noto Sans" w:eastAsia="Noto Sans" w:cs="Noto Sans"/>
          <w:b w:val="0"/>
          <w:i w:val="0"/>
          <w:sz w:val="17"/>
        </w:rPr>
        <w:t>• Exact products/channels approved.</w:t>
      </w:r>
    </w:p>
    <w:p>
      <w:pPr>
        <w:spacing w:after="30"/>
        <w:ind w:left="369" w:hanging="170"/>
      </w:pPr>
      <w:r>
        <w:rPr>
          <w:rFonts w:ascii="Noto Sans" w:hAnsi="Noto Sans" w:eastAsia="Noto Sans" w:cs="Noto Sans"/>
          <w:b w:val="0"/>
          <w:i w:val="0"/>
          <w:sz w:val="17"/>
        </w:rPr>
        <w:t>• Exact files, versions and cryptographic hashes.</w:t>
      </w:r>
    </w:p>
    <w:p>
      <w:pPr>
        <w:spacing w:after="30"/>
        <w:ind w:left="369" w:hanging="170"/>
      </w:pPr>
      <w:r>
        <w:rPr>
          <w:rFonts w:ascii="Noto Sans" w:hAnsi="Noto Sans" w:eastAsia="Noto Sans" w:cs="Noto Sans"/>
          <w:b w:val="0"/>
          <w:i w:val="0"/>
          <w:sz w:val="17"/>
        </w:rPr>
        <w:t>• Conclusion: approved, conditionally approved or not approved.</w:t>
      </w:r>
    </w:p>
    <w:p>
      <w:pPr>
        <w:spacing w:after="30"/>
        <w:ind w:left="369" w:hanging="170"/>
      </w:pPr>
      <w:r>
        <w:rPr>
          <w:rFonts w:ascii="Noto Sans" w:hAnsi="Noto Sans" w:eastAsia="Noto Sans" w:cs="Noto Sans"/>
          <w:b w:val="0"/>
          <w:i w:val="0"/>
          <w:sz w:val="17"/>
        </w:rPr>
        <w:t>• Effective date, approval timestamp and unique approval reference.</w:t>
      </w:r>
    </w:p>
    <w:p>
      <w:pPr>
        <w:spacing w:after="30"/>
        <w:ind w:left="369" w:hanging="170"/>
      </w:pPr>
      <w:r>
        <w:rPr>
          <w:rFonts w:ascii="Noto Sans" w:hAnsi="Noto Sans" w:eastAsia="Noto Sans" w:cs="Noto Sans"/>
          <w:b w:val="0"/>
          <w:i w:val="0"/>
          <w:sz w:val="17"/>
        </w:rPr>
        <w:t>• Counsel's name, professional capacity and electronic-signature method.</w:t>
      </w:r>
    </w:p>
    <w:p>
      <w:pPr>
        <w:spacing w:after="30"/>
        <w:ind w:left="369" w:hanging="170"/>
      </w:pPr>
      <w:r>
        <w:rPr>
          <w:rFonts w:ascii="Noto Sans" w:hAnsi="Noto Sans" w:eastAsia="Noto Sans" w:cs="Noto Sans"/>
          <w:b w:val="0"/>
          <w:i w:val="0"/>
          <w:sz w:val="17"/>
        </w:rPr>
        <w:t>• Any conditions and excluded products/providers.</w:t>
      </w:r>
    </w:p>
    <w:p>
      <w:pPr>
        <w:spacing w:after="30"/>
        <w:ind w:left="369" w:hanging="170"/>
      </w:pPr>
      <w:r>
        <w:rPr>
          <w:rFonts w:ascii="Noto Sans" w:hAnsi="Noto Sans" w:eastAsia="Noto Sans" w:cs="Noto Sans"/>
          <w:b w:val="0"/>
          <w:i w:val="0"/>
          <w:sz w:val="17"/>
        </w:rPr>
        <w:t>• Company acknowledgement by an authorised director.</w:t>
      </w:r>
    </w:p>
    <w:p>
      <w:pPr>
        <w:pStyle w:val="Heading2"/>
      </w:pPr>
      <w:r>
        <w:rPr>
          <w:rFonts w:ascii="Noto Sans" w:hAnsi="Noto Sans" w:eastAsia="Noto Sans" w:cs="Noto Sans"/>
          <w:b/>
          <w:i w:val="0"/>
          <w:sz w:val="24"/>
        </w:rPr>
        <w:t>3. Current status</w:t>
      </w:r>
    </w:p>
    <w:p>
      <w:pPr>
        <w:spacing w:after="30"/>
        <w:ind w:left="369" w:hanging="170"/>
      </w:pPr>
      <w:r>
        <w:rPr>
          <w:rFonts w:ascii="Noto Sans" w:hAnsi="Noto Sans" w:eastAsia="Noto Sans" w:cs="Noto Sans"/>
          <w:b w:val="0"/>
          <w:i w:val="0"/>
          <w:sz w:val="17"/>
        </w:rPr>
        <w:t>• Approval: NOT APPROVED.</w:t>
      </w:r>
    </w:p>
    <w:p>
      <w:pPr>
        <w:spacing w:after="30"/>
        <w:ind w:left="369" w:hanging="170"/>
      </w:pPr>
      <w:r>
        <w:rPr>
          <w:rFonts w:ascii="Noto Sans" w:hAnsi="Noto Sans" w:eastAsia="Noto Sans" w:cs="Noto Sans"/>
          <w:b w:val="0"/>
          <w:i w:val="0"/>
          <w:sz w:val="17"/>
        </w:rPr>
        <w:t xml:space="preserve">• Reference: </w:t>
      </w:r>
      <w:r>
        <w:rPr>
          <w:rFonts w:ascii="Noto Sans Mono" w:hAnsi="Noto Sans Mono" w:eastAsia="Noto Sans Mono" w:cs="Noto Sans Mono"/>
          <w:b w:val="0"/>
          <w:i w:val="0"/>
          <w:color w:val="464646"/>
          <w:sz w:val="17"/>
        </w:rPr>
        <w:t>PENDING-EXTERNAL-THAI-COUNSEL</w:t>
      </w:r>
      <w:r>
        <w:rPr>
          <w:rFonts w:ascii="Noto Sans" w:hAnsi="Noto Sans" w:eastAsia="Noto Sans" w:cs="Noto Sans"/>
          <w:b w:val="0"/>
          <w:i w:val="0"/>
          <w:sz w:val="17"/>
        </w:rPr>
        <w:t>.</w:t>
      </w:r>
    </w:p>
    <w:p>
      <w:pPr>
        <w:spacing w:after="30"/>
        <w:ind w:left="369" w:hanging="170"/>
      </w:pPr>
      <w:r>
        <w:rPr>
          <w:rFonts w:ascii="Noto Sans" w:hAnsi="Noto Sans" w:eastAsia="Noto Sans" w:cs="Noto Sans"/>
          <w:b w:val="0"/>
          <w:i w:val="0"/>
          <w:sz w:val="17"/>
        </w:rPr>
        <w:t>• Effective date: none.</w:t>
      </w:r>
    </w:p>
    <w:p>
      <w:pPr>
        <w:spacing w:after="30"/>
        <w:ind w:left="369" w:hanging="170"/>
      </w:pPr>
      <w:r>
        <w:rPr>
          <w:rFonts w:ascii="Noto Sans" w:hAnsi="Noto Sans" w:eastAsia="Noto Sans" w:cs="Noto Sans"/>
          <w:b w:val="0"/>
          <w:i w:val="0"/>
          <w:sz w:val="17"/>
        </w:rPr>
        <w:t>• Permitted use: internal legal, engineering and operator review only.</w:t>
      </w:r>
    </w:p>
    <w:p>
      <w:r>
        <w:br w:type="page"/>
      </w:r>
    </w:p>
    <w:p>
      <w:pPr>
        <w:pStyle w:val="Heading1"/>
      </w:pPr>
      <w:r>
        <w:rPr>
          <w:rFonts w:ascii="Noto Sans" w:hAnsi="Noto Sans" w:eastAsia="Noto Sans" w:cs="Noto Sans"/>
          <w:b/>
          <w:i w:val="0"/>
          <w:sz w:val="32"/>
        </w:rPr>
        <w:t>Legal Version and Deployment Manifest</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Draft versions</w:t>
      </w: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trPr>
        <w:tc>
          <w:tcPr>
            <w:tcW w:type="dxa" w:w="3383"/>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5"/>
              </w:rPr>
              <w:t>Component</w:t>
            </w:r>
          </w:p>
        </w:tc>
        <w:tc>
          <w:tcPr>
            <w:tcW w:type="dxa" w:w="3383"/>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5"/>
              </w:rPr>
              <w:t>Version</w:t>
            </w:r>
          </w:p>
        </w:tc>
        <w:tc>
          <w:tcPr>
            <w:tcW w:type="dxa" w:w="3383"/>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5"/>
              </w:rPr>
              <w:t>Status</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Master Terms</w:t>
            </w:r>
          </w:p>
        </w:tc>
        <w:tc>
          <w:tcPr>
            <w:tcW w:type="dxa" w:w="3383"/>
            <w:vAlign w:val="top"/>
            <w:tcMar>
              <w:top w:w="50" w:type="dxa"/>
              <w:start w:w="55" w:type="dxa"/>
              <w:bottom w:w="50" w:type="dxa"/>
              <w:end w:w="55" w:type="dxa"/>
            </w:tcMar>
          </w:tcPr>
          <w:p>
            <w:pPr>
              <w:spacing w:after="0" w:line="228" w:lineRule="auto"/>
            </w:pPr>
            <w:r>
              <w:rPr>
                <w:rFonts w:ascii="Noto Sans Mono" w:hAnsi="Noto Sans Mono" w:eastAsia="Noto Sans Mono" w:cs="Noto Sans Mono"/>
                <w:b w:val="0"/>
                <w:i w:val="0"/>
                <w:color w:val="464646"/>
                <w:sz w:val="15"/>
              </w:rPr>
              <w:t>terms-2026-08-draft1</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Inactive</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Main Privacy Notice</w:t>
            </w:r>
          </w:p>
        </w:tc>
        <w:tc>
          <w:tcPr>
            <w:tcW w:type="dxa" w:w="3383"/>
            <w:vAlign w:val="top"/>
            <w:tcMar>
              <w:top w:w="50" w:type="dxa"/>
              <w:start w:w="55" w:type="dxa"/>
              <w:bottom w:w="50" w:type="dxa"/>
              <w:end w:w="55" w:type="dxa"/>
            </w:tcMar>
          </w:tcPr>
          <w:p>
            <w:pPr>
              <w:spacing w:after="0" w:line="228" w:lineRule="auto"/>
            </w:pPr>
            <w:r>
              <w:rPr>
                <w:rFonts w:ascii="Noto Sans Mono" w:hAnsi="Noto Sans Mono" w:eastAsia="Noto Sans Mono" w:cs="Noto Sans Mono"/>
                <w:b w:val="0"/>
                <w:i w:val="0"/>
                <w:color w:val="464646"/>
                <w:sz w:val="15"/>
              </w:rPr>
              <w:t>privacy-2026-08-draft1</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Inactive</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Merchant DPA</w:t>
            </w:r>
          </w:p>
        </w:tc>
        <w:tc>
          <w:tcPr>
            <w:tcW w:type="dxa" w:w="3383"/>
            <w:vAlign w:val="top"/>
            <w:tcMar>
              <w:top w:w="50" w:type="dxa"/>
              <w:start w:w="55" w:type="dxa"/>
              <w:bottom w:w="50" w:type="dxa"/>
              <w:end w:w="55" w:type="dxa"/>
            </w:tcMar>
          </w:tcPr>
          <w:p>
            <w:pPr>
              <w:spacing w:after="0" w:line="228" w:lineRule="auto"/>
            </w:pPr>
            <w:r>
              <w:rPr>
                <w:rFonts w:ascii="Noto Sans Mono" w:hAnsi="Noto Sans Mono" w:eastAsia="Noto Sans Mono" w:cs="Noto Sans Mono"/>
                <w:b w:val="0"/>
                <w:i w:val="0"/>
                <w:color w:val="464646"/>
                <w:sz w:val="15"/>
              </w:rPr>
              <w:t>dpa-2026-08-draft1</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Inactive</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Basic Schedule</w:t>
            </w:r>
          </w:p>
        </w:tc>
        <w:tc>
          <w:tcPr>
            <w:tcW w:type="dxa" w:w="3383"/>
            <w:vAlign w:val="top"/>
            <w:tcMar>
              <w:top w:w="50" w:type="dxa"/>
              <w:start w:w="55" w:type="dxa"/>
              <w:bottom w:w="50" w:type="dxa"/>
              <w:end w:w="55" w:type="dxa"/>
            </w:tcMar>
          </w:tcPr>
          <w:p>
            <w:pPr>
              <w:spacing w:after="0" w:line="228" w:lineRule="auto"/>
            </w:pPr>
            <w:r>
              <w:rPr>
                <w:rFonts w:ascii="Noto Sans Mono" w:hAnsi="Noto Sans Mono" w:eastAsia="Noto Sans Mono" w:cs="Noto Sans Mono"/>
                <w:b w:val="0"/>
                <w:i w:val="0"/>
                <w:color w:val="464646"/>
                <w:sz w:val="15"/>
              </w:rPr>
              <w:t>basic-2026-08-draft1</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Inactive</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Premium Schedule</w:t>
            </w:r>
          </w:p>
        </w:tc>
        <w:tc>
          <w:tcPr>
            <w:tcW w:type="dxa" w:w="3383"/>
            <w:vAlign w:val="top"/>
            <w:tcMar>
              <w:top w:w="50" w:type="dxa"/>
              <w:start w:w="55" w:type="dxa"/>
              <w:bottom w:w="50" w:type="dxa"/>
              <w:end w:w="55" w:type="dxa"/>
            </w:tcMar>
          </w:tcPr>
          <w:p>
            <w:pPr>
              <w:spacing w:after="0" w:line="228" w:lineRule="auto"/>
            </w:pPr>
            <w:r>
              <w:rPr>
                <w:rFonts w:ascii="Noto Sans Mono" w:hAnsi="Noto Sans Mono" w:eastAsia="Noto Sans Mono" w:cs="Noto Sans Mono"/>
                <w:b w:val="0"/>
                <w:i w:val="0"/>
                <w:color w:val="464646"/>
                <w:sz w:val="15"/>
              </w:rPr>
              <w:t>premium-2026-08-draft1</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Inactive</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AI Text Schedule</w:t>
            </w:r>
          </w:p>
        </w:tc>
        <w:tc>
          <w:tcPr>
            <w:tcW w:type="dxa" w:w="3383"/>
            <w:vAlign w:val="top"/>
            <w:tcMar>
              <w:top w:w="50" w:type="dxa"/>
              <w:start w:w="55" w:type="dxa"/>
              <w:bottom w:w="50" w:type="dxa"/>
              <w:end w:w="55" w:type="dxa"/>
            </w:tcMar>
          </w:tcPr>
          <w:p>
            <w:pPr>
              <w:spacing w:after="0" w:line="228" w:lineRule="auto"/>
            </w:pPr>
            <w:r>
              <w:rPr>
                <w:rFonts w:ascii="Noto Sans Mono" w:hAnsi="Noto Sans Mono" w:eastAsia="Noto Sans Mono" w:cs="Noto Sans Mono"/>
                <w:b w:val="0"/>
                <w:i w:val="0"/>
                <w:color w:val="464646"/>
                <w:sz w:val="15"/>
              </w:rPr>
              <w:t>ai-text-2026-08-draft1</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Dormant</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Voice Schedule</w:t>
            </w:r>
          </w:p>
        </w:tc>
        <w:tc>
          <w:tcPr>
            <w:tcW w:type="dxa" w:w="3383"/>
            <w:vAlign w:val="top"/>
            <w:tcMar>
              <w:top w:w="50" w:type="dxa"/>
              <w:start w:w="55" w:type="dxa"/>
              <w:bottom w:w="50" w:type="dxa"/>
              <w:end w:w="55" w:type="dxa"/>
            </w:tcMar>
          </w:tcPr>
          <w:p>
            <w:pPr>
              <w:spacing w:after="0" w:line="228" w:lineRule="auto"/>
            </w:pPr>
            <w:r>
              <w:rPr>
                <w:rFonts w:ascii="Noto Sans Mono" w:hAnsi="Noto Sans Mono" w:eastAsia="Noto Sans Mono" w:cs="Noto Sans Mono"/>
                <w:b w:val="0"/>
                <w:i w:val="0"/>
                <w:color w:val="464646"/>
                <w:sz w:val="15"/>
              </w:rPr>
              <w:t>voice-2026-08-draft1</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Dormant</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LINE Schedule</w:t>
            </w:r>
          </w:p>
        </w:tc>
        <w:tc>
          <w:tcPr>
            <w:tcW w:type="dxa" w:w="3383"/>
            <w:vAlign w:val="top"/>
            <w:tcMar>
              <w:top w:w="50" w:type="dxa"/>
              <w:start w:w="55" w:type="dxa"/>
              <w:bottom w:w="50" w:type="dxa"/>
              <w:end w:w="55" w:type="dxa"/>
            </w:tcMar>
          </w:tcPr>
          <w:p>
            <w:pPr>
              <w:spacing w:after="0" w:line="228" w:lineRule="auto"/>
            </w:pPr>
            <w:r>
              <w:rPr>
                <w:rFonts w:ascii="Noto Sans Mono" w:hAnsi="Noto Sans Mono" w:eastAsia="Noto Sans Mono" w:cs="Noto Sans Mono"/>
                <w:b w:val="0"/>
                <w:i w:val="0"/>
                <w:color w:val="464646"/>
                <w:sz w:val="15"/>
              </w:rPr>
              <w:t>line-2026-08-draft1</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Dormant</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AUP</w:t>
            </w:r>
          </w:p>
        </w:tc>
        <w:tc>
          <w:tcPr>
            <w:tcW w:type="dxa" w:w="3383"/>
            <w:vAlign w:val="top"/>
            <w:tcMar>
              <w:top w:w="50" w:type="dxa"/>
              <w:start w:w="55" w:type="dxa"/>
              <w:bottom w:w="50" w:type="dxa"/>
              <w:end w:w="55" w:type="dxa"/>
            </w:tcMar>
          </w:tcPr>
          <w:p>
            <w:pPr>
              <w:spacing w:after="0" w:line="228" w:lineRule="auto"/>
            </w:pPr>
            <w:r>
              <w:rPr>
                <w:rFonts w:ascii="Noto Sans Mono" w:hAnsi="Noto Sans Mono" w:eastAsia="Noto Sans Mono" w:cs="Noto Sans Mono"/>
                <w:b w:val="0"/>
                <w:i w:val="0"/>
                <w:color w:val="464646"/>
                <w:sz w:val="15"/>
              </w:rPr>
              <w:t>aup-2026-08-draft1</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Inactive</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Deejai Marketing Consent</w:t>
            </w:r>
          </w:p>
        </w:tc>
        <w:tc>
          <w:tcPr>
            <w:tcW w:type="dxa" w:w="3383"/>
            <w:vAlign w:val="top"/>
            <w:tcMar>
              <w:top w:w="50" w:type="dxa"/>
              <w:start w:w="55" w:type="dxa"/>
              <w:bottom w:w="50" w:type="dxa"/>
              <w:end w:w="55" w:type="dxa"/>
            </w:tcMar>
          </w:tcPr>
          <w:p>
            <w:pPr>
              <w:spacing w:after="0" w:line="228" w:lineRule="auto"/>
            </w:pPr>
            <w:r>
              <w:rPr>
                <w:rFonts w:ascii="Noto Sans Mono" w:hAnsi="Noto Sans Mono" w:eastAsia="Noto Sans Mono" w:cs="Noto Sans Mono"/>
                <w:b w:val="0"/>
                <w:i w:val="0"/>
                <w:color w:val="464646"/>
                <w:sz w:val="15"/>
              </w:rPr>
              <w:t>consent-deejai-marketing-2026-08-draft1</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Inactive</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Partner Consent</w:t>
            </w:r>
          </w:p>
        </w:tc>
        <w:tc>
          <w:tcPr>
            <w:tcW w:type="dxa" w:w="3383"/>
            <w:vAlign w:val="top"/>
            <w:tcMar>
              <w:top w:w="50" w:type="dxa"/>
              <w:start w:w="55" w:type="dxa"/>
              <w:bottom w:w="50" w:type="dxa"/>
              <w:end w:w="55" w:type="dxa"/>
            </w:tcMar>
          </w:tcPr>
          <w:p>
            <w:pPr>
              <w:spacing w:after="0" w:line="228" w:lineRule="auto"/>
            </w:pPr>
            <w:r>
              <w:rPr>
                <w:rFonts w:ascii="Noto Sans Mono" w:hAnsi="Noto Sans Mono" w:eastAsia="Noto Sans Mono" w:cs="Noto Sans Mono"/>
                <w:b w:val="0"/>
                <w:i w:val="0"/>
                <w:color w:val="464646"/>
                <w:sz w:val="15"/>
              </w:rPr>
              <w:t>consent-partner-2026-08-draft1</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Disabled</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Model Consent</w:t>
            </w:r>
          </w:p>
        </w:tc>
        <w:tc>
          <w:tcPr>
            <w:tcW w:type="dxa" w:w="3383"/>
            <w:vAlign w:val="top"/>
            <w:tcMar>
              <w:top w:w="50" w:type="dxa"/>
              <w:start w:w="55" w:type="dxa"/>
              <w:bottom w:w="50" w:type="dxa"/>
              <w:end w:w="55" w:type="dxa"/>
            </w:tcMar>
          </w:tcPr>
          <w:p>
            <w:pPr>
              <w:spacing w:after="0" w:line="228" w:lineRule="auto"/>
            </w:pPr>
            <w:r>
              <w:rPr>
                <w:rFonts w:ascii="Noto Sans Mono" w:hAnsi="Noto Sans Mono" w:eastAsia="Noto Sans Mono" w:cs="Noto Sans Mono"/>
                <w:b w:val="0"/>
                <w:i w:val="0"/>
                <w:color w:val="464646"/>
                <w:sz w:val="15"/>
              </w:rPr>
              <w:t>consent-model-2026-08-draft1</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Inactive</w:t>
            </w:r>
          </w:p>
        </w:tc>
      </w:tr>
    </w:tbl>
    <w:p>
      <w:pPr>
        <w:spacing w:after="20"/>
      </w:pPr>
    </w:p>
    <w:p>
      <w:pPr>
        <w:pStyle w:val="Heading2"/>
      </w:pPr>
      <w:r>
        <w:rPr>
          <w:rFonts w:ascii="Noto Sans" w:hAnsi="Noto Sans" w:eastAsia="Noto Sans" w:cs="Noto Sans"/>
          <w:b/>
          <w:i w:val="0"/>
          <w:sz w:val="24"/>
        </w:rPr>
        <w:t>2. Production requirements</w:t>
      </w:r>
    </w:p>
    <w:p>
      <w:pPr>
        <w:spacing w:before="0" w:after="80" w:line="252" w:lineRule="auto"/>
      </w:pPr>
      <w:r>
        <w:rPr>
          <w:rFonts w:ascii="Noto Sans" w:hAnsi="Noto Sans" w:eastAsia="Noto Sans" w:cs="Noto Sans"/>
          <w:b w:val="0"/>
          <w:i w:val="0"/>
          <w:sz w:val="18"/>
        </w:rPr>
        <w:t>The bundle must contain approval status, signed reference, effective date, version, title and immutable content hash. Registration must fail closed if the bundle is missing, unapproved or mismatched. Acceptance records must store the exact version/text or hash presented.</w:t>
      </w:r>
    </w:p>
    <w:p>
      <w:pPr>
        <w:spacing w:before="0" w:after="80" w:line="252" w:lineRule="auto"/>
      </w:pPr>
      <w:r>
        <w:rPr>
          <w:rFonts w:ascii="Noto Sans" w:hAnsi="Noto Sans" w:eastAsia="Noto Sans" w:cs="Noto Sans"/>
          <w:b w:val="0"/>
          <w:i w:val="0"/>
          <w:sz w:val="18"/>
        </w:rPr>
        <w:t>A new version is required for material changes to purpose, provider, region, retention, price, renewal, product function, consent or rights process.</w:t>
      </w:r>
    </w:p>
    <w:p>
      <w:r>
        <w:br w:type="page"/>
      </w:r>
    </w:p>
    <w:p>
      <w:pPr>
        <w:pStyle w:val="Heading1"/>
      </w:pPr>
      <w:r>
        <w:rPr>
          <w:rFonts w:ascii="Noto Sans" w:hAnsi="Noto Sans" w:eastAsia="Noto Sans" w:cs="Noto Sans"/>
          <w:b/>
          <w:i w:val="0"/>
          <w:sz w:val="32"/>
        </w:rPr>
        <w:t>DJBOT Master Terms of Service</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Parties and acceptance</w:t>
      </w:r>
    </w:p>
    <w:p>
      <w:pPr>
        <w:spacing w:before="0" w:after="80" w:line="252" w:lineRule="auto"/>
      </w:pPr>
      <w:r>
        <w:rPr>
          <w:rFonts w:ascii="Noto Sans" w:hAnsi="Noto Sans" w:eastAsia="Noto Sans" w:cs="Noto Sans"/>
          <w:b w:val="0"/>
          <w:i w:val="0"/>
          <w:sz w:val="18"/>
        </w:rPr>
        <w:t>These Terms form a business-to-business agreement between DEEJAI LAB CO., LTD., registration number 0105569117953, of 48/187 Soi Sukhumvit 64, Bang Chak, Phra Khanong, Bangkok, Thailand ("Deejai", "we", "us"), and the organisation registering for or using DJBOT ("Merchant", "you"). DJAI Academy and DJBOT are Deejai brands.</w:t>
      </w:r>
    </w:p>
    <w:p>
      <w:pPr>
        <w:spacing w:before="0" w:after="80" w:line="252" w:lineRule="auto"/>
      </w:pPr>
      <w:r>
        <w:rPr>
          <w:rFonts w:ascii="Noto Sans" w:hAnsi="Noto Sans" w:eastAsia="Noto Sans" w:cs="Noto Sans"/>
          <w:b w:val="0"/>
          <w:i w:val="0"/>
          <w:sz w:val="18"/>
        </w:rPr>
        <w:t>By creating an account or selecting the acceptance control, the accepting individual confirms authority to bind the Merchant and agrees to these Terms and the DPA. The Merchant acknowledges the Privacy Notice. Reliable electronic acceptance records may be used as evidence.</w:t>
      </w:r>
    </w:p>
    <w:p>
      <w:pPr>
        <w:pStyle w:val="Heading2"/>
      </w:pPr>
      <w:r>
        <w:rPr>
          <w:rFonts w:ascii="Noto Sans" w:hAnsi="Noto Sans" w:eastAsia="Noto Sans" w:cs="Noto Sans"/>
          <w:b/>
          <w:i w:val="0"/>
          <w:sz w:val="24"/>
        </w:rPr>
        <w:t>2. Contract documents</w:t>
      </w:r>
    </w:p>
    <w:p>
      <w:pPr>
        <w:spacing w:before="0" w:after="80" w:line="252" w:lineRule="auto"/>
      </w:pPr>
      <w:r>
        <w:rPr>
          <w:rFonts w:ascii="Noto Sans" w:hAnsi="Noto Sans" w:eastAsia="Noto Sans" w:cs="Noto Sans"/>
          <w:b w:val="0"/>
          <w:i w:val="0"/>
          <w:sz w:val="18"/>
        </w:rPr>
        <w:t>The agreement consists of these Terms, the applicable Product Schedule, DPA, Acceptable Use Policy, checkout/order and any approved add-on schedule. Precedence: signed order, Product Schedule, DPA for personal-data matters, these Terms, AUP, public help content.</w:t>
      </w:r>
    </w:p>
    <w:p>
      <w:pPr>
        <w:pStyle w:val="Heading2"/>
      </w:pPr>
      <w:r>
        <w:rPr>
          <w:rFonts w:ascii="Noto Sans" w:hAnsi="Noto Sans" w:eastAsia="Noto Sans" w:cs="Noto Sans"/>
          <w:b/>
          <w:i w:val="0"/>
          <w:sz w:val="24"/>
        </w:rPr>
        <w:t>3. Service licence and availability</w:t>
      </w:r>
    </w:p>
    <w:p>
      <w:pPr>
        <w:spacing w:before="0" w:after="80" w:line="252" w:lineRule="auto"/>
      </w:pPr>
      <w:r>
        <w:rPr>
          <w:rFonts w:ascii="Noto Sans" w:hAnsi="Noto Sans" w:eastAsia="Noto Sans" w:cs="Noto Sans"/>
          <w:b w:val="0"/>
          <w:i w:val="0"/>
          <w:sz w:val="18"/>
        </w:rPr>
        <w:t>Deejai grants a limited, non-exclusive, non-transferable and revocable right during the subscription term to use the subscribed Service for internal business purposes. Only features in the approved Product Schedule and checkout are included. Demonstrations, roadmaps, repository code or inactive interfaces do not create commitments.</w:t>
      </w:r>
    </w:p>
    <w:p>
      <w:pPr>
        <w:spacing w:before="0" w:after="80" w:line="252" w:lineRule="auto"/>
      </w:pPr>
      <w:r>
        <w:rPr>
          <w:rFonts w:ascii="Noto Sans" w:hAnsi="Noto Sans" w:eastAsia="Noto Sans" w:cs="Noto Sans"/>
          <w:b w:val="0"/>
          <w:i w:val="0"/>
          <w:sz w:val="18"/>
        </w:rPr>
        <w:t>Deejai uses commercially reasonable efforts. No uptime, response-time, service-credit or customer-facing SLA applies unless a signed enterprise order expressly provides one.</w:t>
      </w:r>
    </w:p>
    <w:p>
      <w:pPr>
        <w:pStyle w:val="Heading2"/>
      </w:pPr>
      <w:r>
        <w:rPr>
          <w:rFonts w:ascii="Noto Sans" w:hAnsi="Noto Sans" w:eastAsia="Noto Sans" w:cs="Noto Sans"/>
          <w:b/>
          <w:i w:val="0"/>
          <w:sz w:val="24"/>
        </w:rPr>
        <w:t>4. Accounts</w:t>
      </w:r>
    </w:p>
    <w:p>
      <w:pPr>
        <w:spacing w:before="0" w:after="80" w:line="252" w:lineRule="auto"/>
      </w:pPr>
      <w:r>
        <w:rPr>
          <w:rFonts w:ascii="Noto Sans" w:hAnsi="Noto Sans" w:eastAsia="Noto Sans" w:cs="Noto Sans"/>
          <w:b w:val="0"/>
          <w:i w:val="0"/>
          <w:sz w:val="18"/>
        </w:rPr>
        <w:t>The Merchant must provide accurate information, protect credentials, use reasonable access controls, promptly remove unauthorised users and notify security@djai.academy of suspected compromise. The Merchant is responsible for users, flows, domains, channels, content and instructions.</w:t>
      </w:r>
    </w:p>
    <w:p>
      <w:pPr>
        <w:pStyle w:val="Heading2"/>
      </w:pPr>
      <w:r>
        <w:rPr>
          <w:rFonts w:ascii="Noto Sans" w:hAnsi="Noto Sans" w:eastAsia="Noto Sans" w:cs="Noto Sans"/>
          <w:b/>
          <w:i w:val="0"/>
          <w:sz w:val="24"/>
        </w:rPr>
        <w:t>5. Merchant content and customer data</w:t>
      </w:r>
    </w:p>
    <w:p>
      <w:pPr>
        <w:spacing w:before="0" w:after="80" w:line="252" w:lineRule="auto"/>
      </w:pPr>
      <w:r>
        <w:rPr>
          <w:rFonts w:ascii="Noto Sans" w:hAnsi="Noto Sans" w:eastAsia="Noto Sans" w:cs="Noto Sans"/>
          <w:b w:val="0"/>
          <w:i w:val="0"/>
          <w:sz w:val="18"/>
        </w:rPr>
        <w:t>The Merchant owns its content and data. It grants Deejai the limited rights necessary to host, transmit, display, secure, back up, export and process that material to provide the Service and comply with law.</w:t>
      </w:r>
    </w:p>
    <w:p>
      <w:pPr>
        <w:spacing w:before="0" w:after="80" w:line="252" w:lineRule="auto"/>
      </w:pPr>
      <w:r>
        <w:rPr>
          <w:rFonts w:ascii="Noto Sans" w:hAnsi="Noto Sans" w:eastAsia="Noto Sans" w:cs="Noto Sans"/>
          <w:b w:val="0"/>
          <w:i w:val="0"/>
          <w:sz w:val="18"/>
        </w:rPr>
        <w:t>For end-customer data processed for Merchant purposes, the Merchant is controller and Deejai processor under the DPA. The Merchant must provide a lawful privacy notice, establish a legal basis, respond to customers, minimise collection and avoid prohibited data.</w:t>
      </w:r>
    </w:p>
    <w:p>
      <w:pPr>
        <w:spacing w:before="0" w:after="80" w:line="252" w:lineRule="auto"/>
      </w:pPr>
      <w:r>
        <w:rPr>
          <w:rFonts w:ascii="Noto Sans" w:hAnsi="Noto Sans" w:eastAsia="Noto Sans" w:cs="Noto Sans"/>
          <w:b w:val="0"/>
          <w:i w:val="0"/>
          <w:sz w:val="18"/>
        </w:rPr>
        <w:t>Deejai-controlled marketing, partner marketing and model development require separate notices and choices. The Merchant may not select consent for a customer, pre-tick it, conceal it or condition the core enquiry on optional Deejai consent.</w:t>
      </w:r>
    </w:p>
    <w:p>
      <w:pPr>
        <w:pStyle w:val="Heading2"/>
      </w:pPr>
      <w:r>
        <w:rPr>
          <w:rFonts w:ascii="Noto Sans" w:hAnsi="Noto Sans" w:eastAsia="Noto Sans" w:cs="Noto Sans"/>
          <w:b/>
          <w:i w:val="0"/>
          <w:sz w:val="24"/>
        </w:rPr>
        <w:t>6. Acceptable use</w:t>
      </w:r>
    </w:p>
    <w:p>
      <w:pPr>
        <w:spacing w:before="0" w:after="80" w:line="252" w:lineRule="auto"/>
      </w:pPr>
      <w:r>
        <w:rPr>
          <w:rFonts w:ascii="Noto Sans" w:hAnsi="Noto Sans" w:eastAsia="Noto Sans" w:cs="Noto Sans"/>
          <w:b w:val="0"/>
          <w:i w:val="0"/>
          <w:sz w:val="18"/>
        </w:rPr>
        <w:t>The Merchant must comply with the AUP and must not use the Service for unlawful activity, deception, harassment, malware, phishing, credential collection, spam, emergency response, unapproved sensitive-data collection, child-directed collection without approval or automatic high-impact decisions. Automated output must not be presented as guaranteed professional advice.</w:t>
      </w:r>
    </w:p>
    <w:p>
      <w:pPr>
        <w:pStyle w:val="Heading2"/>
      </w:pPr>
      <w:r>
        <w:rPr>
          <w:rFonts w:ascii="Noto Sans" w:hAnsi="Noto Sans" w:eastAsia="Noto Sans" w:cs="Noto Sans"/>
          <w:b/>
          <w:i w:val="0"/>
          <w:sz w:val="24"/>
        </w:rPr>
        <w:t>7. Fees, annual term and renewal</w:t>
      </w:r>
    </w:p>
    <w:p>
      <w:pPr>
        <w:spacing w:before="0" w:after="80" w:line="252" w:lineRule="auto"/>
      </w:pPr>
      <w:r>
        <w:rPr>
          <w:rFonts w:ascii="Noto Sans" w:hAnsi="Noto Sans" w:eastAsia="Noto Sans" w:cs="Noto Sans"/>
          <w:b w:val="0"/>
          <w:i w:val="0"/>
          <w:sz w:val="18"/>
        </w:rPr>
        <w:t>FlowBot Basic is THB 2,499 tax-inclusive for the first year and THB 4,999 tax-inclusive for each renewal year unless an approved checkout states otherwise. It renews automatically for successive one-year terms unless cancelled before renewal through the account control or by email to support@djai.academy.</w:t>
      </w:r>
    </w:p>
    <w:p>
      <w:pPr>
        <w:spacing w:before="0" w:after="80" w:line="252" w:lineRule="auto"/>
      </w:pPr>
      <w:r>
        <w:rPr>
          <w:rFonts w:ascii="Noto Sans" w:hAnsi="Noto Sans" w:eastAsia="Noto Sans" w:cs="Noto Sans"/>
          <w:b w:val="0"/>
          <w:i w:val="0"/>
          <w:sz w:val="18"/>
        </w:rPr>
        <w:t>Current reference add-ons: additional administrator THB 99/month; additional workspace from THB 299/month; additional supported social channel THB 299/month; Flow Starter Setup from THB 3,900.</w:t>
      </w:r>
    </w:p>
    <w:p>
      <w:pPr>
        <w:spacing w:before="0" w:after="80" w:line="252" w:lineRule="auto"/>
      </w:pPr>
      <w:r>
        <w:rPr>
          <w:rFonts w:ascii="Noto Sans" w:hAnsi="Noto Sans" w:eastAsia="Noto Sans" w:cs="Noto Sans"/>
          <w:b w:val="0"/>
          <w:i w:val="0"/>
          <w:sz w:val="18"/>
        </w:rPr>
        <w:t>Stripe handles checkout and full card details. Deejai receives payment tokens and billing status, not full card numbers. Failed payments may be retried and may result in restriction or suspension after reasonable notice.</w:t>
      </w:r>
    </w:p>
    <w:p>
      <w:pPr>
        <w:pStyle w:val="Heading2"/>
      </w:pPr>
      <w:r>
        <w:rPr>
          <w:rFonts w:ascii="Noto Sans" w:hAnsi="Noto Sans" w:eastAsia="Noto Sans" w:cs="Noto Sans"/>
          <w:b/>
          <w:i w:val="0"/>
          <w:sz w:val="24"/>
        </w:rPr>
        <w:t>8. Taxes and records</w:t>
      </w:r>
    </w:p>
    <w:p>
      <w:pPr>
        <w:spacing w:before="0" w:after="80" w:line="252" w:lineRule="auto"/>
      </w:pPr>
      <w:r>
        <w:rPr>
          <w:rFonts w:ascii="Noto Sans" w:hAnsi="Noto Sans" w:eastAsia="Noto Sans" w:cs="Noto Sans"/>
          <w:b w:val="0"/>
          <w:i w:val="0"/>
          <w:sz w:val="18"/>
        </w:rPr>
        <w:t>Catalog prices are tax-inclusive where stated. The Merchant must provide correct billing/tax details. Deejai will issue documents according to its tax status and Thai law. Billing and tax records may be retained seven years.</w:t>
      </w:r>
    </w:p>
    <w:p>
      <w:pPr>
        <w:pStyle w:val="Heading2"/>
      </w:pPr>
      <w:r>
        <w:rPr>
          <w:rFonts w:ascii="Noto Sans" w:hAnsi="Noto Sans" w:eastAsia="Noto Sans" w:cs="Noto Sans"/>
          <w:b/>
          <w:i w:val="0"/>
          <w:sz w:val="24"/>
        </w:rPr>
        <w:t>9. Cancellation, closure and data access</w:t>
      </w:r>
    </w:p>
    <w:p>
      <w:pPr>
        <w:spacing w:before="0" w:after="80" w:line="252" w:lineRule="auto"/>
      </w:pPr>
      <w:r>
        <w:rPr>
          <w:rFonts w:ascii="Noto Sans" w:hAnsi="Noto Sans" w:eastAsia="Noto Sans" w:cs="Noto Sans"/>
          <w:b w:val="0"/>
          <w:i w:val="0"/>
          <w:sz w:val="18"/>
        </w:rPr>
        <w:t>Cancellation stops renewal and ordinarily leaves access through the paid term. The target closure process provides a 30-day read-only export/reactivation period after the paid term, followed by production purge and backup expiry within an additional 30 days. This becomes effective only after release verification; until then requests are support-managed under the current-state disclosure.</w:t>
      </w:r>
    </w:p>
    <w:p>
      <w:pPr>
        <w:spacing w:before="0" w:after="80" w:line="252" w:lineRule="auto"/>
      </w:pPr>
      <w:r>
        <w:rPr>
          <w:rFonts w:ascii="Noto Sans" w:hAnsi="Noto Sans" w:eastAsia="Noto Sans" w:cs="Noto Sans"/>
          <w:b w:val="0"/>
          <w:i w:val="0"/>
          <w:sz w:val="18"/>
        </w:rPr>
        <w:t>No refund is due for change of mind, unused time or failure to cancel, except as required by law or expressly approved. If Deejai ends a paid Service without Merchant breach and cannot offer a reasonable substitute, Deejai may provide a proportionate unused-period refund as the exclusive monetary remedy, subject to law.</w:t>
      </w:r>
    </w:p>
    <w:p>
      <w:pPr>
        <w:pStyle w:val="Heading2"/>
      </w:pPr>
      <w:r>
        <w:rPr>
          <w:rFonts w:ascii="Noto Sans" w:hAnsi="Noto Sans" w:eastAsia="Noto Sans" w:cs="Noto Sans"/>
          <w:b/>
          <w:i w:val="0"/>
          <w:sz w:val="24"/>
        </w:rPr>
        <w:t>10. Suspension and termination</w:t>
      </w:r>
    </w:p>
    <w:p>
      <w:pPr>
        <w:spacing w:before="0" w:after="80" w:line="252" w:lineRule="auto"/>
      </w:pPr>
      <w:r>
        <w:rPr>
          <w:rFonts w:ascii="Noto Sans" w:hAnsi="Noto Sans" w:eastAsia="Noto Sans" w:cs="Noto Sans"/>
          <w:b w:val="0"/>
          <w:i w:val="0"/>
          <w:sz w:val="18"/>
        </w:rPr>
        <w:t>Deejai may suspend or terminate for non-payment, material breach, security risk, unlawful use, infringement, regulatory requirement or material risk to persons/platform. Where practicable, notice and cure opportunity will be provided; urgent action may be immediate.</w:t>
      </w:r>
    </w:p>
    <w:p>
      <w:pPr>
        <w:spacing w:before="0" w:after="80" w:line="252" w:lineRule="auto"/>
      </w:pPr>
      <w:r>
        <w:rPr>
          <w:rFonts w:ascii="Noto Sans" w:hAnsi="Noto Sans" w:eastAsia="Noto Sans" w:cs="Noto Sans"/>
          <w:b w:val="0"/>
          <w:i w:val="0"/>
          <w:sz w:val="18"/>
        </w:rPr>
        <w:t>Accrued payment, confidentiality, IP, data handling, disclaimers, liability, indemnity, records and dispute provisions survive as appropriate.</w:t>
      </w:r>
    </w:p>
    <w:p>
      <w:pPr>
        <w:pStyle w:val="Heading2"/>
      </w:pPr>
      <w:r>
        <w:rPr>
          <w:rFonts w:ascii="Noto Sans" w:hAnsi="Noto Sans" w:eastAsia="Noto Sans" w:cs="Noto Sans"/>
          <w:b/>
          <w:i w:val="0"/>
          <w:sz w:val="24"/>
        </w:rPr>
        <w:t>11. Intellectual property</w:t>
      </w:r>
    </w:p>
    <w:p>
      <w:pPr>
        <w:spacing w:before="0" w:after="80" w:line="252" w:lineRule="auto"/>
      </w:pPr>
      <w:r>
        <w:rPr>
          <w:rFonts w:ascii="Noto Sans" w:hAnsi="Noto Sans" w:eastAsia="Noto Sans" w:cs="Noto Sans"/>
          <w:b w:val="0"/>
          <w:i w:val="0"/>
          <w:sz w:val="18"/>
        </w:rPr>
        <w:t>Deejai and licensors own the platform, software, interfaces, documentation, designs, templates, models and improvements. The Merchant may not reverse engineer, copy, resell, sublicense, white-label, publicly benchmark or create competing derivatives except as mandatory law permits or written agreement authorises.</w:t>
      </w:r>
    </w:p>
    <w:p>
      <w:pPr>
        <w:spacing w:before="0" w:after="80" w:line="252" w:lineRule="auto"/>
      </w:pPr>
      <w:r>
        <w:rPr>
          <w:rFonts w:ascii="Noto Sans" w:hAnsi="Noto Sans" w:eastAsia="Noto Sans" w:cs="Noto Sans"/>
          <w:b w:val="0"/>
          <w:i w:val="0"/>
          <w:sz w:val="18"/>
        </w:rPr>
        <w:t>Feedback may be used without restriction or payment if the Merchant is not publicly identified without permission.</w:t>
      </w:r>
    </w:p>
    <w:p>
      <w:pPr>
        <w:pStyle w:val="Heading2"/>
      </w:pPr>
      <w:r>
        <w:rPr>
          <w:rFonts w:ascii="Noto Sans" w:hAnsi="Noto Sans" w:eastAsia="Noto Sans" w:cs="Noto Sans"/>
          <w:b/>
          <w:i w:val="0"/>
          <w:sz w:val="24"/>
        </w:rPr>
        <w:t>12. Confidentiality</w:t>
      </w:r>
    </w:p>
    <w:p>
      <w:pPr>
        <w:spacing w:before="0" w:after="80" w:line="252" w:lineRule="auto"/>
      </w:pPr>
      <w:r>
        <w:rPr>
          <w:rFonts w:ascii="Noto Sans" w:hAnsi="Noto Sans" w:eastAsia="Noto Sans" w:cs="Noto Sans"/>
          <w:b w:val="0"/>
          <w:i w:val="0"/>
          <w:sz w:val="18"/>
        </w:rPr>
        <w:t>Each party protects the other's non-public business, technical and commercial information with reasonable care and uses it only for the agreement. Exclusions apply to information lawfully public, previously known, independently developed or lawfully received. Required disclosure is permitted with notice where legally allowed.</w:t>
      </w:r>
    </w:p>
    <w:p>
      <w:pPr>
        <w:pStyle w:val="Heading2"/>
      </w:pPr>
      <w:r>
        <w:rPr>
          <w:rFonts w:ascii="Noto Sans" w:hAnsi="Noto Sans" w:eastAsia="Noto Sans" w:cs="Noto Sans"/>
          <w:b/>
          <w:i w:val="0"/>
          <w:sz w:val="24"/>
        </w:rPr>
        <w:t>13. Warranties and disclaimers</w:t>
      </w:r>
    </w:p>
    <w:p>
      <w:pPr>
        <w:spacing w:before="0" w:after="80" w:line="252" w:lineRule="auto"/>
      </w:pPr>
      <w:r>
        <w:rPr>
          <w:rFonts w:ascii="Noto Sans" w:hAnsi="Noto Sans" w:eastAsia="Noto Sans" w:cs="Noto Sans"/>
          <w:b w:val="0"/>
          <w:i w:val="0"/>
          <w:sz w:val="18"/>
        </w:rPr>
        <w:t>Each party warrants authority. The Merchant warrants lawful content, instructions, collection and use.</w:t>
      </w:r>
    </w:p>
    <w:p>
      <w:pPr>
        <w:spacing w:before="0" w:after="80" w:line="252" w:lineRule="auto"/>
      </w:pPr>
      <w:r>
        <w:rPr>
          <w:rFonts w:ascii="Noto Sans" w:hAnsi="Noto Sans" w:eastAsia="Noto Sans" w:cs="Noto Sans"/>
          <w:b w:val="0"/>
          <w:i w:val="0"/>
          <w:sz w:val="18"/>
        </w:rPr>
        <w:t>Except for express commitments, the Service is provided "as available." Deejai does not warrant uninterrupted operation, error-free content, sales, lead quality, model accuracy, every-site compatibility or suitability for professional, medical, legal, financial, emergency or high-impact decisions.</w:t>
      </w:r>
    </w:p>
    <w:p>
      <w:pPr>
        <w:pStyle w:val="Heading2"/>
      </w:pPr>
      <w:r>
        <w:rPr>
          <w:rFonts w:ascii="Noto Sans" w:hAnsi="Noto Sans" w:eastAsia="Noto Sans" w:cs="Noto Sans"/>
          <w:b/>
          <w:i w:val="0"/>
          <w:sz w:val="24"/>
        </w:rPr>
        <w:t>14. Liability</w:t>
      </w:r>
    </w:p>
    <w:p>
      <w:pPr>
        <w:spacing w:before="0" w:after="80" w:line="252" w:lineRule="auto"/>
      </w:pPr>
      <w:r>
        <w:rPr>
          <w:rFonts w:ascii="Noto Sans" w:hAnsi="Noto Sans" w:eastAsia="Noto Sans" w:cs="Noto Sans"/>
          <w:b w:val="0"/>
          <w:i w:val="0"/>
          <w:sz w:val="18"/>
        </w:rPr>
        <w:t>To the maximum lawful extent, neither party is liable for indirect, incidental, special, punitive or consequential loss, lost profit, revenue, opportunity, goodwill or reliance on automated output.</w:t>
      </w:r>
    </w:p>
    <w:p>
      <w:pPr>
        <w:spacing w:before="0" w:after="80" w:line="252" w:lineRule="auto"/>
      </w:pPr>
      <w:r>
        <w:rPr>
          <w:rFonts w:ascii="Noto Sans" w:hAnsi="Noto Sans" w:eastAsia="Noto Sans" w:cs="Noto Sans"/>
          <w:b w:val="0"/>
          <w:i w:val="0"/>
          <w:sz w:val="18"/>
        </w:rPr>
        <w:t>Subject to non-excludable liability, Deejai's aggregate liability will not exceed fees paid or payable for the affected Service in the 12 months before the event. The cap does not apply to fraud or wilful misconduct and does not override mandatory PDPA liability.</w:t>
      </w:r>
    </w:p>
    <w:p>
      <w:pPr>
        <w:pStyle w:val="Heading2"/>
      </w:pPr>
      <w:r>
        <w:rPr>
          <w:rFonts w:ascii="Noto Sans" w:hAnsi="Noto Sans" w:eastAsia="Noto Sans" w:cs="Noto Sans"/>
          <w:b/>
          <w:i w:val="0"/>
          <w:sz w:val="24"/>
        </w:rPr>
        <w:t>15. Merchant indemnity</w:t>
      </w:r>
    </w:p>
    <w:p>
      <w:pPr>
        <w:spacing w:before="0" w:after="80" w:line="252" w:lineRule="auto"/>
      </w:pPr>
      <w:r>
        <w:rPr>
          <w:rFonts w:ascii="Noto Sans" w:hAnsi="Noto Sans" w:eastAsia="Noto Sans" w:cs="Noto Sans"/>
          <w:b w:val="0"/>
          <w:i w:val="0"/>
          <w:sz w:val="18"/>
        </w:rPr>
        <w:t>The Merchant will defend and indemnify Deejai against third-party claims and reasonable costs arising from Merchant content, unlawful collection/marketing, missing authority/consent, infringement, misuse or AUP breach. Deejai must notify promptly and permit reasonable defence control, while retaining participation and settlement-consent rights.</w:t>
      </w:r>
    </w:p>
    <w:p>
      <w:pPr>
        <w:pStyle w:val="Heading2"/>
      </w:pPr>
      <w:r>
        <w:rPr>
          <w:rFonts w:ascii="Noto Sans" w:hAnsi="Noto Sans" w:eastAsia="Noto Sans" w:cs="Noto Sans"/>
          <w:b/>
          <w:i w:val="0"/>
          <w:sz w:val="24"/>
        </w:rPr>
        <w:t>16. Changes</w:t>
      </w:r>
    </w:p>
    <w:p>
      <w:pPr>
        <w:spacing w:before="0" w:after="80" w:line="252" w:lineRule="auto"/>
      </w:pPr>
      <w:r>
        <w:rPr>
          <w:rFonts w:ascii="Noto Sans" w:hAnsi="Noto Sans" w:eastAsia="Noto Sans" w:cs="Noto Sans"/>
          <w:b w:val="0"/>
          <w:i w:val="0"/>
          <w:sz w:val="18"/>
        </w:rPr>
        <w:t>Material changes are versioned and notified. Renewed acceptance is requested where a change materially expands a data purpose or reduces a paid right and law requires it.</w:t>
      </w:r>
    </w:p>
    <w:p>
      <w:pPr>
        <w:pStyle w:val="Heading2"/>
      </w:pPr>
      <w:r>
        <w:rPr>
          <w:rFonts w:ascii="Noto Sans" w:hAnsi="Noto Sans" w:eastAsia="Noto Sans" w:cs="Noto Sans"/>
          <w:b/>
          <w:i w:val="0"/>
          <w:sz w:val="24"/>
        </w:rPr>
        <w:t>17. Support and notices</w:t>
      </w:r>
    </w:p>
    <w:p>
      <w:pPr>
        <w:spacing w:before="0" w:after="80" w:line="252" w:lineRule="auto"/>
      </w:pPr>
      <w:r>
        <w:rPr>
          <w:rFonts w:ascii="Noto Sans" w:hAnsi="Noto Sans" w:eastAsia="Noto Sans" w:cs="Noto Sans"/>
          <w:b w:val="0"/>
          <w:i w:val="0"/>
          <w:sz w:val="18"/>
        </w:rPr>
        <w:t>Support: support@djai.academy, 09:00-18:00 ICT Monday-Friday excluding Thai public holidays. Target response is next business day, not guaranteed. Legal notices: legal@djai.academy. Notices to Merchant may use the registered email or in-product notice.</w:t>
      </w:r>
    </w:p>
    <w:p>
      <w:pPr>
        <w:pStyle w:val="Heading2"/>
      </w:pPr>
      <w:r>
        <w:rPr>
          <w:rFonts w:ascii="Noto Sans" w:hAnsi="Noto Sans" w:eastAsia="Noto Sans" w:cs="Noto Sans"/>
          <w:b/>
          <w:i w:val="0"/>
          <w:sz w:val="24"/>
        </w:rPr>
        <w:t>18. Assignment</w:t>
      </w:r>
    </w:p>
    <w:p>
      <w:pPr>
        <w:spacing w:before="0" w:after="80" w:line="252" w:lineRule="auto"/>
      </w:pPr>
      <w:r>
        <w:rPr>
          <w:rFonts w:ascii="Noto Sans" w:hAnsi="Noto Sans" w:eastAsia="Noto Sans" w:cs="Noto Sans"/>
          <w:b w:val="0"/>
          <w:i w:val="0"/>
          <w:sz w:val="18"/>
        </w:rPr>
        <w:t>Merchant assignment requires written consent. Deejai may use affiliates/subcontractors and assign with a merger, reorganisation, financing or relevant business transfer, subject to data duties.</w:t>
      </w:r>
    </w:p>
    <w:p>
      <w:pPr>
        <w:pStyle w:val="Heading2"/>
      </w:pPr>
      <w:r>
        <w:rPr>
          <w:rFonts w:ascii="Noto Sans" w:hAnsi="Noto Sans" w:eastAsia="Noto Sans" w:cs="Noto Sans"/>
          <w:b/>
          <w:i w:val="0"/>
          <w:sz w:val="24"/>
        </w:rPr>
        <w:t>19. General and law</w:t>
      </w:r>
    </w:p>
    <w:p>
      <w:pPr>
        <w:spacing w:before="0" w:after="80" w:line="252" w:lineRule="auto"/>
      </w:pPr>
      <w:r>
        <w:rPr>
          <w:rFonts w:ascii="Noto Sans" w:hAnsi="Noto Sans" w:eastAsia="Noto Sans" w:cs="Noto Sans"/>
          <w:b w:val="0"/>
          <w:i w:val="0"/>
          <w:sz w:val="18"/>
        </w:rPr>
        <w:t>This is the entire agreement for its subject. Non-enforcement is not waiver. Invalid provisions are narrowed. No partnership/employment/agency is created.</w:t>
      </w:r>
    </w:p>
    <w:p>
      <w:pPr>
        <w:spacing w:before="0" w:after="80" w:line="252" w:lineRule="auto"/>
      </w:pPr>
      <w:r>
        <w:rPr>
          <w:rFonts w:ascii="Noto Sans" w:hAnsi="Noto Sans" w:eastAsia="Noto Sans" w:cs="Noto Sans"/>
          <w:b w:val="0"/>
          <w:i w:val="0"/>
          <w:sz w:val="18"/>
        </w:rPr>
        <w:t>Thai law governs. Bangkok courts have exclusive jurisdiction unless a written lawful alternative applies.</w:t>
      </w:r>
    </w:p>
    <w:p>
      <w:pPr>
        <w:pStyle w:val="Heading2"/>
      </w:pPr>
      <w:r>
        <w:rPr>
          <w:rFonts w:ascii="Noto Sans" w:hAnsi="Noto Sans" w:eastAsia="Noto Sans" w:cs="Noto Sans"/>
          <w:b/>
          <w:i w:val="0"/>
          <w:sz w:val="24"/>
        </w:rPr>
        <w:t>20. Contact</w:t>
      </w:r>
    </w:p>
    <w:p>
      <w:pPr>
        <w:spacing w:before="0" w:after="80" w:line="252" w:lineRule="auto"/>
      </w:pPr>
      <w:r>
        <w:rPr>
          <w:rFonts w:ascii="Noto Sans" w:hAnsi="Noto Sans" w:eastAsia="Noto Sans" w:cs="Noto Sans"/>
          <w:b w:val="0"/>
          <w:i w:val="0"/>
          <w:sz w:val="18"/>
        </w:rPr>
        <w:t>DEEJAI LAB CO., LTD.</w:t>
      </w:r>
    </w:p>
    <w:p>
      <w:pPr>
        <w:spacing w:before="0" w:after="80" w:line="252" w:lineRule="auto"/>
      </w:pPr>
      <w:r>
        <w:rPr>
          <w:rFonts w:ascii="Noto Sans" w:hAnsi="Noto Sans" w:eastAsia="Noto Sans" w:cs="Noto Sans"/>
          <w:b w:val="0"/>
          <w:i w:val="0"/>
          <w:sz w:val="18"/>
        </w:rPr>
        <w:t>48/187 Soi Sukhumvit 64, Bang Chak, Phra Khanong, Bangkok, Thailand</w:t>
      </w:r>
    </w:p>
    <w:p>
      <w:pPr>
        <w:spacing w:before="0" w:after="80" w:line="252" w:lineRule="auto"/>
      </w:pPr>
      <w:r>
        <w:rPr>
          <w:rFonts w:ascii="Noto Sans" w:hAnsi="Noto Sans" w:eastAsia="Noto Sans" w:cs="Noto Sans"/>
          <w:b w:val="0"/>
          <w:i w:val="0"/>
          <w:sz w:val="18"/>
        </w:rPr>
        <w:t>Support: support@djai.academy</w:t>
      </w:r>
    </w:p>
    <w:p>
      <w:pPr>
        <w:spacing w:before="0" w:after="80" w:line="252" w:lineRule="auto"/>
      </w:pPr>
      <w:r>
        <w:rPr>
          <w:rFonts w:ascii="Noto Sans" w:hAnsi="Noto Sans" w:eastAsia="Noto Sans" w:cs="Noto Sans"/>
          <w:b w:val="0"/>
          <w:i w:val="0"/>
          <w:sz w:val="18"/>
        </w:rPr>
        <w:t>Privacy: privacy@djai.academy</w:t>
      </w:r>
    </w:p>
    <w:p>
      <w:pPr>
        <w:spacing w:before="0" w:after="80" w:line="252" w:lineRule="auto"/>
      </w:pPr>
      <w:r>
        <w:rPr>
          <w:rFonts w:ascii="Noto Sans" w:hAnsi="Noto Sans" w:eastAsia="Noto Sans" w:cs="Noto Sans"/>
          <w:b w:val="0"/>
          <w:i w:val="0"/>
          <w:sz w:val="18"/>
        </w:rPr>
        <w:t>Legal: legal@djai.academy</w:t>
      </w:r>
    </w:p>
    <w:p>
      <w:pPr>
        <w:spacing w:before="0" w:after="80" w:line="252" w:lineRule="auto"/>
      </w:pPr>
      <w:r>
        <w:rPr>
          <w:rFonts w:ascii="Noto Sans" w:hAnsi="Noto Sans" w:eastAsia="Noto Sans" w:cs="Noto Sans"/>
          <w:b w:val="0"/>
          <w:i w:val="0"/>
          <w:sz w:val="18"/>
        </w:rPr>
        <w:t>Documents: https://djai.academy/legal</w:t>
      </w:r>
    </w:p>
    <w:p>
      <w:r>
        <w:br w:type="page"/>
      </w:r>
    </w:p>
    <w:p>
      <w:pPr>
        <w:pStyle w:val="Heading1"/>
      </w:pPr>
      <w:r>
        <w:rPr>
          <w:rFonts w:ascii="Noto Sans" w:hAnsi="Noto Sans" w:eastAsia="Noto Sans" w:cs="Noto Sans"/>
          <w:b/>
          <w:i w:val="0"/>
          <w:sz w:val="32"/>
        </w:rPr>
        <w:t>FlowBot Basic Product Schedule</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Scope</w:t>
      </w:r>
    </w:p>
    <w:p>
      <w:pPr>
        <w:spacing w:before="0" w:after="80" w:line="252" w:lineRule="auto"/>
      </w:pPr>
      <w:r>
        <w:rPr>
          <w:rFonts w:ascii="Noto Sans" w:hAnsi="Noto Sans" w:eastAsia="Noto Sans" w:cs="Noto Sans"/>
          <w:b w:val="0"/>
          <w:i w:val="0"/>
          <w:sz w:val="18"/>
        </w:rPr>
        <w:t>FlowBot Basic is a rule-based website chatbot and lead-capture service. It excludes AI-generated answers, voice calls, knowledge-file uploads, Meta channels and included social channels.</w:t>
      </w:r>
    </w:p>
    <w:p>
      <w:pPr>
        <w:pStyle w:val="Heading2"/>
      </w:pPr>
      <w:r>
        <w:rPr>
          <w:rFonts w:ascii="Noto Sans" w:hAnsi="Noto Sans" w:eastAsia="Noto Sans" w:cs="Noto Sans"/>
          <w:b/>
          <w:i w:val="0"/>
          <w:sz w:val="24"/>
        </w:rPr>
        <w:t>2. Subscription</w:t>
      </w:r>
    </w:p>
    <w:p>
      <w:pPr>
        <w:spacing w:after="30"/>
        <w:ind w:left="369" w:hanging="170"/>
      </w:pPr>
      <w:r>
        <w:rPr>
          <w:rFonts w:ascii="Noto Sans" w:hAnsi="Noto Sans" w:eastAsia="Noto Sans" w:cs="Noto Sans"/>
          <w:b w:val="0"/>
          <w:i w:val="0"/>
          <w:sz w:val="17"/>
        </w:rPr>
        <w:t>• THB 2,499 tax-inclusive first year.</w:t>
      </w:r>
    </w:p>
    <w:p>
      <w:pPr>
        <w:spacing w:after="30"/>
        <w:ind w:left="369" w:hanging="170"/>
      </w:pPr>
      <w:r>
        <w:rPr>
          <w:rFonts w:ascii="Noto Sans" w:hAnsi="Noto Sans" w:eastAsia="Noto Sans" w:cs="Noto Sans"/>
          <w:b w:val="0"/>
          <w:i w:val="0"/>
          <w:sz w:val="17"/>
        </w:rPr>
        <w:t>• THB 4,999 tax-inclusive renewal year.</w:t>
      </w:r>
    </w:p>
    <w:p>
      <w:pPr>
        <w:spacing w:after="30"/>
        <w:ind w:left="369" w:hanging="170"/>
      </w:pPr>
      <w:r>
        <w:rPr>
          <w:rFonts w:ascii="Noto Sans" w:hAnsi="Noto Sans" w:eastAsia="Noto Sans" w:cs="Noto Sans"/>
          <w:b w:val="0"/>
          <w:i w:val="0"/>
          <w:sz w:val="17"/>
        </w:rPr>
        <w:t>• Annual automatic renewal unless cancelled before renewal.</w:t>
      </w:r>
    </w:p>
    <w:p>
      <w:pPr>
        <w:spacing w:after="30"/>
        <w:ind w:left="369" w:hanging="170"/>
      </w:pPr>
      <w:r>
        <w:rPr>
          <w:rFonts w:ascii="Noto Sans" w:hAnsi="Noto Sans" w:eastAsia="Noto Sans" w:cs="Noto Sans"/>
          <w:b w:val="0"/>
          <w:i w:val="0"/>
          <w:sz w:val="17"/>
        </w:rPr>
        <w:t>• One active bot, one workspace and one included administrator.</w:t>
      </w:r>
    </w:p>
    <w:p>
      <w:pPr>
        <w:spacing w:after="30"/>
        <w:ind w:left="369" w:hanging="170"/>
      </w:pPr>
      <w:r>
        <w:rPr>
          <w:rFonts w:ascii="Noto Sans" w:hAnsi="Noto Sans" w:eastAsia="Noto Sans" w:cs="Noto Sans"/>
          <w:b w:val="0"/>
          <w:i w:val="0"/>
          <w:sz w:val="17"/>
        </w:rPr>
        <w:t>• 50,000 flow executions per billing period.</w:t>
      </w:r>
    </w:p>
    <w:p>
      <w:pPr>
        <w:spacing w:after="30"/>
        <w:ind w:left="369" w:hanging="170"/>
      </w:pPr>
      <w:r>
        <w:rPr>
          <w:rFonts w:ascii="Noto Sans" w:hAnsi="Noto Sans" w:eastAsia="Noto Sans" w:cs="Noto Sans"/>
          <w:b w:val="0"/>
          <w:i w:val="0"/>
          <w:sz w:val="17"/>
        </w:rPr>
        <w:t>• No automatic overage billing; processing may stop at the limit.</w:t>
      </w:r>
    </w:p>
    <w:p>
      <w:pPr>
        <w:spacing w:after="30"/>
        <w:ind w:left="369" w:hanging="170"/>
      </w:pPr>
      <w:r>
        <w:rPr>
          <w:rFonts w:ascii="Noto Sans" w:hAnsi="Noto Sans" w:eastAsia="Noto Sans" w:cs="Noto Sans"/>
          <w:b w:val="0"/>
          <w:i w:val="0"/>
          <w:sz w:val="17"/>
        </w:rPr>
        <w:t>• Target maximum of three Merchant-controlled domains/origins, subject to technical enforcement.</w:t>
      </w:r>
    </w:p>
    <w:p>
      <w:pPr>
        <w:spacing w:after="30"/>
        <w:ind w:left="369" w:hanging="170"/>
      </w:pPr>
      <w:r>
        <w:rPr>
          <w:rFonts w:ascii="Noto Sans" w:hAnsi="Noto Sans" w:eastAsia="Noto Sans" w:cs="Noto Sans"/>
          <w:b w:val="0"/>
          <w:i w:val="0"/>
          <w:sz w:val="17"/>
        </w:rPr>
        <w:t>• No separate lead-count cap, subject to fair use and legal restrictions.</w:t>
      </w:r>
    </w:p>
    <w:p>
      <w:pPr>
        <w:pStyle w:val="Heading2"/>
      </w:pPr>
      <w:r>
        <w:rPr>
          <w:rFonts w:ascii="Noto Sans" w:hAnsi="Noto Sans" w:eastAsia="Noto Sans" w:cs="Noto Sans"/>
          <w:b/>
          <w:i w:val="0"/>
          <w:sz w:val="24"/>
        </w:rPr>
        <w:t>3. Functions</w:t>
      </w:r>
    </w:p>
    <w:p>
      <w:pPr>
        <w:spacing w:before="0" w:after="80" w:line="252" w:lineRule="auto"/>
      </w:pPr>
      <w:r>
        <w:rPr>
          <w:rFonts w:ascii="Noto Sans" w:hAnsi="Noto Sans" w:eastAsia="Noto Sans" w:cs="Noto Sans"/>
          <w:b w:val="0"/>
          <w:i w:val="0"/>
          <w:sz w:val="18"/>
        </w:rPr>
        <w:t>The Merchant may build rule-based flows, forms and calls to action; embed the widget on approved origins; capture names, emails, telephone numbers and free-text enquiries; view leads; and submit privacy export/erasure jobs.</w:t>
      </w:r>
    </w:p>
    <w:p>
      <w:pPr>
        <w:spacing w:before="0" w:after="80" w:line="252" w:lineRule="auto"/>
      </w:pPr>
      <w:r>
        <w:rPr>
          <w:rFonts w:ascii="Noto Sans" w:hAnsi="Noto Sans" w:eastAsia="Noto Sans" w:cs="Noto Sans"/>
          <w:b w:val="0"/>
          <w:i w:val="0"/>
          <w:sz w:val="18"/>
        </w:rPr>
        <w:t>A one-click general lead CSV export is not promised until released. Subject-data export exists through privacy jobs.</w:t>
      </w:r>
    </w:p>
    <w:p>
      <w:pPr>
        <w:pStyle w:val="Heading2"/>
      </w:pPr>
      <w:r>
        <w:rPr>
          <w:rFonts w:ascii="Noto Sans" w:hAnsi="Noto Sans" w:eastAsia="Noto Sans" w:cs="Noto Sans"/>
          <w:b/>
          <w:i w:val="0"/>
          <w:sz w:val="24"/>
        </w:rPr>
        <w:t>4. Local storage</w:t>
      </w:r>
    </w:p>
    <w:p>
      <w:pPr>
        <w:spacing w:before="0" w:after="80" w:line="252" w:lineRule="auto"/>
      </w:pPr>
      <w:r>
        <w:rPr>
          <w:rFonts w:ascii="Noto Sans" w:hAnsi="Noto Sans" w:eastAsia="Noto Sans" w:cs="Noto Sans"/>
          <w:b w:val="0"/>
          <w:i w:val="0"/>
          <w:sz w:val="18"/>
        </w:rPr>
        <w:t>The widget sets no cookies. It uses one first-party localStorage entry per deployment containing an opaque session token. Blocking storage should not prevent basic chat.</w:t>
      </w:r>
    </w:p>
    <w:p>
      <w:pPr>
        <w:pStyle w:val="Heading2"/>
      </w:pPr>
      <w:r>
        <w:rPr>
          <w:rFonts w:ascii="Noto Sans" w:hAnsi="Noto Sans" w:eastAsia="Noto Sans" w:cs="Noto Sans"/>
          <w:b/>
          <w:i w:val="0"/>
          <w:sz w:val="24"/>
        </w:rPr>
        <w:t>5. Installation and support</w:t>
      </w:r>
    </w:p>
    <w:p>
      <w:pPr>
        <w:spacing w:before="0" w:after="80" w:line="252" w:lineRule="auto"/>
      </w:pPr>
      <w:r>
        <w:rPr>
          <w:rFonts w:ascii="Noto Sans" w:hAnsi="Noto Sans" w:eastAsia="Noto Sans" w:cs="Noto Sans"/>
          <w:b w:val="0"/>
          <w:i w:val="0"/>
          <w:sz w:val="18"/>
        </w:rPr>
        <w:t>Self-serve. Included support does not build the Merchant flow. Optional Flow Starter Setup is from THB 3,900. Support is email-only. No SLA or service credits.</w:t>
      </w:r>
    </w:p>
    <w:p>
      <w:pPr>
        <w:pStyle w:val="Heading2"/>
      </w:pPr>
      <w:r>
        <w:rPr>
          <w:rFonts w:ascii="Noto Sans" w:hAnsi="Noto Sans" w:eastAsia="Noto Sans" w:cs="Noto Sans"/>
          <w:b/>
          <w:i w:val="0"/>
          <w:sz w:val="24"/>
        </w:rPr>
        <w:t>6. Data uses</w:t>
      </w:r>
    </w:p>
    <w:p>
      <w:pPr>
        <w:spacing w:before="0" w:after="80" w:line="252" w:lineRule="auto"/>
      </w:pPr>
      <w:r>
        <w:rPr>
          <w:rFonts w:ascii="Noto Sans" w:hAnsi="Noto Sans" w:eastAsia="Noto Sans" w:cs="Noto Sans"/>
          <w:b w:val="0"/>
          <w:i w:val="0"/>
          <w:sz w:val="18"/>
        </w:rPr>
        <w:t>For Merchant enquiries/leads: Merchant controller, Deejai processor. Basic may offer separate unticked choices for Deejai marketing, partner disclosure and model development. Refusal must not prevent chat. Partner sharing is disabled until a partner is approved. Direct identifiers may not enter a training dataset.</w:t>
      </w:r>
    </w:p>
    <w:p>
      <w:pPr>
        <w:pStyle w:val="Heading2"/>
      </w:pPr>
      <w:r>
        <w:rPr>
          <w:rFonts w:ascii="Noto Sans" w:hAnsi="Noto Sans" w:eastAsia="Noto Sans" w:cs="Noto Sans"/>
          <w:b/>
          <w:i w:val="0"/>
          <w:sz w:val="24"/>
        </w:rPr>
        <w:t>7. Retention</w:t>
      </w:r>
    </w:p>
    <w:p>
      <w:pPr>
        <w:spacing w:before="0" w:after="80" w:line="252" w:lineRule="auto"/>
      </w:pPr>
      <w:r>
        <w:rPr>
          <w:rFonts w:ascii="Noto Sans" w:hAnsi="Noto Sans" w:eastAsia="Noto Sans" w:cs="Noto Sans"/>
          <w:b w:val="0"/>
          <w:i w:val="0"/>
          <w:sz w:val="18"/>
        </w:rPr>
        <w:t>Message content defaults to 365 days and may be configured 30-3,650 days; then it becomes a non-content tombstone. Contacts/leads currently remain until erasure or closure handling. A 24-month inactivity purge applies only after implementation and notice update.</w:t>
      </w:r>
    </w:p>
    <w:p>
      <w:pPr>
        <w:pStyle w:val="Heading2"/>
      </w:pPr>
      <w:r>
        <w:rPr>
          <w:rFonts w:ascii="Noto Sans" w:hAnsi="Noto Sans" w:eastAsia="Noto Sans" w:cs="Noto Sans"/>
          <w:b/>
          <w:i w:val="0"/>
          <w:sz w:val="24"/>
        </w:rPr>
        <w:t>8. Add-ons</w:t>
      </w:r>
    </w:p>
    <w:p>
      <w:pPr>
        <w:spacing w:before="0" w:after="80" w:line="252" w:lineRule="auto"/>
      </w:pPr>
      <w:r>
        <w:rPr>
          <w:rFonts w:ascii="Noto Sans" w:hAnsi="Noto Sans" w:eastAsia="Noto Sans" w:cs="Noto Sans"/>
          <w:b w:val="0"/>
          <w:i w:val="0"/>
          <w:sz w:val="18"/>
        </w:rPr>
        <w:t>Additional administrator THB 99/month; workspace from THB 299/month; supported social channel THB 299/month; LINE only under its Schedule. Messenger, Instagram and WhatsApp are unavailable.</w:t>
      </w:r>
    </w:p>
    <w:p>
      <w:pPr>
        <w:pStyle w:val="Heading2"/>
      </w:pPr>
      <w:r>
        <w:rPr>
          <w:rFonts w:ascii="Noto Sans" w:hAnsi="Noto Sans" w:eastAsia="Noto Sans" w:cs="Noto Sans"/>
          <w:b/>
          <w:i w:val="0"/>
          <w:sz w:val="24"/>
        </w:rPr>
        <w:t>9. Restrictions</w:t>
      </w:r>
    </w:p>
    <w:p>
      <w:pPr>
        <w:spacing w:before="0" w:after="80" w:line="252" w:lineRule="auto"/>
      </w:pPr>
      <w:r>
        <w:rPr>
          <w:rFonts w:ascii="Noto Sans" w:hAnsi="Noto Sans" w:eastAsia="Noto Sans" w:cs="Noto Sans"/>
          <w:b w:val="0"/>
          <w:i w:val="0"/>
          <w:sz w:val="18"/>
        </w:rPr>
        <w:t>Not approved for emergencies, diagnosis, personalised final legal/investment advice, credentials/OTP/card collection, intentional sensitive data, child-directed collection without guardian approval or automated high-impact decisions.</w:t>
      </w:r>
    </w:p>
    <w:p>
      <w:r>
        <w:br w:type="page"/>
      </w:r>
    </w:p>
    <w:p>
      <w:pPr>
        <w:pStyle w:val="Heading1"/>
      </w:pPr>
      <w:r>
        <w:rPr>
          <w:rFonts w:ascii="Noto Sans" w:hAnsi="Noto Sans" w:eastAsia="Noto Sans" w:cs="Noto Sans"/>
          <w:b/>
          <w:i w:val="0"/>
          <w:sz w:val="32"/>
        </w:rPr>
        <w:t>DJBOT Premium Product Schedule</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Scope</w:t>
      </w:r>
    </w:p>
    <w:p>
      <w:pPr>
        <w:spacing w:before="0" w:after="80" w:line="252" w:lineRule="auto"/>
      </w:pPr>
      <w:r>
        <w:rPr>
          <w:rFonts w:ascii="Noto Sans" w:hAnsi="Noto Sans" w:eastAsia="Noto Sans" w:cs="Noto Sans"/>
          <w:b w:val="0"/>
          <w:i w:val="0"/>
          <w:sz w:val="18"/>
        </w:rPr>
        <w:t>Premium functions and allowances are those in the approved catalog/order. Inactive repository functions are excluded.</w:t>
      </w:r>
    </w:p>
    <w:p>
      <w:pPr>
        <w:pStyle w:val="Heading2"/>
      </w:pPr>
      <w:r>
        <w:rPr>
          <w:rFonts w:ascii="Noto Sans" w:hAnsi="Noto Sans" w:eastAsia="Noto Sans" w:cs="Noto Sans"/>
          <w:b/>
          <w:i w:val="0"/>
          <w:sz w:val="24"/>
        </w:rPr>
        <w:t>2. Premium contact-data rule</w:t>
      </w:r>
    </w:p>
    <w:p>
      <w:pPr>
        <w:spacing w:before="0" w:after="80" w:line="252" w:lineRule="auto"/>
      </w:pPr>
      <w:r>
        <w:rPr>
          <w:rFonts w:ascii="Noto Sans" w:hAnsi="Noto Sans" w:eastAsia="Noto Sans" w:cs="Noto Sans"/>
          <w:b w:val="0"/>
          <w:i w:val="0"/>
          <w:sz w:val="18"/>
        </w:rPr>
        <w:t>Deejai processes end-customer contact details for the Merchant and does not use or disclose them for Deejai marketing or partner marketing. This is a material plan feature.</w:t>
      </w:r>
    </w:p>
    <w:p>
      <w:pPr>
        <w:pStyle w:val="Heading2"/>
      </w:pPr>
      <w:r>
        <w:rPr>
          <w:rFonts w:ascii="Noto Sans" w:hAnsi="Noto Sans" w:eastAsia="Noto Sans" w:cs="Noto Sans"/>
          <w:b/>
          <w:i w:val="0"/>
          <w:sz w:val="24"/>
        </w:rPr>
        <w:t>3. Model development</w:t>
      </w:r>
    </w:p>
    <w:p>
      <w:pPr>
        <w:spacing w:before="0" w:after="80" w:line="252" w:lineRule="auto"/>
      </w:pPr>
      <w:r>
        <w:rPr>
          <w:rFonts w:ascii="Noto Sans" w:hAnsi="Noto Sans" w:eastAsia="Noto Sans" w:cs="Noto Sans"/>
          <w:b w:val="0"/>
          <w:i w:val="0"/>
          <w:sz w:val="18"/>
        </w:rPr>
        <w:t>Model development requires the Model Development Notice and separate customer choice. The Merchant must have a control to disable collection. Direct identifiers are removed before dataset admission, but data remains protected as personal data unless identification is no longer reasonably possible.</w:t>
      </w:r>
    </w:p>
    <w:p>
      <w:pPr>
        <w:pStyle w:val="Heading2"/>
      </w:pPr>
      <w:r>
        <w:rPr>
          <w:rFonts w:ascii="Noto Sans" w:hAnsi="Noto Sans" w:eastAsia="Noto Sans" w:cs="Noto Sans"/>
          <w:b/>
          <w:i w:val="0"/>
          <w:sz w:val="24"/>
        </w:rPr>
        <w:t>4. AI</w:t>
      </w:r>
    </w:p>
    <w:p>
      <w:pPr>
        <w:spacing w:before="0" w:after="80" w:line="252" w:lineRule="auto"/>
      </w:pPr>
      <w:r>
        <w:rPr>
          <w:rFonts w:ascii="Noto Sans" w:hAnsi="Noto Sans" w:eastAsia="Noto Sans" w:cs="Noto Sans"/>
          <w:b w:val="0"/>
          <w:i w:val="0"/>
          <w:sz w:val="18"/>
        </w:rPr>
        <w:t>AI applies only if the order activates the AI Text Schedule. Premium naming alone does not include AI.</w:t>
      </w:r>
    </w:p>
    <w:p>
      <w:pPr>
        <w:pStyle w:val="Heading2"/>
      </w:pPr>
      <w:r>
        <w:rPr>
          <w:rFonts w:ascii="Noto Sans" w:hAnsi="Noto Sans" w:eastAsia="Noto Sans" w:cs="Noto Sans"/>
          <w:b/>
          <w:i w:val="0"/>
          <w:sz w:val="24"/>
        </w:rPr>
        <w:t>5. Retention and service level</w:t>
      </w:r>
    </w:p>
    <w:p>
      <w:pPr>
        <w:spacing w:before="0" w:after="80" w:line="252" w:lineRule="auto"/>
      </w:pPr>
      <w:r>
        <w:rPr>
          <w:rFonts w:ascii="Noto Sans" w:hAnsi="Noto Sans" w:eastAsia="Noto Sans" w:cs="Noto Sans"/>
          <w:b w:val="0"/>
          <w:i w:val="0"/>
          <w:sz w:val="18"/>
        </w:rPr>
        <w:t>Transcript retention follows released settings. Contact details follow the DPA, erasure and current closure implementation. Target closure terms apply only after release verification. No SLA or credits unless a signed enterprise order states otherwise.</w:t>
      </w:r>
    </w:p>
    <w:p>
      <w:r>
        <w:br w:type="page"/>
      </w:r>
    </w:p>
    <w:p>
      <w:pPr>
        <w:pStyle w:val="Heading1"/>
      </w:pPr>
      <w:r>
        <w:rPr>
          <w:rFonts w:ascii="Noto Sans" w:hAnsi="Noto Sans" w:eastAsia="Noto Sans" w:cs="Noto Sans"/>
          <w:b/>
          <w:i w:val="0"/>
          <w:sz w:val="32"/>
        </w:rPr>
        <w:t>AI Text Bot Product Schedule</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Dormant status</w:t>
      </w:r>
    </w:p>
    <w:p>
      <w:pPr>
        <w:spacing w:before="0" w:after="80" w:line="252" w:lineRule="auto"/>
      </w:pPr>
      <w:r>
        <w:rPr>
          <w:rFonts w:ascii="Noto Sans" w:hAnsi="Noto Sans" w:eastAsia="Noto Sans" w:cs="Noto Sans"/>
          <w:b w:val="0"/>
          <w:i w:val="0"/>
          <w:sz w:val="18"/>
        </w:rPr>
        <w:t>AI Text Bot is inactive until the Manifest names the approved AI provider, region, retention, model behaviour and counsel approval reference.</w:t>
      </w:r>
    </w:p>
    <w:p>
      <w:pPr>
        <w:pStyle w:val="Heading2"/>
      </w:pPr>
      <w:r>
        <w:rPr>
          <w:rFonts w:ascii="Noto Sans" w:hAnsi="Noto Sans" w:eastAsia="Noto Sans" w:cs="Noto Sans"/>
          <w:b/>
          <w:i w:val="0"/>
          <w:sz w:val="24"/>
        </w:rPr>
        <w:t>2. Service</w:t>
      </w:r>
    </w:p>
    <w:p>
      <w:pPr>
        <w:spacing w:before="0" w:after="80" w:line="252" w:lineRule="auto"/>
      </w:pPr>
      <w:r>
        <w:rPr>
          <w:rFonts w:ascii="Noto Sans" w:hAnsi="Noto Sans" w:eastAsia="Noto Sans" w:cs="Noto Sans"/>
          <w:b w:val="0"/>
          <w:i w:val="0"/>
          <w:sz w:val="18"/>
        </w:rPr>
        <w:t>It may generate responses using Merchant instructions, context and approved knowledge sources; classify enquiries; retrieve information; recommend next steps; or hand off to a person. It must not silently make a high-impact decision.</w:t>
      </w:r>
    </w:p>
    <w:p>
      <w:pPr>
        <w:pStyle w:val="Heading2"/>
      </w:pPr>
      <w:r>
        <w:rPr>
          <w:rFonts w:ascii="Noto Sans" w:hAnsi="Noto Sans" w:eastAsia="Noto Sans" w:cs="Noto Sans"/>
          <w:b/>
          <w:i w:val="0"/>
          <w:sz w:val="24"/>
        </w:rPr>
        <w:t>3. Merchant duties</w:t>
      </w:r>
    </w:p>
    <w:p>
      <w:pPr>
        <w:spacing w:before="0" w:after="80" w:line="252" w:lineRule="auto"/>
      </w:pPr>
      <w:r>
        <w:rPr>
          <w:rFonts w:ascii="Noto Sans" w:hAnsi="Noto Sans" w:eastAsia="Noto Sans" w:cs="Noto Sans"/>
          <w:b w:val="0"/>
          <w:i w:val="0"/>
          <w:sz w:val="18"/>
        </w:rPr>
        <w:t>The Merchant must provide accurate sources, test and monitor output, correct known errors, configure human escalation and disclose AI interaction. AI must not substitute for qualified professional judgment.</w:t>
      </w:r>
    </w:p>
    <w:p>
      <w:pPr>
        <w:pStyle w:val="Heading2"/>
      </w:pPr>
      <w:r>
        <w:rPr>
          <w:rFonts w:ascii="Noto Sans" w:hAnsi="Noto Sans" w:eastAsia="Noto Sans" w:cs="Noto Sans"/>
          <w:b/>
          <w:i w:val="0"/>
          <w:sz w:val="24"/>
        </w:rPr>
        <w:t>4. Accuracy</w:t>
      </w:r>
    </w:p>
    <w:p>
      <w:pPr>
        <w:spacing w:before="0" w:after="80" w:line="252" w:lineRule="auto"/>
      </w:pPr>
      <w:r>
        <w:rPr>
          <w:rFonts w:ascii="Noto Sans" w:hAnsi="Noto Sans" w:eastAsia="Noto Sans" w:cs="Noto Sans"/>
          <w:b w:val="0"/>
          <w:i w:val="0"/>
          <w:sz w:val="18"/>
        </w:rPr>
        <w:t>Output is probabilistic and may be incomplete, outdated, biased or wrong. Prices, legal/medical/financial information, eligibility and safety matters require independent verification.</w:t>
      </w:r>
    </w:p>
    <w:p>
      <w:pPr>
        <w:pStyle w:val="Heading2"/>
      </w:pPr>
      <w:r>
        <w:rPr>
          <w:rFonts w:ascii="Noto Sans" w:hAnsi="Noto Sans" w:eastAsia="Noto Sans" w:cs="Noto Sans"/>
          <w:b/>
          <w:i w:val="0"/>
          <w:sz w:val="24"/>
        </w:rPr>
        <w:t>5. Prohibited uses</w:t>
      </w:r>
    </w:p>
    <w:p>
      <w:pPr>
        <w:spacing w:before="0" w:after="80" w:line="252" w:lineRule="auto"/>
      </w:pPr>
      <w:r>
        <w:rPr>
          <w:rFonts w:ascii="Noto Sans" w:hAnsi="Noto Sans" w:eastAsia="Noto Sans" w:cs="Noto Sans"/>
          <w:b w:val="0"/>
          <w:i w:val="0"/>
          <w:sz w:val="18"/>
        </w:rPr>
        <w:t>No final decisions on employment, credit, insurance, education admission, healthcare, housing or legal rights; no diagnosis/prescription; no emergency response; no unlawful discrimination, deceptive impersonation or credential collection.</w:t>
      </w:r>
    </w:p>
    <w:p>
      <w:pPr>
        <w:pStyle w:val="Heading2"/>
      </w:pPr>
      <w:r>
        <w:rPr>
          <w:rFonts w:ascii="Noto Sans" w:hAnsi="Noto Sans" w:eastAsia="Noto Sans" w:cs="Noto Sans"/>
          <w:b/>
          <w:i w:val="0"/>
          <w:sz w:val="24"/>
        </w:rPr>
        <w:t>6. Data</w:t>
      </w:r>
    </w:p>
    <w:p>
      <w:pPr>
        <w:spacing w:before="0" w:after="80" w:line="252" w:lineRule="auto"/>
      </w:pPr>
      <w:r>
        <w:rPr>
          <w:rFonts w:ascii="Noto Sans" w:hAnsi="Noto Sans" w:eastAsia="Noto Sans" w:cs="Noto Sans"/>
          <w:b w:val="0"/>
          <w:i w:val="0"/>
          <w:sz w:val="18"/>
        </w:rPr>
        <w:t>Prompts, outputs, context and sources are processed for Merchant delivery under the DPA. Separate model-development use requires the Model Notice and Consent. Direct identifiers are removed before dataset admission; sensitive and child data are excluded unless separately approved.</w:t>
      </w:r>
    </w:p>
    <w:p>
      <w:pPr>
        <w:pStyle w:val="Heading2"/>
      </w:pPr>
      <w:r>
        <w:rPr>
          <w:rFonts w:ascii="Noto Sans" w:hAnsi="Noto Sans" w:eastAsia="Noto Sans" w:cs="Noto Sans"/>
          <w:b/>
          <w:i w:val="0"/>
          <w:sz w:val="24"/>
        </w:rPr>
        <w:t>7. Providers/transfers</w:t>
      </w:r>
    </w:p>
    <w:p>
      <w:pPr>
        <w:spacing w:before="0" w:after="80" w:line="252" w:lineRule="auto"/>
      </w:pPr>
      <w:r>
        <w:rPr>
          <w:rFonts w:ascii="Noto Sans" w:hAnsi="Noto Sans" w:eastAsia="Noto Sans" w:cs="Noto Sans"/>
          <w:b w:val="0"/>
          <w:i w:val="0"/>
          <w:sz w:val="18"/>
        </w:rPr>
        <w:t>No AI provider is approved. The feature must remain disabled until the Subprocessor Schedule identifies provider, entity, data, region, retention, training settings and safeguards.</w:t>
      </w:r>
    </w:p>
    <w:p>
      <w:pPr>
        <w:pStyle w:val="Heading2"/>
      </w:pPr>
      <w:r>
        <w:rPr>
          <w:rFonts w:ascii="Noto Sans" w:hAnsi="Noto Sans" w:eastAsia="Noto Sans" w:cs="Noto Sans"/>
          <w:b/>
          <w:i w:val="0"/>
          <w:sz w:val="24"/>
        </w:rPr>
        <w:t>8. Human escalation and sources</w:t>
      </w:r>
    </w:p>
    <w:p>
      <w:pPr>
        <w:spacing w:before="0" w:after="80" w:line="252" w:lineRule="auto"/>
      </w:pPr>
      <w:r>
        <w:rPr>
          <w:rFonts w:ascii="Noto Sans" w:hAnsi="Noto Sans" w:eastAsia="Noto Sans" w:cs="Noto Sans"/>
          <w:b w:val="0"/>
          <w:i w:val="0"/>
          <w:sz w:val="18"/>
        </w:rPr>
        <w:t>A human contact must be available for material complaints/transactions. The Merchant warrants rights to uploaded sources and must remove unnecessary personal/confidential/unlawful content.</w:t>
      </w:r>
    </w:p>
    <w:p>
      <w:pPr>
        <w:pStyle w:val="Heading2"/>
      </w:pPr>
      <w:r>
        <w:rPr>
          <w:rFonts w:ascii="Noto Sans" w:hAnsi="Noto Sans" w:eastAsia="Noto Sans" w:cs="Noto Sans"/>
          <w:b/>
          <w:i w:val="0"/>
          <w:sz w:val="24"/>
        </w:rPr>
        <w:t>9. Suspension</w:t>
      </w:r>
    </w:p>
    <w:p>
      <w:pPr>
        <w:spacing w:before="0" w:after="80" w:line="252" w:lineRule="auto"/>
      </w:pPr>
      <w:r>
        <w:rPr>
          <w:rFonts w:ascii="Noto Sans" w:hAnsi="Noto Sans" w:eastAsia="Noto Sans" w:cs="Noto Sans"/>
          <w:b w:val="0"/>
          <w:i w:val="0"/>
          <w:sz w:val="18"/>
        </w:rPr>
        <w:t>Deejai may suspend AI functions where output/use creates material safety, legal, privacy, security or reputational risk.</w:t>
      </w:r>
    </w:p>
    <w:p>
      <w:r>
        <w:br w:type="page"/>
      </w:r>
    </w:p>
    <w:p>
      <w:pPr>
        <w:pStyle w:val="Heading1"/>
      </w:pPr>
      <w:r>
        <w:rPr>
          <w:rFonts w:ascii="Noto Sans" w:hAnsi="Noto Sans" w:eastAsia="Noto Sans" w:cs="Noto Sans"/>
          <w:b/>
          <w:i w:val="0"/>
          <w:sz w:val="32"/>
        </w:rPr>
        <w:t>Voice Bot Product Schedule</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Dormant status</w:t>
      </w:r>
    </w:p>
    <w:p>
      <w:pPr>
        <w:spacing w:before="0" w:after="80" w:line="252" w:lineRule="auto"/>
      </w:pPr>
      <w:r>
        <w:rPr>
          <w:rFonts w:ascii="Noto Sans" w:hAnsi="Noto Sans" w:eastAsia="Noto Sans" w:cs="Noto Sans"/>
          <w:b w:val="0"/>
          <w:i w:val="0"/>
          <w:sz w:val="18"/>
        </w:rPr>
        <w:t>Voice Bot is inactive until telephony, speech-to-text, text-to-speech and AI providers, call countries, scripts, consent, suppression and retention are approved.</w:t>
      </w:r>
    </w:p>
    <w:p>
      <w:pPr>
        <w:pStyle w:val="Heading2"/>
      </w:pPr>
      <w:r>
        <w:rPr>
          <w:rFonts w:ascii="Noto Sans" w:hAnsi="Noto Sans" w:eastAsia="Noto Sans" w:cs="Noto Sans"/>
          <w:b/>
          <w:i w:val="0"/>
          <w:sz w:val="24"/>
        </w:rPr>
        <w:t>2. Permitted use</w:t>
      </w:r>
    </w:p>
    <w:p>
      <w:pPr>
        <w:spacing w:before="0" w:after="80" w:line="252" w:lineRule="auto"/>
      </w:pPr>
      <w:r>
        <w:rPr>
          <w:rFonts w:ascii="Noto Sans" w:hAnsi="Noto Sans" w:eastAsia="Noto Sans" w:cs="Noto Sans"/>
          <w:b w:val="0"/>
          <w:i w:val="0"/>
          <w:sz w:val="18"/>
        </w:rPr>
        <w:t>When activated it may answer inbound calls, make authorised outbound calls, qualify leads, provide general information, schedule appointments and transfer to a person. Merchant controls call purpose/list.</w:t>
      </w:r>
    </w:p>
    <w:p>
      <w:pPr>
        <w:pStyle w:val="Heading2"/>
      </w:pPr>
      <w:r>
        <w:rPr>
          <w:rFonts w:ascii="Noto Sans" w:hAnsi="Noto Sans" w:eastAsia="Noto Sans" w:cs="Noto Sans"/>
          <w:b/>
          <w:i w:val="0"/>
          <w:sz w:val="24"/>
        </w:rPr>
        <w:t>3. Disclosure</w:t>
      </w:r>
    </w:p>
    <w:p>
      <w:pPr>
        <w:spacing w:before="0" w:after="80" w:line="252" w:lineRule="auto"/>
      </w:pPr>
      <w:r>
        <w:rPr>
          <w:rFonts w:ascii="Noto Sans" w:hAnsi="Noto Sans" w:eastAsia="Noto Sans" w:cs="Noto Sans"/>
          <w:b w:val="0"/>
          <w:i w:val="0"/>
          <w:sz w:val="18"/>
        </w:rPr>
        <w:t>At call start, identify Merchant, automated system, recording/transcription status, human-transfer and marketing opt-out.</w:t>
      </w:r>
    </w:p>
    <w:p>
      <w:pPr>
        <w:pStyle w:val="Heading2"/>
      </w:pPr>
      <w:r>
        <w:rPr>
          <w:rFonts w:ascii="Noto Sans" w:hAnsi="Noto Sans" w:eastAsia="Noto Sans" w:cs="Noto Sans"/>
          <w:b/>
          <w:i w:val="0"/>
          <w:sz w:val="24"/>
        </w:rPr>
        <w:t>4. Recording</w:t>
      </w:r>
    </w:p>
    <w:p>
      <w:pPr>
        <w:spacing w:before="0" w:after="80" w:line="252" w:lineRule="auto"/>
      </w:pPr>
      <w:r>
        <w:rPr>
          <w:rFonts w:ascii="Noto Sans" w:hAnsi="Noto Sans" w:eastAsia="Noto Sans" w:cs="Noto Sans"/>
          <w:b w:val="0"/>
          <w:i w:val="0"/>
          <w:sz w:val="18"/>
        </w:rPr>
        <w:t>Recording is disabled and forced to zero retention. It may be enabled only with an approved period of 1-365 days, required consent mode, approved Thai/English scripts and legal approval reference. Transcription may still require disclosure.</w:t>
      </w:r>
    </w:p>
    <w:p>
      <w:pPr>
        <w:pStyle w:val="Heading2"/>
      </w:pPr>
      <w:r>
        <w:rPr>
          <w:rFonts w:ascii="Noto Sans" w:hAnsi="Noto Sans" w:eastAsia="Noto Sans" w:cs="Noto Sans"/>
          <w:b/>
          <w:i w:val="0"/>
          <w:sz w:val="24"/>
        </w:rPr>
        <w:t>5. Outbound calls</w:t>
      </w:r>
    </w:p>
    <w:p>
      <w:pPr>
        <w:spacing w:before="0" w:after="80" w:line="252" w:lineRule="auto"/>
      </w:pPr>
      <w:r>
        <w:rPr>
          <w:rFonts w:ascii="Noto Sans" w:hAnsi="Noto Sans" w:eastAsia="Noto Sans" w:cs="Noto Sans"/>
          <w:b w:val="0"/>
          <w:i w:val="0"/>
          <w:sz w:val="18"/>
        </w:rPr>
        <w:t>Merchant must have a lawful list/basis, observe hours, identify the business and honour suppression. No cold-call abuse, repeated harassment, spoofing or calling suppressed persons.</w:t>
      </w:r>
    </w:p>
    <w:p>
      <w:pPr>
        <w:pStyle w:val="Heading2"/>
      </w:pPr>
      <w:r>
        <w:rPr>
          <w:rFonts w:ascii="Noto Sans" w:hAnsi="Noto Sans" w:eastAsia="Noto Sans" w:cs="Noto Sans"/>
          <w:b/>
          <w:i w:val="0"/>
          <w:sz w:val="24"/>
        </w:rPr>
        <w:t>6. Restrictions</w:t>
      </w:r>
    </w:p>
    <w:p>
      <w:pPr>
        <w:spacing w:before="0" w:after="80" w:line="252" w:lineRule="auto"/>
      </w:pPr>
      <w:r>
        <w:rPr>
          <w:rFonts w:ascii="Noto Sans" w:hAnsi="Noto Sans" w:eastAsia="Noto Sans" w:cs="Noto Sans"/>
          <w:b w:val="0"/>
          <w:i w:val="0"/>
          <w:sz w:val="18"/>
        </w:rPr>
        <w:t>Not an emergency service. No diagnosis, prescription, final legal/financial advice, full card details, passwords/OTP or final high-impact decisions.</w:t>
      </w:r>
    </w:p>
    <w:p>
      <w:pPr>
        <w:pStyle w:val="Heading2"/>
      </w:pPr>
      <w:r>
        <w:rPr>
          <w:rFonts w:ascii="Noto Sans" w:hAnsi="Noto Sans" w:eastAsia="Noto Sans" w:cs="Noto Sans"/>
          <w:b/>
          <w:i w:val="0"/>
          <w:sz w:val="24"/>
        </w:rPr>
        <w:t>7. Accuracy and data</w:t>
      </w:r>
    </w:p>
    <w:p>
      <w:pPr>
        <w:spacing w:before="0" w:after="80" w:line="252" w:lineRule="auto"/>
      </w:pPr>
      <w:r>
        <w:rPr>
          <w:rFonts w:ascii="Noto Sans" w:hAnsi="Noto Sans" w:eastAsia="Noto Sans" w:cs="Noto Sans"/>
          <w:b w:val="0"/>
          <w:i w:val="0"/>
          <w:sz w:val="18"/>
        </w:rPr>
        <w:t>Confirm material details because speech/AI can be wrong. Audio/transcripts are processed under the DPA. Model development requires separate consent and direct-identifier removal. Child/sensitive conversations are excluded unless approved.</w:t>
      </w:r>
    </w:p>
    <w:p>
      <w:pPr>
        <w:pStyle w:val="Heading2"/>
      </w:pPr>
      <w:r>
        <w:rPr>
          <w:rFonts w:ascii="Noto Sans" w:hAnsi="Noto Sans" w:eastAsia="Noto Sans" w:cs="Noto Sans"/>
          <w:b/>
          <w:i w:val="0"/>
          <w:sz w:val="24"/>
        </w:rPr>
        <w:t>8. Providers</w:t>
      </w:r>
    </w:p>
    <w:p>
      <w:pPr>
        <w:spacing w:before="0" w:after="80" w:line="252" w:lineRule="auto"/>
      </w:pPr>
      <w:r>
        <w:rPr>
          <w:rFonts w:ascii="Noto Sans" w:hAnsi="Noto Sans" w:eastAsia="Noto Sans" w:cs="Noto Sans"/>
          <w:b w:val="0"/>
          <w:i w:val="0"/>
          <w:sz w:val="18"/>
        </w:rPr>
        <w:t>No telephony or speech provider is approved; feature remains disabled.</w:t>
      </w:r>
    </w:p>
    <w:p>
      <w:r>
        <w:br w:type="page"/>
      </w:r>
    </w:p>
    <w:p>
      <w:pPr>
        <w:pStyle w:val="Heading1"/>
      </w:pPr>
      <w:r>
        <w:rPr>
          <w:rFonts w:ascii="Noto Sans" w:hAnsi="Noto Sans" w:eastAsia="Noto Sans" w:cs="Noto Sans"/>
          <w:b/>
          <w:i w:val="0"/>
          <w:sz w:val="32"/>
        </w:rPr>
        <w:t>LINE Channel Add-on Schedule</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Application</w:t>
      </w:r>
    </w:p>
    <w:p>
      <w:pPr>
        <w:spacing w:before="0" w:after="80" w:line="252" w:lineRule="auto"/>
      </w:pPr>
      <w:r>
        <w:rPr>
          <w:rFonts w:ascii="Noto Sans" w:hAnsi="Noto Sans" w:eastAsia="Noto Sans" w:cs="Noto Sans"/>
          <w:b w:val="0"/>
          <w:i w:val="0"/>
          <w:sz w:val="18"/>
        </w:rPr>
        <w:t>Applies only when purchased and activated. LINE is not included in Basic.</w:t>
      </w:r>
    </w:p>
    <w:p>
      <w:pPr>
        <w:pStyle w:val="Heading2"/>
      </w:pPr>
      <w:r>
        <w:rPr>
          <w:rFonts w:ascii="Noto Sans" w:hAnsi="Noto Sans" w:eastAsia="Noto Sans" w:cs="Noto Sans"/>
          <w:b/>
          <w:i w:val="0"/>
          <w:sz w:val="24"/>
        </w:rPr>
        <w:t>2. Data flow and roles</w:t>
      </w:r>
    </w:p>
    <w:p>
      <w:pPr>
        <w:spacing w:before="0" w:after="80" w:line="252" w:lineRule="auto"/>
      </w:pPr>
      <w:r>
        <w:rPr>
          <w:rFonts w:ascii="Noto Sans" w:hAnsi="Noto Sans" w:eastAsia="Noto Sans" w:cs="Noto Sans"/>
          <w:b w:val="0"/>
          <w:i w:val="0"/>
          <w:sz w:val="18"/>
        </w:rPr>
        <w:t>Messages, LINE identifiers, display information and supported attachments pass through LINE and Deejai. Merchant is controller; Deejai processor for Merchant purpose; LINE operates its own platform under its own terms.</w:t>
      </w:r>
    </w:p>
    <w:p>
      <w:pPr>
        <w:pStyle w:val="Heading2"/>
      </w:pPr>
      <w:r>
        <w:rPr>
          <w:rFonts w:ascii="Noto Sans" w:hAnsi="Noto Sans" w:eastAsia="Noto Sans" w:cs="Noto Sans"/>
          <w:b/>
          <w:i w:val="0"/>
          <w:sz w:val="24"/>
        </w:rPr>
        <w:t>3. Merchant duties</w:t>
      </w:r>
    </w:p>
    <w:p>
      <w:pPr>
        <w:spacing w:before="0" w:after="80" w:line="252" w:lineRule="auto"/>
      </w:pPr>
      <w:r>
        <w:rPr>
          <w:rFonts w:ascii="Noto Sans" w:hAnsi="Noto Sans" w:eastAsia="Noto Sans" w:cs="Noto Sans"/>
          <w:b w:val="0"/>
          <w:i w:val="0"/>
          <w:sz w:val="18"/>
        </w:rPr>
        <w:t>Merchant must control the LINE account, give notices, configure lawful consent, protect tokens, respond to rights and follow LINE rules.</w:t>
      </w:r>
    </w:p>
    <w:p>
      <w:pPr>
        <w:pStyle w:val="Heading2"/>
      </w:pPr>
      <w:r>
        <w:rPr>
          <w:rFonts w:ascii="Noto Sans" w:hAnsi="Noto Sans" w:eastAsia="Noto Sans" w:cs="Noto Sans"/>
          <w:b/>
          <w:i w:val="0"/>
          <w:sz w:val="24"/>
        </w:rPr>
        <w:t>4. Scope and retention</w:t>
      </w:r>
    </w:p>
    <w:p>
      <w:pPr>
        <w:spacing w:before="0" w:after="80" w:line="252" w:lineRule="auto"/>
      </w:pPr>
      <w:r>
        <w:rPr>
          <w:rFonts w:ascii="Noto Sans" w:hAnsi="Noto Sans" w:eastAsia="Noto Sans" w:cs="Noto Sans"/>
          <w:b w:val="0"/>
          <w:i w:val="0"/>
          <w:sz w:val="18"/>
        </w:rPr>
        <w:t>Only released LINE functions apply. Meta/WhatsApp are excluded. Deejai retention follows the plan/DPA. Disconnecting stops future delivery but does not automatically erase existing records.</w:t>
      </w:r>
    </w:p>
    <w:p>
      <w:pPr>
        <w:pStyle w:val="Heading2"/>
      </w:pPr>
      <w:r>
        <w:rPr>
          <w:rFonts w:ascii="Noto Sans" w:hAnsi="Noto Sans" w:eastAsia="Noto Sans" w:cs="Noto Sans"/>
          <w:b/>
          <w:i w:val="0"/>
          <w:sz w:val="24"/>
        </w:rPr>
        <w:t>5. Platform dependency</w:t>
      </w:r>
    </w:p>
    <w:p>
      <w:pPr>
        <w:spacing w:before="0" w:after="80" w:line="252" w:lineRule="auto"/>
      </w:pPr>
      <w:r>
        <w:rPr>
          <w:rFonts w:ascii="Noto Sans" w:hAnsi="Noto Sans" w:eastAsia="Noto Sans" w:cs="Noto Sans"/>
          <w:b w:val="0"/>
          <w:i w:val="0"/>
          <w:sz w:val="18"/>
        </w:rPr>
        <w:t>Deejai is not responsible for LINE outages, policy changes, restrictions or decisions outside Deejai control.</w:t>
      </w:r>
    </w:p>
    <w:p>
      <w:r>
        <w:br w:type="page"/>
      </w:r>
    </w:p>
    <w:p>
      <w:pPr>
        <w:pStyle w:val="Heading1"/>
      </w:pPr>
      <w:r>
        <w:rPr>
          <w:rFonts w:ascii="Noto Sans" w:hAnsi="Noto Sans" w:eastAsia="Noto Sans" w:cs="Noto Sans"/>
          <w:b/>
          <w:i w:val="0"/>
          <w:sz w:val="32"/>
        </w:rPr>
        <w:t>DJBOT Acceptable Use Policy</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Rule</w:t>
      </w:r>
    </w:p>
    <w:p>
      <w:pPr>
        <w:spacing w:before="0" w:after="80" w:line="252" w:lineRule="auto"/>
      </w:pPr>
      <w:r>
        <w:rPr>
          <w:rFonts w:ascii="Noto Sans" w:hAnsi="Noto Sans" w:eastAsia="Noto Sans" w:cs="Noto Sans"/>
          <w:b w:val="0"/>
          <w:i w:val="0"/>
          <w:sz w:val="18"/>
        </w:rPr>
        <w:t>Use only for lawful, transparent and proportionate business communication. Merchant is responsible for flows, prompts, sources, lists, channels and instructions.</w:t>
      </w:r>
    </w:p>
    <w:p>
      <w:pPr>
        <w:pStyle w:val="Heading2"/>
      </w:pPr>
      <w:r>
        <w:rPr>
          <w:rFonts w:ascii="Noto Sans" w:hAnsi="Noto Sans" w:eastAsia="Noto Sans" w:cs="Noto Sans"/>
          <w:b/>
          <w:i w:val="0"/>
          <w:sz w:val="24"/>
        </w:rPr>
        <w:t>2. Prohibited uses</w:t>
      </w:r>
    </w:p>
    <w:p>
      <w:pPr>
        <w:spacing w:after="30"/>
        <w:ind w:left="369" w:hanging="170"/>
      </w:pPr>
      <w:r>
        <w:rPr>
          <w:rFonts w:ascii="Noto Sans" w:hAnsi="Noto Sans" w:eastAsia="Noto Sans" w:cs="Noto Sans"/>
          <w:b w:val="0"/>
          <w:i w:val="0"/>
          <w:sz w:val="17"/>
        </w:rPr>
        <w:t>• Fraud, deception, theft, unlawful surveillance or illegal trade.</w:t>
      </w:r>
    </w:p>
    <w:p>
      <w:pPr>
        <w:spacing w:after="30"/>
        <w:ind w:left="369" w:hanging="170"/>
      </w:pPr>
      <w:r>
        <w:rPr>
          <w:rFonts w:ascii="Noto Sans" w:hAnsi="Noto Sans" w:eastAsia="Noto Sans" w:cs="Noto Sans"/>
          <w:b w:val="0"/>
          <w:i w:val="0"/>
          <w:sz w:val="17"/>
        </w:rPr>
        <w:t>• Harassment, threats, exploitation or unlawful discrimination.</w:t>
      </w:r>
    </w:p>
    <w:p>
      <w:pPr>
        <w:spacing w:after="30"/>
        <w:ind w:left="369" w:hanging="170"/>
      </w:pPr>
      <w:r>
        <w:rPr>
          <w:rFonts w:ascii="Noto Sans" w:hAnsi="Noto Sans" w:eastAsia="Noto Sans" w:cs="Noto Sans"/>
          <w:b w:val="0"/>
          <w:i w:val="0"/>
          <w:sz w:val="17"/>
        </w:rPr>
        <w:t>• Malware, phishing or harmful code.</w:t>
      </w:r>
    </w:p>
    <w:p>
      <w:pPr>
        <w:spacing w:after="30"/>
        <w:ind w:left="369" w:hanging="170"/>
      </w:pPr>
      <w:r>
        <w:rPr>
          <w:rFonts w:ascii="Noto Sans" w:hAnsi="Noto Sans" w:eastAsia="Noto Sans" w:cs="Noto Sans"/>
          <w:b w:val="0"/>
          <w:i w:val="0"/>
          <w:sz w:val="17"/>
        </w:rPr>
        <w:t>• Password, PIN, OTP, full card or authentication-secret collection.</w:t>
      </w:r>
    </w:p>
    <w:p>
      <w:pPr>
        <w:spacing w:after="30"/>
        <w:ind w:left="369" w:hanging="170"/>
      </w:pPr>
      <w:r>
        <w:rPr>
          <w:rFonts w:ascii="Noto Sans" w:hAnsi="Noto Sans" w:eastAsia="Noto Sans" w:cs="Noto Sans"/>
          <w:b w:val="0"/>
          <w:i w:val="0"/>
          <w:sz w:val="17"/>
        </w:rPr>
        <w:t>• Deceptive impersonation.</w:t>
      </w:r>
    </w:p>
    <w:p>
      <w:pPr>
        <w:spacing w:after="30"/>
        <w:ind w:left="369" w:hanging="170"/>
      </w:pPr>
      <w:r>
        <w:rPr>
          <w:rFonts w:ascii="Noto Sans" w:hAnsi="Noto Sans" w:eastAsia="Noto Sans" w:cs="Noto Sans"/>
          <w:b w:val="0"/>
          <w:i w:val="0"/>
          <w:sz w:val="17"/>
        </w:rPr>
        <w:t>• Spam or marketing without lawful basis and opt-out.</w:t>
      </w:r>
    </w:p>
    <w:p>
      <w:pPr>
        <w:spacing w:after="30"/>
        <w:ind w:left="369" w:hanging="170"/>
      </w:pPr>
      <w:r>
        <w:rPr>
          <w:rFonts w:ascii="Noto Sans" w:hAnsi="Noto Sans" w:eastAsia="Noto Sans" w:cs="Noto Sans"/>
          <w:b w:val="0"/>
          <w:i w:val="0"/>
          <w:sz w:val="17"/>
        </w:rPr>
        <w:t>• Scraping, probing, overloading, bypassing limits or interfering with security.</w:t>
      </w:r>
    </w:p>
    <w:p>
      <w:pPr>
        <w:spacing w:after="30"/>
        <w:ind w:left="369" w:hanging="170"/>
      </w:pPr>
      <w:r>
        <w:rPr>
          <w:rFonts w:ascii="Noto Sans" w:hAnsi="Noto Sans" w:eastAsia="Noto Sans" w:cs="Noto Sans"/>
          <w:b w:val="0"/>
          <w:i w:val="0"/>
          <w:sz w:val="17"/>
        </w:rPr>
        <w:t>• Intentional sensitive-data collection without written approval.</w:t>
      </w:r>
    </w:p>
    <w:p>
      <w:pPr>
        <w:spacing w:after="30"/>
        <w:ind w:left="369" w:hanging="170"/>
      </w:pPr>
      <w:r>
        <w:rPr>
          <w:rFonts w:ascii="Noto Sans" w:hAnsi="Noto Sans" w:eastAsia="Noto Sans" w:cs="Noto Sans"/>
          <w:b w:val="0"/>
          <w:i w:val="0"/>
          <w:sz w:val="17"/>
        </w:rPr>
        <w:t>• Child-directed collection without guardian process.</w:t>
      </w:r>
    </w:p>
    <w:p>
      <w:pPr>
        <w:spacing w:after="30"/>
        <w:ind w:left="369" w:hanging="170"/>
      </w:pPr>
      <w:r>
        <w:rPr>
          <w:rFonts w:ascii="Noto Sans" w:hAnsi="Noto Sans" w:eastAsia="Noto Sans" w:cs="Noto Sans"/>
          <w:b w:val="0"/>
          <w:i w:val="0"/>
          <w:sz w:val="17"/>
        </w:rPr>
        <w:t>• Emergency dispatch claims.</w:t>
      </w:r>
    </w:p>
    <w:p>
      <w:pPr>
        <w:spacing w:after="30"/>
        <w:ind w:left="369" w:hanging="170"/>
      </w:pPr>
      <w:r>
        <w:rPr>
          <w:rFonts w:ascii="Noto Sans" w:hAnsi="Noto Sans" w:eastAsia="Noto Sans" w:cs="Noto Sans"/>
          <w:b w:val="0"/>
          <w:i w:val="0"/>
          <w:sz w:val="17"/>
        </w:rPr>
        <w:t>• Final high-impact decisions.</w:t>
      </w:r>
    </w:p>
    <w:p>
      <w:pPr>
        <w:spacing w:after="30"/>
        <w:ind w:left="369" w:hanging="170"/>
      </w:pPr>
      <w:r>
        <w:rPr>
          <w:rFonts w:ascii="Noto Sans" w:hAnsi="Noto Sans" w:eastAsia="Noto Sans" w:cs="Noto Sans"/>
          <w:b w:val="0"/>
          <w:i w:val="0"/>
          <w:sz w:val="17"/>
        </w:rPr>
        <w:t>• Unreviewed personalised medical diagnosis/prescription, final legal or investment advice.</w:t>
      </w:r>
    </w:p>
    <w:p>
      <w:pPr>
        <w:spacing w:after="30"/>
        <w:ind w:left="369" w:hanging="170"/>
      </w:pPr>
      <w:r>
        <w:rPr>
          <w:rFonts w:ascii="Noto Sans" w:hAnsi="Noto Sans" w:eastAsia="Noto Sans" w:cs="Noto Sans"/>
          <w:b w:val="0"/>
          <w:i w:val="0"/>
          <w:sz w:val="17"/>
        </w:rPr>
        <w:t>• IP/privacy/confidentiality infringement.</w:t>
      </w:r>
    </w:p>
    <w:p>
      <w:pPr>
        <w:spacing w:after="30"/>
        <w:ind w:left="369" w:hanging="170"/>
      </w:pPr>
      <w:r>
        <w:rPr>
          <w:rFonts w:ascii="Noto Sans" w:hAnsi="Noto Sans" w:eastAsia="Noto Sans" w:cs="Noto Sans"/>
          <w:b w:val="0"/>
          <w:i w:val="0"/>
          <w:sz w:val="17"/>
        </w:rPr>
        <w:t>• Unauthorised resale, white-label or sublicensing.</w:t>
      </w:r>
    </w:p>
    <w:p>
      <w:pPr>
        <w:spacing w:after="30"/>
        <w:ind w:left="369" w:hanging="170"/>
      </w:pPr>
      <w:r>
        <w:rPr>
          <w:rFonts w:ascii="Noto Sans" w:hAnsi="Noto Sans" w:eastAsia="Noto Sans" w:cs="Noto Sans"/>
          <w:b w:val="0"/>
          <w:i w:val="0"/>
          <w:sz w:val="17"/>
        </w:rPr>
        <w:t>• Circumventing or falsifying consent.</w:t>
      </w:r>
    </w:p>
    <w:p>
      <w:pPr>
        <w:pStyle w:val="Heading2"/>
      </w:pPr>
      <w:r>
        <w:rPr>
          <w:rFonts w:ascii="Noto Sans" w:hAnsi="Noto Sans" w:eastAsia="Noto Sans" w:cs="Noto Sans"/>
          <w:b/>
          <w:i w:val="0"/>
          <w:sz w:val="24"/>
        </w:rPr>
        <w:t>3. Restricted sectors</w:t>
      </w:r>
    </w:p>
    <w:p>
      <w:pPr>
        <w:spacing w:before="0" w:after="80" w:line="252" w:lineRule="auto"/>
      </w:pPr>
      <w:r>
        <w:rPr>
          <w:rFonts w:ascii="Noto Sans" w:hAnsi="Noto Sans" w:eastAsia="Noto Sans" w:cs="Noto Sans"/>
          <w:b w:val="0"/>
          <w:i w:val="0"/>
          <w:sz w:val="18"/>
        </w:rPr>
        <w:t>Healthcare, finance, insurance, legal, education, recruitment and child-related businesses may use general information, administrative enquiries, appointments and human follow-up. Higher-risk use requires separate approval.</w:t>
      </w:r>
    </w:p>
    <w:p>
      <w:pPr>
        <w:pStyle w:val="Heading2"/>
      </w:pPr>
      <w:r>
        <w:rPr>
          <w:rFonts w:ascii="Noto Sans" w:hAnsi="Noto Sans" w:eastAsia="Noto Sans" w:cs="Noto Sans"/>
          <w:b/>
          <w:i w:val="0"/>
          <w:sz w:val="24"/>
        </w:rPr>
        <w:t>4. Enforcement/reporting</w:t>
      </w:r>
    </w:p>
    <w:p>
      <w:pPr>
        <w:spacing w:before="0" w:after="80" w:line="252" w:lineRule="auto"/>
      </w:pPr>
      <w:r>
        <w:rPr>
          <w:rFonts w:ascii="Noto Sans" w:hAnsi="Noto Sans" w:eastAsia="Noto Sans" w:cs="Noto Sans"/>
          <w:b w:val="0"/>
          <w:i w:val="0"/>
          <w:sz w:val="18"/>
        </w:rPr>
        <w:t>Deejai may investigate, disable flows/features, suspend, preserve evidence or terminate. Urgent action may be without notice. Report abuse to legal@djai.academy or security@djai.academy.</w:t>
      </w:r>
    </w:p>
    <w:p>
      <w:r>
        <w:br w:type="page"/>
      </w:r>
    </w:p>
    <w:p>
      <w:pPr>
        <w:pStyle w:val="Heading1"/>
      </w:pPr>
      <w:r>
        <w:rPr>
          <w:rFonts w:ascii="Noto Sans" w:hAnsi="Noto Sans" w:eastAsia="Noto Sans" w:cs="Noto Sans"/>
          <w:b/>
          <w:i w:val="0"/>
          <w:sz w:val="32"/>
        </w:rPr>
        <w:t>Merchant Data Processing Agreement</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Parties and scope</w:t>
      </w:r>
    </w:p>
    <w:p>
      <w:pPr>
        <w:spacing w:before="0" w:after="80" w:line="252" w:lineRule="auto"/>
      </w:pPr>
      <w:r>
        <w:rPr>
          <w:rFonts w:ascii="Noto Sans" w:hAnsi="Noto Sans" w:eastAsia="Noto Sans" w:cs="Noto Sans"/>
          <w:b w:val="0"/>
          <w:i w:val="0"/>
          <w:sz w:val="18"/>
        </w:rPr>
        <w:t>This DPA forms part of the Master Terms. Merchant is controller and DEEJAI LAB CO., LTD. processor for Personal Data processed on Merchant instructions. It is accepted electronically during registration.</w:t>
      </w:r>
    </w:p>
    <w:p>
      <w:pPr>
        <w:pStyle w:val="Heading2"/>
      </w:pPr>
      <w:r>
        <w:rPr>
          <w:rFonts w:ascii="Noto Sans" w:hAnsi="Noto Sans" w:eastAsia="Noto Sans" w:cs="Noto Sans"/>
          <w:b/>
          <w:i w:val="0"/>
          <w:sz w:val="24"/>
        </w:rPr>
        <w:t>2. Definitions</w:t>
      </w:r>
    </w:p>
    <w:p>
      <w:pPr>
        <w:spacing w:before="0" w:after="80" w:line="252" w:lineRule="auto"/>
      </w:pPr>
      <w:r>
        <w:rPr>
          <w:rFonts w:ascii="Noto Sans" w:hAnsi="Noto Sans" w:eastAsia="Noto Sans" w:cs="Noto Sans"/>
          <w:b w:val="0"/>
          <w:i w:val="0"/>
          <w:sz w:val="18"/>
        </w:rPr>
        <w:t>PDPA meanings apply. "Merchant Personal Data" means end-customer/staff data processed for Merchant purposes. "Subprocessor" means a processor appointed by Deejai.</w:t>
      </w:r>
    </w:p>
    <w:p>
      <w:pPr>
        <w:pStyle w:val="Heading2"/>
      </w:pPr>
      <w:r>
        <w:rPr>
          <w:rFonts w:ascii="Noto Sans" w:hAnsi="Noto Sans" w:eastAsia="Noto Sans" w:cs="Noto Sans"/>
          <w:b/>
          <w:i w:val="0"/>
          <w:sz w:val="24"/>
        </w:rPr>
        <w:t>3. Instructions</w:t>
      </w:r>
    </w:p>
    <w:p>
      <w:pPr>
        <w:spacing w:before="0" w:after="80" w:line="252" w:lineRule="auto"/>
      </w:pPr>
      <w:r>
        <w:rPr>
          <w:rFonts w:ascii="Noto Sans" w:hAnsi="Noto Sans" w:eastAsia="Noto Sans" w:cs="Noto Sans"/>
          <w:b w:val="0"/>
          <w:i w:val="0"/>
          <w:sz w:val="18"/>
        </w:rPr>
        <w:t>Deejai processes Merchant Personal Data only to provide, secure, support and improve the subscribed Merchant service, follow documented instructions and comply with law. Terms, schedules, settings and support requests are instructions. An unlawful instruction may be suspended and disclosed to Merchant unless prohibited.</w:t>
      </w:r>
    </w:p>
    <w:p>
      <w:pPr>
        <w:spacing w:before="0" w:after="80" w:line="252" w:lineRule="auto"/>
      </w:pPr>
      <w:r>
        <w:rPr>
          <w:rFonts w:ascii="Noto Sans" w:hAnsi="Noto Sans" w:eastAsia="Noto Sans" w:cs="Noto Sans"/>
          <w:b w:val="0"/>
          <w:i w:val="0"/>
          <w:sz w:val="18"/>
        </w:rPr>
        <w:t>Deejai marketing, partner marketing and model development are separate controller activities and not authorised by this DPA.</w:t>
      </w:r>
    </w:p>
    <w:p>
      <w:pPr>
        <w:pStyle w:val="Heading2"/>
      </w:pPr>
      <w:r>
        <w:rPr>
          <w:rFonts w:ascii="Noto Sans" w:hAnsi="Noto Sans" w:eastAsia="Noto Sans" w:cs="Noto Sans"/>
          <w:b/>
          <w:i w:val="0"/>
          <w:sz w:val="24"/>
        </w:rPr>
        <w:t>4. Merchant obligations</w:t>
      </w:r>
    </w:p>
    <w:p>
      <w:pPr>
        <w:spacing w:before="0" w:after="80" w:line="252" w:lineRule="auto"/>
      </w:pPr>
      <w:r>
        <w:rPr>
          <w:rFonts w:ascii="Noto Sans" w:hAnsi="Noto Sans" w:eastAsia="Noto Sans" w:cs="Noto Sans"/>
          <w:b w:val="0"/>
          <w:i w:val="0"/>
          <w:sz w:val="18"/>
        </w:rPr>
        <w:t>Merchant warrants authority and lawful basis; must provide notices, minimise data, avoid prohibited categories, maintain accuracy, respond to Data Subjects and not instruct unlawful processing.</w:t>
      </w:r>
    </w:p>
    <w:p>
      <w:pPr>
        <w:pStyle w:val="Heading2"/>
      </w:pPr>
      <w:r>
        <w:rPr>
          <w:rFonts w:ascii="Noto Sans" w:hAnsi="Noto Sans" w:eastAsia="Noto Sans" w:cs="Noto Sans"/>
          <w:b/>
          <w:i w:val="0"/>
          <w:sz w:val="24"/>
        </w:rPr>
        <w:t>5. Personnel/confidentiality</w:t>
      </w:r>
    </w:p>
    <w:p>
      <w:pPr>
        <w:spacing w:before="0" w:after="80" w:line="252" w:lineRule="auto"/>
      </w:pPr>
      <w:r>
        <w:rPr>
          <w:rFonts w:ascii="Noto Sans" w:hAnsi="Noto Sans" w:eastAsia="Noto Sans" w:cs="Noto Sans"/>
          <w:b w:val="0"/>
          <w:i w:val="0"/>
          <w:sz w:val="18"/>
        </w:rPr>
        <w:t>Authorised personnel are subject to confidentiality and role-appropriate access.</w:t>
      </w:r>
    </w:p>
    <w:p>
      <w:pPr>
        <w:pStyle w:val="Heading2"/>
      </w:pPr>
      <w:r>
        <w:rPr>
          <w:rFonts w:ascii="Noto Sans" w:hAnsi="Noto Sans" w:eastAsia="Noto Sans" w:cs="Noto Sans"/>
          <w:b/>
          <w:i w:val="0"/>
          <w:sz w:val="24"/>
        </w:rPr>
        <w:t>6. Security</w:t>
      </w:r>
    </w:p>
    <w:p>
      <w:pPr>
        <w:spacing w:before="0" w:after="80" w:line="252" w:lineRule="auto"/>
      </w:pPr>
      <w:r>
        <w:rPr>
          <w:rFonts w:ascii="Noto Sans" w:hAnsi="Noto Sans" w:eastAsia="Noto Sans" w:cs="Noto Sans"/>
          <w:b w:val="0"/>
          <w:i w:val="0"/>
          <w:sz w:val="18"/>
        </w:rPr>
        <w:t>Deejai maintains reasonable measures in Schedule 2, considering nature/risk/state of art/cost. Security commitments are a program, not a guarantee against all incidents.</w:t>
      </w:r>
    </w:p>
    <w:p>
      <w:pPr>
        <w:pStyle w:val="Heading2"/>
      </w:pPr>
      <w:r>
        <w:rPr>
          <w:rFonts w:ascii="Noto Sans" w:hAnsi="Noto Sans" w:eastAsia="Noto Sans" w:cs="Noto Sans"/>
          <w:b/>
          <w:i w:val="0"/>
          <w:sz w:val="24"/>
        </w:rPr>
        <w:t>7. Subprocessors</w:t>
      </w:r>
    </w:p>
    <w:p>
      <w:pPr>
        <w:spacing w:before="0" w:after="80" w:line="252" w:lineRule="auto"/>
      </w:pPr>
      <w:r>
        <w:rPr>
          <w:rFonts w:ascii="Noto Sans" w:hAnsi="Noto Sans" w:eastAsia="Noto Sans" w:cs="Noto Sans"/>
          <w:b w:val="0"/>
          <w:i w:val="0"/>
          <w:sz w:val="18"/>
        </w:rPr>
        <w:t>Merchant gives general authorisation for Schedule 3 providers. Deejai imposes appropriate obligations and remains responsible as required. Material new subprocessors receive reasonable notice; Merchant may object on substantiated protection grounds. If no solution, the affected Service may be terminated without future renewal liability.</w:t>
      </w:r>
    </w:p>
    <w:p>
      <w:pPr>
        <w:pStyle w:val="Heading2"/>
      </w:pPr>
      <w:r>
        <w:rPr>
          <w:rFonts w:ascii="Noto Sans" w:hAnsi="Noto Sans" w:eastAsia="Noto Sans" w:cs="Noto Sans"/>
          <w:b/>
          <w:i w:val="0"/>
          <w:sz w:val="24"/>
        </w:rPr>
        <w:t>8. Transfers</w:t>
      </w:r>
    </w:p>
    <w:p>
      <w:pPr>
        <w:spacing w:before="0" w:after="80" w:line="252" w:lineRule="auto"/>
      </w:pPr>
      <w:r>
        <w:rPr>
          <w:rFonts w:ascii="Noto Sans" w:hAnsi="Noto Sans" w:eastAsia="Noto Sans" w:cs="Noto Sans"/>
          <w:b w:val="0"/>
          <w:i w:val="0"/>
          <w:sz w:val="18"/>
        </w:rPr>
        <w:t>Merchant Personal Data is currently processed through Neon/AWS in Ohio, USA. Deejai documents safeguards and updates the notice only after verified migration.</w:t>
      </w:r>
    </w:p>
    <w:p>
      <w:pPr>
        <w:pStyle w:val="Heading2"/>
      </w:pPr>
      <w:r>
        <w:rPr>
          <w:rFonts w:ascii="Noto Sans" w:hAnsi="Noto Sans" w:eastAsia="Noto Sans" w:cs="Noto Sans"/>
          <w:b/>
          <w:i w:val="0"/>
          <w:sz w:val="24"/>
        </w:rPr>
        <w:t>9. Rights assistance</w:t>
      </w:r>
    </w:p>
    <w:p>
      <w:pPr>
        <w:spacing w:before="0" w:after="80" w:line="252" w:lineRule="auto"/>
      </w:pPr>
      <w:r>
        <w:rPr>
          <w:rFonts w:ascii="Noto Sans" w:hAnsi="Noto Sans" w:eastAsia="Noto Sans" w:cs="Noto Sans"/>
          <w:b w:val="0"/>
          <w:i w:val="0"/>
          <w:sz w:val="18"/>
        </w:rPr>
        <w:t>Merchant decides/responds to requests for Merchant purposes. Deejai assists through available export/erasure jobs, subject to authentication, rate limits, legal holds and residuals. Direct requesters may be referred to Merchant.</w:t>
      </w:r>
    </w:p>
    <w:p>
      <w:pPr>
        <w:pStyle w:val="Heading2"/>
      </w:pPr>
      <w:r>
        <w:rPr>
          <w:rFonts w:ascii="Noto Sans" w:hAnsi="Noto Sans" w:eastAsia="Noto Sans" w:cs="Noto Sans"/>
          <w:b/>
          <w:i w:val="0"/>
          <w:sz w:val="24"/>
        </w:rPr>
        <w:t>10. Erasure</w:t>
      </w:r>
    </w:p>
    <w:p>
      <w:pPr>
        <w:spacing w:before="0" w:after="80" w:line="252" w:lineRule="auto"/>
      </w:pPr>
      <w:r>
        <w:rPr>
          <w:rFonts w:ascii="Noto Sans" w:hAnsi="Noto Sans" w:eastAsia="Noto Sans" w:cs="Noto Sans"/>
          <w:b w:val="0"/>
          <w:i w:val="0"/>
          <w:sz w:val="18"/>
        </w:rPr>
        <w:t>Current erasure removes/replaces identifying content and may retain non-identifying shells for integrity, audit or legal hold. It is not removal of every row. Backups/provider copies expire under implemented controls.</w:t>
      </w:r>
    </w:p>
    <w:p>
      <w:pPr>
        <w:pStyle w:val="Heading2"/>
      </w:pPr>
      <w:r>
        <w:rPr>
          <w:rFonts w:ascii="Noto Sans" w:hAnsi="Noto Sans" w:eastAsia="Noto Sans" w:cs="Noto Sans"/>
          <w:b/>
          <w:i w:val="0"/>
          <w:sz w:val="24"/>
        </w:rPr>
        <w:t>11. Breach</w:t>
      </w:r>
    </w:p>
    <w:p>
      <w:pPr>
        <w:spacing w:before="0" w:after="80" w:line="252" w:lineRule="auto"/>
      </w:pPr>
      <w:r>
        <w:rPr>
          <w:rFonts w:ascii="Noto Sans" w:hAnsi="Noto Sans" w:eastAsia="Noto Sans" w:cs="Noto Sans"/>
          <w:b w:val="0"/>
          <w:i w:val="0"/>
          <w:sz w:val="18"/>
        </w:rPr>
        <w:t>Deejai notifies Merchant without undue delay after confirming a breach affecting Merchant data and provides available information. Merchant remains responsible for controller notifications; Deejai cooperates and may make notices required of it.</w:t>
      </w:r>
    </w:p>
    <w:p>
      <w:pPr>
        <w:pStyle w:val="Heading2"/>
      </w:pPr>
      <w:r>
        <w:rPr>
          <w:rFonts w:ascii="Noto Sans" w:hAnsi="Noto Sans" w:eastAsia="Noto Sans" w:cs="Noto Sans"/>
          <w:b/>
          <w:i w:val="0"/>
          <w:sz w:val="24"/>
        </w:rPr>
        <w:t>12. Records/audits</w:t>
      </w:r>
    </w:p>
    <w:p>
      <w:pPr>
        <w:spacing w:before="0" w:after="80" w:line="252" w:lineRule="auto"/>
      </w:pPr>
      <w:r>
        <w:rPr>
          <w:rFonts w:ascii="Noto Sans" w:hAnsi="Noto Sans" w:eastAsia="Noto Sans" w:cs="Noto Sans"/>
          <w:b w:val="0"/>
          <w:i w:val="0"/>
          <w:sz w:val="18"/>
        </w:rPr>
        <w:t>Deejai maintains required records and provides reasonable compliance information. Audits normally use policies, certifications, reports, questionnaires and remote review. On-site audit is limited to legal requirement or material unresolved evidence and is subject to confidentiality, scope, security and cost.</w:t>
      </w:r>
    </w:p>
    <w:p>
      <w:pPr>
        <w:pStyle w:val="Heading2"/>
      </w:pPr>
      <w:r>
        <w:rPr>
          <w:rFonts w:ascii="Noto Sans" w:hAnsi="Noto Sans" w:eastAsia="Noto Sans" w:cs="Noto Sans"/>
          <w:b/>
          <w:i w:val="0"/>
          <w:sz w:val="24"/>
        </w:rPr>
        <w:t>13. DPIA assistance</w:t>
      </w:r>
    </w:p>
    <w:p>
      <w:pPr>
        <w:spacing w:before="0" w:after="80" w:line="252" w:lineRule="auto"/>
      </w:pPr>
      <w:r>
        <w:rPr>
          <w:rFonts w:ascii="Noto Sans" w:hAnsi="Noto Sans" w:eastAsia="Noto Sans" w:cs="Noto Sans"/>
          <w:b w:val="0"/>
          <w:i w:val="0"/>
          <w:sz w:val="18"/>
        </w:rPr>
        <w:t>Reasonable information is provided. Material custom work may be charged at agreed rates.</w:t>
      </w:r>
    </w:p>
    <w:p>
      <w:pPr>
        <w:pStyle w:val="Heading2"/>
      </w:pPr>
      <w:r>
        <w:rPr>
          <w:rFonts w:ascii="Noto Sans" w:hAnsi="Noto Sans" w:eastAsia="Noto Sans" w:cs="Noto Sans"/>
          <w:b/>
          <w:i w:val="0"/>
          <w:sz w:val="24"/>
        </w:rPr>
        <w:t>14. Return/deletion</w:t>
      </w:r>
    </w:p>
    <w:p>
      <w:pPr>
        <w:spacing w:before="0" w:after="80" w:line="252" w:lineRule="auto"/>
      </w:pPr>
      <w:r>
        <w:rPr>
          <w:rFonts w:ascii="Noto Sans" w:hAnsi="Noto Sans" w:eastAsia="Noto Sans" w:cs="Noto Sans"/>
          <w:b w:val="0"/>
          <w:i w:val="0"/>
          <w:sz w:val="18"/>
        </w:rPr>
        <w:t>Available exports may be obtained during the applicable window. After termination, data is returned/erased under implemented controls except law, claims, security evidence or legal hold. Current and target states appear in the Retention Standard.</w:t>
      </w:r>
    </w:p>
    <w:p>
      <w:pPr>
        <w:pStyle w:val="Heading2"/>
      </w:pPr>
      <w:r>
        <w:rPr>
          <w:rFonts w:ascii="Noto Sans" w:hAnsi="Noto Sans" w:eastAsia="Noto Sans" w:cs="Noto Sans"/>
          <w:b/>
          <w:i w:val="0"/>
          <w:sz w:val="24"/>
        </w:rPr>
        <w:t>15. Liability, precedence and term</w:t>
      </w:r>
    </w:p>
    <w:p>
      <w:pPr>
        <w:spacing w:before="0" w:after="80" w:line="252" w:lineRule="auto"/>
      </w:pPr>
      <w:r>
        <w:rPr>
          <w:rFonts w:ascii="Noto Sans" w:hAnsi="Noto Sans" w:eastAsia="Noto Sans" w:cs="Noto Sans"/>
          <w:b w:val="0"/>
          <w:i w:val="0"/>
          <w:sz w:val="18"/>
        </w:rPr>
        <w:t>Master Terms liability applies to the lawful extent. This DPA prevails for processing conflicts. It continues while Deejai processes Merchant data; protective clauses survive.</w:t>
      </w:r>
    </w:p>
    <w:p>
      <w:pPr>
        <w:pStyle w:val="Heading2"/>
      </w:pPr>
      <w:r>
        <w:rPr>
          <w:rFonts w:ascii="Noto Sans" w:hAnsi="Noto Sans" w:eastAsia="Noto Sans" w:cs="Noto Sans"/>
          <w:b/>
          <w:i w:val="0"/>
          <w:sz w:val="24"/>
        </w:rPr>
        <w:t>16. Contact</w:t>
      </w:r>
    </w:p>
    <w:p>
      <w:pPr>
        <w:spacing w:before="0" w:after="80" w:line="252" w:lineRule="auto"/>
      </w:pPr>
      <w:r>
        <w:rPr>
          <w:rFonts w:ascii="Noto Sans" w:hAnsi="Noto Sans" w:eastAsia="Noto Sans" w:cs="Noto Sans"/>
          <w:b w:val="0"/>
          <w:i w:val="0"/>
          <w:sz w:val="18"/>
        </w:rPr>
        <w:t>Privacy: privacy@djai.academy. Security: security@djai.academy. Address: 48/187 Soi Sukhumvit 64, Bang Chak, Phra Khanong, Bangkok, Thailand.</w:t>
      </w:r>
    </w:p>
    <w:p>
      <w:r>
        <w:br w:type="page"/>
      </w:r>
    </w:p>
    <w:p>
      <w:pPr>
        <w:pStyle w:val="Heading1"/>
      </w:pPr>
      <w:r>
        <w:rPr>
          <w:rFonts w:ascii="Noto Sans" w:hAnsi="Noto Sans" w:eastAsia="Noto Sans" w:cs="Noto Sans"/>
          <w:b/>
          <w:i w:val="0"/>
          <w:sz w:val="32"/>
        </w:rPr>
        <w:t>DPA Schedule 1 - Processing Details</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Subject matter and duration</w:t>
      </w:r>
    </w:p>
    <w:p>
      <w:pPr>
        <w:spacing w:before="0" w:after="80" w:line="252" w:lineRule="auto"/>
      </w:pPr>
      <w:r>
        <w:rPr>
          <w:rFonts w:ascii="Noto Sans" w:hAnsi="Noto Sans" w:eastAsia="Noto Sans" w:cs="Noto Sans"/>
          <w:b w:val="0"/>
          <w:i w:val="0"/>
          <w:sz w:val="18"/>
        </w:rPr>
        <w:t>Provision of DJBOT during subscription and applicable export, closure, backup and legal-retention periods.</w:t>
      </w:r>
    </w:p>
    <w:p>
      <w:pPr>
        <w:pStyle w:val="Heading2"/>
      </w:pPr>
      <w:r>
        <w:rPr>
          <w:rFonts w:ascii="Noto Sans" w:hAnsi="Noto Sans" w:eastAsia="Noto Sans" w:cs="Noto Sans"/>
          <w:b/>
          <w:i w:val="0"/>
          <w:sz w:val="24"/>
        </w:rPr>
        <w:t>Nature/purpose</w:t>
      </w:r>
    </w:p>
    <w:p>
      <w:pPr>
        <w:spacing w:before="0" w:after="80" w:line="252" w:lineRule="auto"/>
      </w:pPr>
      <w:r>
        <w:rPr>
          <w:rFonts w:ascii="Noto Sans" w:hAnsi="Noto Sans" w:eastAsia="Noto Sans" w:cs="Noto Sans"/>
          <w:b w:val="0"/>
          <w:i w:val="0"/>
          <w:sz w:val="18"/>
        </w:rPr>
        <w:t>Collection, validation, transmission, organisation, storage, retrieval, display, lead management, messaging, export, erasure, security monitoring, support, backup and channel delivery as instructed.</w:t>
      </w:r>
    </w:p>
    <w:p>
      <w:pPr>
        <w:pStyle w:val="Heading2"/>
      </w:pPr>
      <w:r>
        <w:rPr>
          <w:rFonts w:ascii="Noto Sans" w:hAnsi="Noto Sans" w:eastAsia="Noto Sans" w:cs="Noto Sans"/>
          <w:b/>
          <w:i w:val="0"/>
          <w:sz w:val="24"/>
        </w:rPr>
        <w:t>Data subjects</w:t>
      </w:r>
    </w:p>
    <w:p>
      <w:pPr>
        <w:spacing w:before="0" w:after="80" w:line="252" w:lineRule="auto"/>
      </w:pPr>
      <w:r>
        <w:rPr>
          <w:rFonts w:ascii="Noto Sans" w:hAnsi="Noto Sans" w:eastAsia="Noto Sans" w:cs="Noto Sans"/>
          <w:b w:val="0"/>
          <w:i w:val="0"/>
          <w:sz w:val="18"/>
        </w:rPr>
        <w:t>Merchant customers/prospects, website/channel visitors, Merchant staff administered for Merchant, and callers when Voice is active.</w:t>
      </w:r>
    </w:p>
    <w:p>
      <w:pPr>
        <w:pStyle w:val="Heading2"/>
      </w:pPr>
      <w:r>
        <w:rPr>
          <w:rFonts w:ascii="Noto Sans" w:hAnsi="Noto Sans" w:eastAsia="Noto Sans" w:cs="Noto Sans"/>
          <w:b/>
          <w:i w:val="0"/>
          <w:sz w:val="24"/>
        </w:rPr>
        <w:t>Data categories</w:t>
      </w:r>
    </w:p>
    <w:p>
      <w:pPr>
        <w:spacing w:before="0" w:after="80" w:line="252" w:lineRule="auto"/>
      </w:pPr>
      <w:r>
        <w:rPr>
          <w:rFonts w:ascii="Noto Sans" w:hAnsi="Noto Sans" w:eastAsia="Noto Sans" w:cs="Noto Sans"/>
          <w:b w:val="0"/>
          <w:i w:val="0"/>
          <w:sz w:val="18"/>
        </w:rPr>
        <w:t>Name/display name; email/telephone; contact preference; messages, answers and lead notes; opaque session/channel/deployment identifiers; appointment/general request data; voice audio/transcripts only if approved; knowledge sources only where an approved AI plan permits.</w:t>
      </w:r>
    </w:p>
    <w:p>
      <w:pPr>
        <w:pStyle w:val="Heading2"/>
      </w:pPr>
      <w:r>
        <w:rPr>
          <w:rFonts w:ascii="Noto Sans" w:hAnsi="Noto Sans" w:eastAsia="Noto Sans" w:cs="Noto Sans"/>
          <w:b/>
          <w:i w:val="0"/>
          <w:sz w:val="24"/>
        </w:rPr>
        <w:t>Special categories</w:t>
      </w:r>
    </w:p>
    <w:p>
      <w:pPr>
        <w:spacing w:before="0" w:after="80" w:line="252" w:lineRule="auto"/>
      </w:pPr>
      <w:r>
        <w:rPr>
          <w:rFonts w:ascii="Noto Sans" w:hAnsi="Noto Sans" w:eastAsia="Noto Sans" w:cs="Noto Sans"/>
          <w:b w:val="0"/>
          <w:i w:val="0"/>
          <w:sz w:val="18"/>
        </w:rPr>
        <w:t>Standard plans are not designed for sensitive data. Passwords, OTPs, full card data and authentication secrets are prohibited. Planned sensitive processing requires separate approval and impact assessment.</w:t>
      </w:r>
    </w:p>
    <w:p>
      <w:pPr>
        <w:pStyle w:val="Heading2"/>
      </w:pPr>
      <w:r>
        <w:rPr>
          <w:rFonts w:ascii="Noto Sans" w:hAnsi="Noto Sans" w:eastAsia="Noto Sans" w:cs="Noto Sans"/>
          <w:b/>
          <w:i w:val="0"/>
          <w:sz w:val="24"/>
        </w:rPr>
        <w:t>Current retention</w:t>
      </w:r>
    </w:p>
    <w:p>
      <w:pPr>
        <w:spacing w:after="30"/>
        <w:ind w:left="369" w:hanging="170"/>
      </w:pPr>
      <w:r>
        <w:rPr>
          <w:rFonts w:ascii="Noto Sans" w:hAnsi="Noto Sans" w:eastAsia="Noto Sans" w:cs="Noto Sans"/>
          <w:b w:val="0"/>
          <w:i w:val="0"/>
          <w:sz w:val="17"/>
        </w:rPr>
        <w:t>• Transcripts: default 365 days, configurable 30-3,650, then tombstone.</w:t>
      </w:r>
    </w:p>
    <w:p>
      <w:pPr>
        <w:spacing w:after="30"/>
        <w:ind w:left="369" w:hanging="170"/>
      </w:pPr>
      <w:r>
        <w:rPr>
          <w:rFonts w:ascii="Noto Sans" w:hAnsi="Noto Sans" w:eastAsia="Noto Sans" w:cs="Noto Sans"/>
          <w:b w:val="0"/>
          <w:i w:val="0"/>
          <w:sz w:val="17"/>
        </w:rPr>
        <w:t>• Contacts/leads: until erasure or closure; no time-based purge.</w:t>
      </w:r>
    </w:p>
    <w:p>
      <w:pPr>
        <w:spacing w:after="30"/>
        <w:ind w:left="369" w:hanging="170"/>
      </w:pPr>
      <w:r>
        <w:rPr>
          <w:rFonts w:ascii="Noto Sans" w:hAnsi="Noto Sans" w:eastAsia="Noto Sans" w:cs="Noto Sans"/>
          <w:b w:val="0"/>
          <w:i w:val="0"/>
          <w:sz w:val="17"/>
        </w:rPr>
        <w:t>• Privacy download: seven days; encrypted-row physical purge pending.</w:t>
      </w:r>
    </w:p>
    <w:p>
      <w:pPr>
        <w:spacing w:after="30"/>
        <w:ind w:left="369" w:hanging="170"/>
      </w:pPr>
      <w:r>
        <w:rPr>
          <w:rFonts w:ascii="Noto Sans" w:hAnsi="Noto Sans" w:eastAsia="Noto Sans" w:cs="Noto Sans"/>
          <w:b w:val="0"/>
          <w:i w:val="0"/>
          <w:sz w:val="17"/>
        </w:rPr>
        <w:t>• Voice recordings: disabled/zero.</w:t>
      </w:r>
    </w:p>
    <w:p>
      <w:pPr>
        <w:spacing w:after="30"/>
        <w:ind w:left="369" w:hanging="170"/>
      </w:pPr>
      <w:r>
        <w:rPr>
          <w:rFonts w:ascii="Noto Sans" w:hAnsi="Noto Sans" w:eastAsia="Noto Sans" w:cs="Noto Sans"/>
          <w:b w:val="0"/>
          <w:i w:val="0"/>
          <w:sz w:val="17"/>
        </w:rPr>
        <w:t>• Billing/tax controller data: seven years.</w:t>
      </w:r>
    </w:p>
    <w:p>
      <w:pPr>
        <w:pStyle w:val="Heading2"/>
      </w:pPr>
      <w:r>
        <w:rPr>
          <w:rFonts w:ascii="Noto Sans" w:hAnsi="Noto Sans" w:eastAsia="Noto Sans" w:cs="Noto Sans"/>
          <w:b/>
          <w:i w:val="0"/>
          <w:sz w:val="24"/>
        </w:rPr>
        <w:t>Target after verification</w:t>
      </w:r>
    </w:p>
    <w:p>
      <w:pPr>
        <w:spacing w:before="0" w:after="80" w:line="252" w:lineRule="auto"/>
      </w:pPr>
      <w:r>
        <w:rPr>
          <w:rFonts w:ascii="Noto Sans" w:hAnsi="Noto Sans" w:eastAsia="Noto Sans" w:cs="Noto Sans"/>
          <w:b w:val="0"/>
          <w:i w:val="0"/>
          <w:sz w:val="18"/>
        </w:rPr>
        <w:t>Contacts/leads 24 months inactivity; read-only/reactivation 30 days; production purge; backups within 30 days; app logs 30 days; security/audit 24 months except legal/immutable evidence.</w:t>
      </w:r>
    </w:p>
    <w:p>
      <w:pPr>
        <w:pStyle w:val="Heading2"/>
      </w:pPr>
      <w:r>
        <w:rPr>
          <w:rFonts w:ascii="Noto Sans" w:hAnsi="Noto Sans" w:eastAsia="Noto Sans" w:cs="Noto Sans"/>
          <w:b/>
          <w:i w:val="0"/>
          <w:sz w:val="24"/>
        </w:rPr>
        <w:t>Location</w:t>
      </w:r>
    </w:p>
    <w:p>
      <w:pPr>
        <w:spacing w:before="0" w:after="80" w:line="252" w:lineRule="auto"/>
      </w:pPr>
      <w:r>
        <w:rPr>
          <w:rFonts w:ascii="Noto Sans" w:hAnsi="Noto Sans" w:eastAsia="Noto Sans" w:cs="Noto Sans"/>
          <w:b w:val="0"/>
          <w:i w:val="0"/>
          <w:sz w:val="18"/>
        </w:rPr>
        <w:t xml:space="preserve">Current primary database: Neon on AWS </w:t>
      </w:r>
      <w:r>
        <w:rPr>
          <w:rFonts w:ascii="Noto Sans Mono" w:hAnsi="Noto Sans Mono" w:eastAsia="Noto Sans Mono" w:cs="Noto Sans Mono"/>
          <w:b w:val="0"/>
          <w:i w:val="0"/>
          <w:color w:val="464646"/>
          <w:sz w:val="18"/>
        </w:rPr>
        <w:t>us-east-2</w:t>
      </w:r>
      <w:r>
        <w:rPr>
          <w:rFonts w:ascii="Noto Sans" w:hAnsi="Noto Sans" w:eastAsia="Noto Sans" w:cs="Noto Sans"/>
          <w:b w:val="0"/>
          <w:i w:val="0"/>
          <w:sz w:val="18"/>
        </w:rPr>
        <w:t>, Ohio, USA. Planned GCP Asia is not active until verified.</w:t>
      </w:r>
    </w:p>
    <w:p>
      <w:r>
        <w:br w:type="page"/>
      </w:r>
    </w:p>
    <w:p>
      <w:pPr>
        <w:pStyle w:val="Heading1"/>
      </w:pPr>
      <w:r>
        <w:rPr>
          <w:rFonts w:ascii="Noto Sans" w:hAnsi="Noto Sans" w:eastAsia="Noto Sans" w:cs="Noto Sans"/>
          <w:b/>
          <w:i w:val="0"/>
          <w:sz w:val="32"/>
        </w:rPr>
        <w:t>DPA Schedule 2 - Technical and Organisational Measures</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Governance/access</w:t>
      </w:r>
    </w:p>
    <w:p>
      <w:pPr>
        <w:spacing w:before="0" w:after="80" w:line="252" w:lineRule="auto"/>
      </w:pPr>
      <w:r>
        <w:rPr>
          <w:rFonts w:ascii="Noto Sans" w:hAnsi="Noto Sans" w:eastAsia="Noto Sans" w:cs="Noto Sans"/>
          <w:b w:val="0"/>
          <w:i w:val="0"/>
          <w:sz w:val="18"/>
        </w:rPr>
        <w:t>Assigned security/privacy responsibilities, change control, access approval, incident escalation, vendor review and legal release gates. Role-based least privilege, re-authentication for privacy jobs, access removal, tenant/workspace separation and admin logging.</w:t>
      </w:r>
    </w:p>
    <w:p>
      <w:pPr>
        <w:pStyle w:val="Heading2"/>
      </w:pPr>
      <w:r>
        <w:rPr>
          <w:rFonts w:ascii="Noto Sans" w:hAnsi="Noto Sans" w:eastAsia="Noto Sans" w:cs="Noto Sans"/>
          <w:b/>
          <w:i w:val="0"/>
          <w:sz w:val="24"/>
        </w:rPr>
        <w:t>Data/application protection</w:t>
      </w:r>
    </w:p>
    <w:p>
      <w:pPr>
        <w:spacing w:before="0" w:after="80" w:line="252" w:lineRule="auto"/>
      </w:pPr>
      <w:r>
        <w:rPr>
          <w:rFonts w:ascii="Noto Sans" w:hAnsi="Noto Sans" w:eastAsia="Noto Sans" w:cs="Noto Sans"/>
          <w:b w:val="0"/>
          <w:i w:val="0"/>
          <w:sz w:val="18"/>
        </w:rPr>
        <w:t>Transport encryption; at-rest encryption where provided by approved host; credential/identifier protection; Stripe-hosted full-card data; logical separation of processor data from Deejai marketing/model datasets; input validation, origin allowlisting, rate limiting, secure configuration/secrets, dependency review and minimised logs.</w:t>
      </w:r>
    </w:p>
    <w:p>
      <w:pPr>
        <w:pStyle w:val="Heading2"/>
      </w:pPr>
      <w:r>
        <w:rPr>
          <w:rFonts w:ascii="Noto Sans" w:hAnsi="Noto Sans" w:eastAsia="Noto Sans" w:cs="Noto Sans"/>
          <w:b/>
          <w:i w:val="0"/>
          <w:sz w:val="24"/>
        </w:rPr>
        <w:t>Availability/recovery</w:t>
      </w:r>
    </w:p>
    <w:p>
      <w:pPr>
        <w:spacing w:before="0" w:after="80" w:line="252" w:lineRule="auto"/>
      </w:pPr>
      <w:r>
        <w:rPr>
          <w:rFonts w:ascii="Noto Sans" w:hAnsi="Noto Sans" w:eastAsia="Noto Sans" w:cs="Noto Sans"/>
          <w:b w:val="0"/>
          <w:i w:val="0"/>
          <w:sz w:val="18"/>
        </w:rPr>
        <w:t>Backups and restoration follow verified architecture. Planned GCP Cloud SQL has 30 retained backups and seven days transaction logs, subject to deployment verification. No customer SLA without signed enterprise terms.</w:t>
      </w:r>
    </w:p>
    <w:p>
      <w:pPr>
        <w:pStyle w:val="Heading2"/>
      </w:pPr>
      <w:r>
        <w:rPr>
          <w:rFonts w:ascii="Noto Sans" w:hAnsi="Noto Sans" w:eastAsia="Noto Sans" w:cs="Noto Sans"/>
          <w:b/>
          <w:i w:val="0"/>
          <w:sz w:val="24"/>
        </w:rPr>
        <w:t>Erasure/retention</w:t>
      </w:r>
    </w:p>
    <w:p>
      <w:pPr>
        <w:spacing w:before="0" w:after="80" w:line="252" w:lineRule="auto"/>
      </w:pPr>
      <w:r>
        <w:rPr>
          <w:rFonts w:ascii="Noto Sans" w:hAnsi="Noto Sans" w:eastAsia="Noto Sans" w:cs="Noto Sans"/>
          <w:b w:val="0"/>
          <w:i w:val="0"/>
          <w:sz w:val="18"/>
        </w:rPr>
        <w:t>Transcript tombstoning; seven-day export link; erasure of contact attributes with non-identifying shells; documented legal holds. Contact auto-retention and export-object purge are launch-gated.</w:t>
      </w:r>
    </w:p>
    <w:p>
      <w:pPr>
        <w:pStyle w:val="Heading2"/>
      </w:pPr>
      <w:r>
        <w:rPr>
          <w:rFonts w:ascii="Noto Sans" w:hAnsi="Noto Sans" w:eastAsia="Noto Sans" w:cs="Noto Sans"/>
          <w:b/>
          <w:i w:val="0"/>
          <w:sz w:val="24"/>
        </w:rPr>
        <w:t>Model controls</w:t>
      </w:r>
    </w:p>
    <w:p>
      <w:pPr>
        <w:spacing w:before="0" w:after="80" w:line="252" w:lineRule="auto"/>
      </w:pPr>
      <w:r>
        <w:rPr>
          <w:rFonts w:ascii="Noto Sans" w:hAnsi="Noto Sans" w:eastAsia="Noto Sans" w:cs="Noto Sans"/>
          <w:b w:val="0"/>
          <w:i w:val="0"/>
          <w:sz w:val="18"/>
        </w:rPr>
        <w:t>Separate consent, direct-identifier removal, free-text screening/quarantine, child/sensitive exclusion, dataset registry/provenance/access and no use of processor data without separate controller workflow.</w:t>
      </w:r>
    </w:p>
    <w:p>
      <w:pPr>
        <w:pStyle w:val="Heading2"/>
      </w:pPr>
      <w:r>
        <w:rPr>
          <w:rFonts w:ascii="Noto Sans" w:hAnsi="Noto Sans" w:eastAsia="Noto Sans" w:cs="Noto Sans"/>
          <w:b/>
          <w:i w:val="0"/>
          <w:sz w:val="24"/>
        </w:rPr>
        <w:t>Personnel/incidents/review</w:t>
      </w:r>
    </w:p>
    <w:p>
      <w:pPr>
        <w:spacing w:before="0" w:after="80" w:line="252" w:lineRule="auto"/>
      </w:pPr>
      <w:r>
        <w:rPr>
          <w:rFonts w:ascii="Noto Sans" w:hAnsi="Noto Sans" w:eastAsia="Noto Sans" w:cs="Noto Sans"/>
          <w:b w:val="0"/>
          <w:i w:val="0"/>
          <w:sz w:val="18"/>
        </w:rPr>
        <w:t>Confidentiality and training; incident containment/investigation/notification; review after material architecture, incidents, products or law changes.</w:t>
      </w:r>
    </w:p>
    <w:p>
      <w:r>
        <w:br w:type="page"/>
      </w:r>
    </w:p>
    <w:p>
      <w:pPr>
        <w:pStyle w:val="Heading1"/>
      </w:pPr>
      <w:r>
        <w:rPr>
          <w:rFonts w:ascii="Noto Sans" w:hAnsi="Noto Sans" w:eastAsia="Noto Sans" w:cs="Noto Sans"/>
          <w:b/>
          <w:i w:val="0"/>
          <w:sz w:val="32"/>
        </w:rPr>
        <w:t>DPA Schedule 3 - Subprocessors and External Platforms</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Current and planned list</w:t>
      </w:r>
    </w:p>
    <w:tbl>
      <w:tblPr>
        <w:tblStyle w:val="TableGrid"/>
        <w:tblW w:type="auto" w:w="0"/>
        <w:jc w:val="center"/>
        <w:tblLayout w:type="autofit"/>
        <w:tblLook w:firstColumn="1" w:firstRow="1" w:lastColumn="0" w:lastRow="0" w:noHBand="0" w:noVBand="1" w:val="04A0"/>
      </w:tblPr>
      <w:tblGrid>
        <w:gridCol w:w="2537"/>
        <w:gridCol w:w="2537"/>
        <w:gridCol w:w="2537"/>
        <w:gridCol w:w="2537"/>
      </w:tblGrid>
      <w:tr>
        <w:trPr>
          <w:tblHeader w:val="true"/>
        </w:trPr>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Provider</w:t>
            </w:r>
          </w:p>
        </w:tc>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Purpose</w:t>
            </w:r>
          </w:p>
        </w:tc>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Data</w:t>
            </w:r>
          </w:p>
        </w:tc>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Status/region</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Neon</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Primary managed database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Tenant operations, contacts, leads, messages, account metadata</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 xml:space="preserve">Active; AWS </w:t>
            </w:r>
            <w:r>
              <w:rPr>
                <w:rFonts w:ascii="Noto Sans Mono" w:hAnsi="Noto Sans Mono" w:eastAsia="Noto Sans Mono" w:cs="Noto Sans Mono"/>
                <w:b w:val="0"/>
                <w:i w:val="0"/>
                <w:color w:val="464646"/>
                <w:sz w:val="14"/>
              </w:rPr>
              <w:t>us-east-2</w:t>
            </w:r>
            <w:r>
              <w:rPr>
                <w:rFonts w:ascii="Noto Sans" w:hAnsi="Noto Sans" w:eastAsia="Noto Sans" w:cs="Noto Sans"/>
                <w:b w:val="0"/>
                <w:i w:val="0"/>
                <w:sz w:val="14"/>
              </w:rPr>
              <w:t>, Ohio</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Amazon Web Services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Neon infrastructure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Same data as technically necessary</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Active; USA</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Google Cloud</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Planned app hosting, logging, objects, future DB/recovery</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Requests, logs, exports, objects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Planned Asia regions; not applied/verified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Stripe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Checkout, billing, invoices, portal</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Merchant identity, email, subscription/payment tokens; full cards stay with Stripe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Active when checkout used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Transactional email provider</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Verification, recovery, invitation, notices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Merchant email/name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None approved; launch blocker</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LINE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Optional channel</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LINE identifiers and message content</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Inactive unless add-on</w:t>
            </w:r>
          </w:p>
        </w:tc>
      </w:tr>
    </w:tbl>
    <w:p>
      <w:pPr>
        <w:spacing w:after="20"/>
      </w:pPr>
    </w:p>
    <w:p>
      <w:pPr>
        <w:spacing w:before="0" w:after="80" w:line="252" w:lineRule="auto"/>
      </w:pPr>
      <w:r>
        <w:rPr>
          <w:rFonts w:ascii="Noto Sans" w:hAnsi="Noto Sans" w:eastAsia="Noto Sans" w:cs="Noto Sans"/>
          <w:b w:val="0"/>
          <w:i w:val="0"/>
          <w:sz w:val="18"/>
        </w:rPr>
        <w:t>No AI, voice/telephony, Meta, analytics, Sentry, Cloudflare or support-platform provider is approved. Relevant features remain disabled.</w:t>
      </w:r>
    </w:p>
    <w:p>
      <w:pPr>
        <w:spacing w:before="0" w:after="80" w:line="252" w:lineRule="auto"/>
      </w:pPr>
      <w:r>
        <w:rPr>
          <w:rFonts w:ascii="Noto Sans" w:hAnsi="Noto Sans" w:eastAsia="Noto Sans" w:cs="Noto Sans"/>
          <w:b w:val="0"/>
          <w:i w:val="0"/>
          <w:sz w:val="18"/>
        </w:rPr>
        <w:t>Stripe and LINE may also act as independent controllers for their own purposes. Material provider changes receive reasonable notice and objection rights under the DPA.</w:t>
      </w:r>
    </w:p>
    <w:p>
      <w:r>
        <w:br w:type="page"/>
      </w:r>
    </w:p>
    <w:p>
      <w:pPr>
        <w:pStyle w:val="Heading1"/>
      </w:pPr>
      <w:r>
        <w:rPr>
          <w:rFonts w:ascii="Noto Sans" w:hAnsi="Noto Sans" w:eastAsia="Noto Sans" w:cs="Noto Sans"/>
          <w:b/>
          <w:i w:val="0"/>
          <w:sz w:val="32"/>
        </w:rPr>
        <w:t>FlowBot Basic Controller-to-Controller Data Use Addendum</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Purpose and roles</w:t>
      </w:r>
    </w:p>
    <w:p>
      <w:pPr>
        <w:spacing w:before="0" w:after="80" w:line="252" w:lineRule="auto"/>
      </w:pPr>
      <w:r>
        <w:rPr>
          <w:rFonts w:ascii="Noto Sans" w:hAnsi="Noto Sans" w:eastAsia="Noto Sans" w:cs="Noto Sans"/>
          <w:b w:val="0"/>
          <w:i w:val="0"/>
          <w:sz w:val="18"/>
        </w:rPr>
        <w:t>This Addendum applies where an end customer separately chooses a Deejai purpose while using Basic. Merchant controls enquiry/lead/Merchant-marketing purposes. Deejai controls Deejai marketing, partner disclosure and model development. Each is independently responsible for its purpose, notice, basis, security, retention, rights and complaints.</w:t>
      </w:r>
    </w:p>
    <w:p>
      <w:pPr>
        <w:pStyle w:val="Heading2"/>
      </w:pPr>
      <w:r>
        <w:rPr>
          <w:rFonts w:ascii="Noto Sans" w:hAnsi="Noto Sans" w:eastAsia="Noto Sans" w:cs="Noto Sans"/>
          <w:b/>
          <w:i w:val="0"/>
          <w:sz w:val="24"/>
        </w:rPr>
        <w:t>2. Consent interface</w:t>
      </w:r>
    </w:p>
    <w:p>
      <w:pPr>
        <w:spacing w:before="0" w:after="80" w:line="252" w:lineRule="auto"/>
      </w:pPr>
      <w:r>
        <w:rPr>
          <w:rFonts w:ascii="Noto Sans" w:hAnsi="Noto Sans" w:eastAsia="Noto Sans" w:cs="Noto Sans"/>
          <w:b w:val="0"/>
          <w:i w:val="0"/>
          <w:sz w:val="18"/>
        </w:rPr>
        <w:t>Merchant must display Deejai controls exactly as approved. Each purpose is separate, optional, unticked and understandable. Refusal must not block the Merchant enquiry. Merchant must not select, infer, bundle, conceal or improperly reward consent.</w:t>
      </w:r>
    </w:p>
    <w:p>
      <w:pPr>
        <w:pStyle w:val="Heading2"/>
      </w:pPr>
      <w:r>
        <w:rPr>
          <w:rFonts w:ascii="Noto Sans" w:hAnsi="Noto Sans" w:eastAsia="Noto Sans" w:cs="Noto Sans"/>
          <w:b/>
          <w:i w:val="0"/>
          <w:sz w:val="24"/>
        </w:rPr>
        <w:t>3. Data separation</w:t>
      </w:r>
    </w:p>
    <w:p>
      <w:pPr>
        <w:spacing w:before="0" w:after="80" w:line="252" w:lineRule="auto"/>
      </w:pPr>
      <w:r>
        <w:rPr>
          <w:rFonts w:ascii="Noto Sans" w:hAnsi="Noto Sans" w:eastAsia="Noto Sans" w:cs="Noto Sans"/>
          <w:b w:val="0"/>
          <w:i w:val="0"/>
          <w:sz w:val="18"/>
        </w:rPr>
        <w:t>Processor data stays in the Merchant dataset. On opt-in, only necessary data may be copied to a logically separated Deejai-controller dataset with consent evidence and source deployment.</w:t>
      </w:r>
    </w:p>
    <w:p>
      <w:pPr>
        <w:pStyle w:val="Heading2"/>
      </w:pPr>
      <w:r>
        <w:rPr>
          <w:rFonts w:ascii="Noto Sans" w:hAnsi="Noto Sans" w:eastAsia="Noto Sans" w:cs="Noto Sans"/>
          <w:b/>
          <w:i w:val="0"/>
          <w:sz w:val="24"/>
        </w:rPr>
        <w:t>4. Deejai/partner marketing</w:t>
      </w:r>
    </w:p>
    <w:p>
      <w:pPr>
        <w:spacing w:before="0" w:after="80" w:line="252" w:lineRule="auto"/>
      </w:pPr>
      <w:r>
        <w:rPr>
          <w:rFonts w:ascii="Noto Sans" w:hAnsi="Noto Sans" w:eastAsia="Noto Sans" w:cs="Noto Sans"/>
          <w:b w:val="0"/>
          <w:i w:val="0"/>
          <w:sz w:val="18"/>
        </w:rPr>
        <w:t>Deejai uses selected contact details only under its Marketing Consent and maintains suppression. No partner receives data unless separately consented, named, contracted and suppression-enabled. Merchant may not conceal optionality.</w:t>
      </w:r>
    </w:p>
    <w:p>
      <w:pPr>
        <w:pStyle w:val="Heading2"/>
      </w:pPr>
      <w:r>
        <w:rPr>
          <w:rFonts w:ascii="Noto Sans" w:hAnsi="Noto Sans" w:eastAsia="Noto Sans" w:cs="Noto Sans"/>
          <w:b/>
          <w:i w:val="0"/>
          <w:sz w:val="24"/>
        </w:rPr>
        <w:t>5. Model development</w:t>
      </w:r>
    </w:p>
    <w:p>
      <w:pPr>
        <w:spacing w:before="0" w:after="80" w:line="252" w:lineRule="auto"/>
      </w:pPr>
      <w:r>
        <w:rPr>
          <w:rFonts w:ascii="Noto Sans" w:hAnsi="Noto Sans" w:eastAsia="Noto Sans" w:cs="Noto Sans"/>
          <w:b w:val="0"/>
          <w:i w:val="0"/>
          <w:sz w:val="18"/>
        </w:rPr>
        <w:t>Governed by Model Notice/Consent. Direct identifiers are removed before dataset admission. Data is treated as personal data unless identification is no longer reasonably possible.</w:t>
      </w:r>
    </w:p>
    <w:p>
      <w:pPr>
        <w:pStyle w:val="Heading2"/>
      </w:pPr>
      <w:r>
        <w:rPr>
          <w:rFonts w:ascii="Noto Sans" w:hAnsi="Noto Sans" w:eastAsia="Noto Sans" w:cs="Noto Sans"/>
          <w:b/>
          <w:i w:val="0"/>
          <w:sz w:val="24"/>
        </w:rPr>
        <w:t>6. Rights, incidents and termination</w:t>
      </w:r>
    </w:p>
    <w:p>
      <w:pPr>
        <w:spacing w:before="0" w:after="80" w:line="252" w:lineRule="auto"/>
      </w:pPr>
      <w:r>
        <w:rPr>
          <w:rFonts w:ascii="Noto Sans" w:hAnsi="Noto Sans" w:eastAsia="Noto Sans" w:cs="Noto Sans"/>
          <w:b w:val="0"/>
          <w:i w:val="0"/>
          <w:sz w:val="18"/>
        </w:rPr>
        <w:t>Merchant handles Merchant-purpose requests; Deejai handles its purposes; parties redirect/cooperate. Each protects its data and notifies the other of relevant incidents. Subscription termination stops new collection, but existing Deejai-controller data remains governed by its consent/retention.</w:t>
      </w:r>
    </w:p>
    <w:p>
      <w:r>
        <w:br w:type="page"/>
      </w:r>
    </w:p>
    <w:p>
      <w:pPr>
        <w:pStyle w:val="Heading1"/>
      </w:pPr>
      <w:r>
        <w:rPr>
          <w:rFonts w:ascii="Noto Sans" w:hAnsi="Noto Sans" w:eastAsia="Noto Sans" w:cs="Noto Sans"/>
          <w:b/>
          <w:i w:val="0"/>
          <w:sz w:val="32"/>
        </w:rPr>
        <w:t>Marketing Partner Standard Data Sharing Terms</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Application and roles</w:t>
      </w:r>
    </w:p>
    <w:p>
      <w:pPr>
        <w:spacing w:before="0" w:after="80" w:line="252" w:lineRule="auto"/>
      </w:pPr>
      <w:r>
        <w:rPr>
          <w:rFonts w:ascii="Noto Sans" w:hAnsi="Noto Sans" w:eastAsia="Noto Sans" w:cs="Noto Sans"/>
          <w:b w:val="0"/>
          <w:i w:val="0"/>
          <w:sz w:val="18"/>
        </w:rPr>
        <w:t>Applies when a partner accepts an electronic partner order incorporating these terms. No partner is active merely because this document exists. Deejai and Partner are independent controllers for the approved marketing purpose.</w:t>
      </w:r>
    </w:p>
    <w:p>
      <w:pPr>
        <w:pStyle w:val="Heading2"/>
      </w:pPr>
      <w:r>
        <w:rPr>
          <w:rFonts w:ascii="Noto Sans" w:hAnsi="Noto Sans" w:eastAsia="Noto Sans" w:cs="Noto Sans"/>
          <w:b/>
          <w:i w:val="0"/>
          <w:sz w:val="24"/>
        </w:rPr>
        <w:t>2. Preconditions</w:t>
      </w:r>
    </w:p>
    <w:p>
      <w:pPr>
        <w:spacing w:before="0" w:after="80" w:line="252" w:lineRule="auto"/>
      </w:pPr>
      <w:r>
        <w:rPr>
          <w:rFonts w:ascii="Noto Sans" w:hAnsi="Noto Sans" w:eastAsia="Noto Sans" w:cs="Noto Sans"/>
          <w:b w:val="0"/>
          <w:i w:val="0"/>
          <w:sz w:val="18"/>
        </w:rPr>
        <w:t>Deejai must hold auditable separate consent covering the partner/category, data, purpose and channel. Partner must provide legal identity, privacy notice, rights/security contacts, countries and retention.</w:t>
      </w:r>
    </w:p>
    <w:p>
      <w:pPr>
        <w:pStyle w:val="Heading2"/>
      </w:pPr>
      <w:r>
        <w:rPr>
          <w:rFonts w:ascii="Noto Sans" w:hAnsi="Noto Sans" w:eastAsia="Noto Sans" w:cs="Noto Sans"/>
          <w:b/>
          <w:i w:val="0"/>
          <w:sz w:val="24"/>
        </w:rPr>
        <w:t>3. Restrictions</w:t>
      </w:r>
    </w:p>
    <w:p>
      <w:pPr>
        <w:spacing w:before="0" w:after="80" w:line="252" w:lineRule="auto"/>
      </w:pPr>
      <w:r>
        <w:rPr>
          <w:rFonts w:ascii="Noto Sans" w:hAnsi="Noto Sans" w:eastAsia="Noto Sans" w:cs="Noto Sans"/>
          <w:b w:val="0"/>
          <w:i w:val="0"/>
          <w:sz w:val="18"/>
        </w:rPr>
        <w:t>Partner may use data only for approved category/channels/territory/period and must not sell, profile for unrelated purposes, onward-disclose, contact suppressed persons, infer sensitive traits, target children, make high-impact decisions or over-retain. Campaign subprocessors require appropriate terms.</w:t>
      </w:r>
    </w:p>
    <w:p>
      <w:pPr>
        <w:pStyle w:val="Heading2"/>
      </w:pPr>
      <w:r>
        <w:rPr>
          <w:rFonts w:ascii="Noto Sans" w:hAnsi="Noto Sans" w:eastAsia="Noto Sans" w:cs="Noto Sans"/>
          <w:b/>
          <w:i w:val="0"/>
          <w:sz w:val="24"/>
        </w:rPr>
        <w:t>4. Marketing and suppression</w:t>
      </w:r>
    </w:p>
    <w:p>
      <w:pPr>
        <w:spacing w:before="0" w:after="80" w:line="252" w:lineRule="auto"/>
      </w:pPr>
      <w:r>
        <w:rPr>
          <w:rFonts w:ascii="Noto Sans" w:hAnsi="Noto Sans" w:eastAsia="Noto Sans" w:cs="Noto Sans"/>
          <w:b w:val="0"/>
          <w:i w:val="0"/>
          <w:sz w:val="18"/>
        </w:rPr>
        <w:t>Every message identifies Partner/purpose and provides simple opt-out. Partner observes lawful hours/frequency. Deejai sends withdrawals; Partner applies them without undue delay and confirms. Partner also reports direct withdrawals.</w:t>
      </w:r>
    </w:p>
    <w:p>
      <w:pPr>
        <w:pStyle w:val="Heading2"/>
      </w:pPr>
      <w:r>
        <w:rPr>
          <w:rFonts w:ascii="Noto Sans" w:hAnsi="Noto Sans" w:eastAsia="Noto Sans" w:cs="Noto Sans"/>
          <w:b/>
          <w:i w:val="0"/>
          <w:sz w:val="24"/>
        </w:rPr>
        <w:t>5. Security/incidents/audit</w:t>
      </w:r>
    </w:p>
    <w:p>
      <w:pPr>
        <w:spacing w:before="0" w:after="80" w:line="252" w:lineRule="auto"/>
      </w:pPr>
      <w:r>
        <w:rPr>
          <w:rFonts w:ascii="Noto Sans" w:hAnsi="Noto Sans" w:eastAsia="Noto Sans" w:cs="Noto Sans"/>
          <w:b w:val="0"/>
          <w:i w:val="0"/>
          <w:sz w:val="18"/>
        </w:rPr>
        <w:t>Reasonable access, encryption, logging, incident and deletion controls; confidentiality; prompt incident notice to security@djai.academy; cooperation and evidence including campaign samples, suppression and deletion confirmation. Deejai may suspend transfers.</w:t>
      </w:r>
    </w:p>
    <w:p>
      <w:pPr>
        <w:pStyle w:val="Heading2"/>
      </w:pPr>
      <w:r>
        <w:rPr>
          <w:rFonts w:ascii="Noto Sans" w:hAnsi="Noto Sans" w:eastAsia="Noto Sans" w:cs="Noto Sans"/>
          <w:b/>
          <w:i w:val="0"/>
          <w:sz w:val="24"/>
        </w:rPr>
        <w:t>6. Termination/liability/law</w:t>
      </w:r>
    </w:p>
    <w:p>
      <w:pPr>
        <w:spacing w:before="0" w:after="80" w:line="252" w:lineRule="auto"/>
      </w:pPr>
      <w:r>
        <w:rPr>
          <w:rFonts w:ascii="Noto Sans" w:hAnsi="Noto Sans" w:eastAsia="Noto Sans" w:cs="Noto Sans"/>
          <w:b w:val="0"/>
          <w:i w:val="0"/>
          <w:sz w:val="18"/>
        </w:rPr>
        <w:t>On termination or consent expiry, stop and delete/suppress except required evidence. Each party is responsible for its unlawful processing. Thai law and Bangkok courts apply unless the order lawfully states otherwise.</w:t>
      </w:r>
    </w:p>
    <w:p>
      <w:r>
        <w:br w:type="page"/>
      </w:r>
    </w:p>
    <w:p>
      <w:pPr>
        <w:pStyle w:val="Heading1"/>
      </w:pPr>
      <w:r>
        <w:rPr>
          <w:rFonts w:ascii="Noto Sans" w:hAnsi="Noto Sans" w:eastAsia="Noto Sans" w:cs="Noto Sans"/>
          <w:b/>
          <w:i w:val="0"/>
          <w:sz w:val="32"/>
        </w:rPr>
        <w:t>Marketing Partner Schedule</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Current status</w:t>
      </w:r>
    </w:p>
    <w:p>
      <w:pPr>
        <w:spacing w:before="0" w:after="80" w:line="252" w:lineRule="auto"/>
      </w:pPr>
      <w:r>
        <w:rPr>
          <w:rFonts w:ascii="Noto Sans" w:hAnsi="Noto Sans" w:eastAsia="Noto Sans" w:cs="Noto Sans"/>
          <w:b w:val="0"/>
          <w:i w:val="0"/>
          <w:sz w:val="18"/>
        </w:rPr>
        <w:t>No marketing partner is approved or active as of 27 July 2026. Partner sharing is disabled.</w:t>
      </w:r>
    </w:p>
    <w:p>
      <w:pPr>
        <w:pStyle w:val="Heading2"/>
      </w:pPr>
      <w:r>
        <w:rPr>
          <w:rFonts w:ascii="Noto Sans" w:hAnsi="Noto Sans" w:eastAsia="Noto Sans" w:cs="Noto Sans"/>
          <w:b/>
          <w:i w:val="0"/>
          <w:sz w:val="24"/>
        </w:rPr>
        <w:t>2. Activation</w:t>
      </w:r>
    </w:p>
    <w:p>
      <w:pPr>
        <w:spacing w:before="0" w:after="80" w:line="252" w:lineRule="auto"/>
      </w:pPr>
      <w:r>
        <w:rPr>
          <w:rFonts w:ascii="Noto Sans" w:hAnsi="Noto Sans" w:eastAsia="Noto Sans" w:cs="Noto Sans"/>
          <w:b w:val="0"/>
          <w:i w:val="0"/>
          <w:sz w:val="18"/>
        </w:rPr>
        <w:t>A versioned update must state legal name, brand, product category, data fields, channels, countries, retention, privacy notice, rights contact and Partner Terms reference. Consent must be refreshed if the existing wording did not clearly cover the new recipient.</w:t>
      </w:r>
    </w:p>
    <w:p>
      <w:pPr>
        <w:pStyle w:val="Heading2"/>
      </w:pPr>
      <w:r>
        <w:rPr>
          <w:rFonts w:ascii="Noto Sans" w:hAnsi="Noto Sans" w:eastAsia="Noto Sans" w:cs="Noto Sans"/>
          <w:b/>
          <w:i w:val="0"/>
          <w:sz w:val="24"/>
        </w:rPr>
        <w:t>3. Maximum data</w:t>
      </w:r>
    </w:p>
    <w:p>
      <w:pPr>
        <w:spacing w:before="0" w:after="80" w:line="252" w:lineRule="auto"/>
      </w:pPr>
      <w:r>
        <w:rPr>
          <w:rFonts w:ascii="Noto Sans" w:hAnsi="Noto Sans" w:eastAsia="Noto Sans" w:cs="Noto Sans"/>
          <w:b w:val="0"/>
          <w:i w:val="0"/>
          <w:sz w:val="18"/>
        </w:rPr>
        <w:t>Name, email, telephone, source Merchant, consent timestamp, approved interest category and suppression status. Chat content is not shared for partner marketing.</w:t>
      </w:r>
    </w:p>
    <w:p>
      <w:pPr>
        <w:pStyle w:val="Heading2"/>
      </w:pPr>
      <w:r>
        <w:rPr>
          <w:rFonts w:ascii="Noto Sans" w:hAnsi="Noto Sans" w:eastAsia="Noto Sans" w:cs="Noto Sans"/>
          <w:b/>
          <w:i w:val="0"/>
          <w:sz w:val="24"/>
        </w:rPr>
        <w:t>4. Prohibited data</w:t>
      </w:r>
    </w:p>
    <w:p>
      <w:pPr>
        <w:spacing w:before="0" w:after="80" w:line="252" w:lineRule="auto"/>
      </w:pPr>
      <w:r>
        <w:rPr>
          <w:rFonts w:ascii="Noto Sans" w:hAnsi="Noto Sans" w:eastAsia="Noto Sans" w:cs="Noto Sans"/>
          <w:b w:val="0"/>
          <w:i w:val="0"/>
          <w:sz w:val="18"/>
        </w:rPr>
        <w:t>No sensitive/child data, credentials, payment data, ID numbers, precise location or Training Conversation Data.</w:t>
      </w:r>
    </w:p>
    <w:p>
      <w:r>
        <w:br w:type="page"/>
      </w:r>
    </w:p>
    <w:p>
      <w:pPr>
        <w:pStyle w:val="Heading1"/>
      </w:pPr>
      <w:r>
        <w:rPr>
          <w:rFonts w:ascii="Noto Sans" w:hAnsi="Noto Sans" w:eastAsia="Noto Sans" w:cs="Noto Sans"/>
          <w:b/>
          <w:i w:val="0"/>
          <w:sz w:val="32"/>
        </w:rPr>
        <w:t>Deejai Lab Privacy Notice</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Who we are</w:t>
      </w:r>
    </w:p>
    <w:p>
      <w:pPr>
        <w:spacing w:before="0" w:after="80" w:line="252" w:lineRule="auto"/>
      </w:pPr>
      <w:r>
        <w:rPr>
          <w:rFonts w:ascii="Noto Sans Thai" w:hAnsi="Noto Sans Thai" w:eastAsia="Noto Sans Thai" w:cs="Noto Sans Thai"/>
          <w:b w:val="0"/>
          <w:i w:val="0"/>
          <w:sz w:val="18"/>
        </w:rPr>
        <w:t>DEEJAI LAB CO., LTD. (บริษัท ดีใจ แล็บ จำกัด), registration number 0105569117953, of 48/187 Soi Sukhumvit 64, Bang Chak, Phra Khanong, Bangkok, Thailand, operates DJAI Academy and DJBOT. Contact privacy@djai.academy. A Privacy Lead is appointed; statutory DPO need will be reassessed if legal thresholds apply.</w:t>
      </w:r>
    </w:p>
    <w:p>
      <w:pPr>
        <w:pStyle w:val="Heading2"/>
      </w:pPr>
      <w:r>
        <w:rPr>
          <w:rFonts w:ascii="Noto Sans" w:hAnsi="Noto Sans" w:eastAsia="Noto Sans" w:cs="Noto Sans"/>
          <w:b/>
          <w:i w:val="0"/>
          <w:sz w:val="24"/>
        </w:rPr>
        <w:t>2. Scope and roles</w:t>
      </w:r>
    </w:p>
    <w:p>
      <w:pPr>
        <w:spacing w:before="0" w:after="80" w:line="252" w:lineRule="auto"/>
      </w:pPr>
      <w:r>
        <w:rPr>
          <w:rFonts w:ascii="Noto Sans" w:hAnsi="Noto Sans" w:eastAsia="Noto Sans" w:cs="Noto Sans"/>
          <w:b w:val="0"/>
          <w:i w:val="0"/>
          <w:sz w:val="18"/>
        </w:rPr>
        <w:t>This Notice covers Merchant owners/staff, billing/support contacts, visitors and end customers where Deejai is controller. For Merchant enquiry/lead data, Merchant is normally controller and Deejai processor under the DPA. Deejai is controller for account administration, billing, security, Deejai marketing, approved partner disclosure and model development.</w:t>
      </w:r>
    </w:p>
    <w:p>
      <w:pPr>
        <w:pStyle w:val="Heading2"/>
      </w:pPr>
      <w:r>
        <w:rPr>
          <w:rFonts w:ascii="Noto Sans" w:hAnsi="Noto Sans" w:eastAsia="Noto Sans" w:cs="Noto Sans"/>
          <w:b/>
          <w:i w:val="0"/>
          <w:sz w:val="24"/>
        </w:rPr>
        <w:t>3. Data collected</w:t>
      </w:r>
    </w:p>
    <w:p>
      <w:pPr>
        <w:spacing w:before="0" w:after="80" w:line="252" w:lineRule="auto"/>
      </w:pPr>
      <w:r>
        <w:rPr>
          <w:rFonts w:ascii="Noto Sans" w:hAnsi="Noto Sans" w:eastAsia="Noto Sans" w:cs="Noto Sans"/>
          <w:b w:val="0"/>
          <w:i w:val="0"/>
          <w:sz w:val="18"/>
        </w:rPr>
        <w:t>Merchant name; staff name/email; authentication/account/role records; billing identity/subscription; support communications; IP, request/security and device/browser data; consent and preferences.</w:t>
      </w:r>
    </w:p>
    <w:p>
      <w:pPr>
        <w:spacing w:before="0" w:after="80" w:line="252" w:lineRule="auto"/>
      </w:pPr>
      <w:r>
        <w:rPr>
          <w:rFonts w:ascii="Noto Sans" w:hAnsi="Noto Sans" w:eastAsia="Noto Sans" w:cs="Noto Sans"/>
          <w:b w:val="0"/>
          <w:i w:val="0"/>
          <w:sz w:val="18"/>
        </w:rPr>
        <w:t>Through Merchant bots: name, email, telephone, free-text messages, lead information, opaque session token and channel identifiers. Basic may offer separate Deejai marketing, partner and model choices. Premium contact details are not used for Deejai/partner marketing.</w:t>
      </w:r>
    </w:p>
    <w:p>
      <w:pPr>
        <w:pStyle w:val="Heading2"/>
      </w:pPr>
      <w:r>
        <w:rPr>
          <w:rFonts w:ascii="Noto Sans" w:hAnsi="Noto Sans" w:eastAsia="Noto Sans" w:cs="Noto Sans"/>
          <w:b/>
          <w:i w:val="0"/>
          <w:sz w:val="24"/>
        </w:rPr>
        <w:t>4. Sources</w:t>
      </w:r>
    </w:p>
    <w:p>
      <w:pPr>
        <w:spacing w:before="0" w:after="80" w:line="252" w:lineRule="auto"/>
      </w:pPr>
      <w:r>
        <w:rPr>
          <w:rFonts w:ascii="Noto Sans" w:hAnsi="Noto Sans" w:eastAsia="Noto Sans" w:cs="Noto Sans"/>
          <w:b w:val="0"/>
          <w:i w:val="0"/>
          <w:sz w:val="18"/>
        </w:rPr>
        <w:t>The person, Merchant, Merchant site/channel, Stripe, approved providers and security systems. A Merchant providing another person's data must have authority and give required notice.</w:t>
      </w:r>
    </w:p>
    <w:p>
      <w:pPr>
        <w:pStyle w:val="Heading2"/>
      </w:pPr>
      <w:r>
        <w:rPr>
          <w:rFonts w:ascii="Noto Sans" w:hAnsi="Noto Sans" w:eastAsia="Noto Sans" w:cs="Noto Sans"/>
          <w:b/>
          <w:i w:val="0"/>
          <w:sz w:val="24"/>
        </w:rPr>
        <w:t>5. Purposes and bases</w:t>
      </w:r>
    </w:p>
    <w:p>
      <w:pPr>
        <w:spacing w:before="0" w:after="80" w:line="252" w:lineRule="auto"/>
      </w:pPr>
      <w:r>
        <w:rPr>
          <w:rFonts w:ascii="Noto Sans" w:hAnsi="Noto Sans" w:eastAsia="Noto Sans" w:cs="Noto Sans"/>
          <w:b w:val="0"/>
          <w:i w:val="0"/>
          <w:sz w:val="18"/>
        </w:rPr>
        <w:t>Account/service/billing/support, security/fraud, law/claims and rights administration rely as applicable on contract, legal obligation and legitimate interests.</w:t>
      </w:r>
    </w:p>
    <w:p>
      <w:pPr>
        <w:spacing w:before="0" w:after="80" w:line="252" w:lineRule="auto"/>
      </w:pPr>
      <w:r>
        <w:rPr>
          <w:rFonts w:ascii="Noto Sans" w:hAnsi="Noto Sans" w:eastAsia="Noto Sans" w:cs="Noto Sans"/>
          <w:b w:val="0"/>
          <w:i w:val="0"/>
          <w:sz w:val="18"/>
        </w:rPr>
        <w:t>Deejai contact marketing, partner disclosure and model development rely on separate consent in the initial release. Consent may be withdrawn for future processing.</w:t>
      </w:r>
    </w:p>
    <w:p>
      <w:pPr>
        <w:pStyle w:val="Heading2"/>
      </w:pPr>
      <w:r>
        <w:rPr>
          <w:rFonts w:ascii="Noto Sans" w:hAnsi="Noto Sans" w:eastAsia="Noto Sans" w:cs="Noto Sans"/>
          <w:b/>
          <w:i w:val="0"/>
          <w:sz w:val="24"/>
        </w:rPr>
        <w:t>6. Model development</w:t>
      </w:r>
    </w:p>
    <w:p>
      <w:pPr>
        <w:spacing w:before="0" w:after="80" w:line="252" w:lineRule="auto"/>
      </w:pPr>
      <w:r>
        <w:rPr>
          <w:rFonts w:ascii="Noto Sans" w:hAnsi="Noto Sans" w:eastAsia="Noto Sans" w:cs="Noto Sans"/>
          <w:b w:val="0"/>
          <w:i w:val="0"/>
          <w:sz w:val="18"/>
        </w:rPr>
        <w:t>Training Conversation Data is not described as anonymous. Direct identifiers are removed and free text screened before dataset admission. Known child and sensitive-data conversations are excluded. Data remains protected as personal data unless identification is no longer reasonably possible. See the Model Development Data Notice.</w:t>
      </w:r>
    </w:p>
    <w:p>
      <w:pPr>
        <w:pStyle w:val="Heading2"/>
      </w:pPr>
      <w:r>
        <w:rPr>
          <w:rFonts w:ascii="Noto Sans" w:hAnsi="Noto Sans" w:eastAsia="Noto Sans" w:cs="Noto Sans"/>
          <w:b/>
          <w:i w:val="0"/>
          <w:sz w:val="24"/>
        </w:rPr>
        <w:t>7. Cookies/local storage</w:t>
      </w:r>
    </w:p>
    <w:p>
      <w:pPr>
        <w:spacing w:before="0" w:after="80" w:line="252" w:lineRule="auto"/>
      </w:pPr>
      <w:r>
        <w:rPr>
          <w:rFonts w:ascii="Noto Sans" w:hAnsi="Noto Sans" w:eastAsia="Noto Sans" w:cs="Noto Sans"/>
          <w:b w:val="0"/>
          <w:i w:val="0"/>
          <w:sz w:val="18"/>
        </w:rPr>
        <w:t>FlowBot sets no cookies. It uses one first-party localStorage entry per deployment containing an opaque session token. Any future optional analytics will require an update and any required choice.</w:t>
      </w:r>
    </w:p>
    <w:p>
      <w:pPr>
        <w:pStyle w:val="Heading2"/>
      </w:pPr>
      <w:r>
        <w:rPr>
          <w:rFonts w:ascii="Noto Sans" w:hAnsi="Noto Sans" w:eastAsia="Noto Sans" w:cs="Noto Sans"/>
          <w:b/>
          <w:i w:val="0"/>
          <w:sz w:val="24"/>
        </w:rPr>
        <w:t>8. Recipients</w:t>
      </w:r>
    </w:p>
    <w:p>
      <w:pPr>
        <w:spacing w:before="0" w:after="80" w:line="252" w:lineRule="auto"/>
      </w:pPr>
      <w:r>
        <w:rPr>
          <w:rFonts w:ascii="Noto Sans" w:hAnsi="Noto Sans" w:eastAsia="Noto Sans" w:cs="Noto Sans"/>
          <w:b w:val="0"/>
          <w:i w:val="0"/>
          <w:sz w:val="18"/>
        </w:rPr>
        <w:t>Neon, AWS and Stripe are current recipients. Google Cloud is planned but Asian deployment is not active until verified. No transactional-email, AI or Voice provider is approved. LINE applies only when activated.</w:t>
      </w:r>
    </w:p>
    <w:p>
      <w:pPr>
        <w:pStyle w:val="Heading2"/>
      </w:pPr>
      <w:r>
        <w:rPr>
          <w:rFonts w:ascii="Noto Sans" w:hAnsi="Noto Sans" w:eastAsia="Noto Sans" w:cs="Noto Sans"/>
          <w:b/>
          <w:i w:val="0"/>
          <w:sz w:val="24"/>
        </w:rPr>
        <w:t>9. International processing</w:t>
      </w:r>
    </w:p>
    <w:p>
      <w:pPr>
        <w:spacing w:before="0" w:after="80" w:line="252" w:lineRule="auto"/>
      </w:pPr>
      <w:r>
        <w:rPr>
          <w:rFonts w:ascii="Noto Sans" w:hAnsi="Noto Sans" w:eastAsia="Noto Sans" w:cs="Noto Sans"/>
          <w:b w:val="0"/>
          <w:i w:val="0"/>
          <w:sz w:val="18"/>
        </w:rPr>
        <w:t xml:space="preserve">The current primary database is Neon on AWS </w:t>
      </w:r>
      <w:r>
        <w:rPr>
          <w:rFonts w:ascii="Noto Sans Mono" w:hAnsi="Noto Sans Mono" w:eastAsia="Noto Sans Mono" w:cs="Noto Sans Mono"/>
          <w:b w:val="0"/>
          <w:i w:val="0"/>
          <w:color w:val="464646"/>
          <w:sz w:val="18"/>
        </w:rPr>
        <w:t>us-east-2</w:t>
      </w:r>
      <w:r>
        <w:rPr>
          <w:rFonts w:ascii="Noto Sans" w:hAnsi="Noto Sans" w:eastAsia="Noto Sans" w:cs="Noto Sans"/>
          <w:b w:val="0"/>
          <w:i w:val="0"/>
          <w:sz w:val="18"/>
        </w:rPr>
        <w:t>, Ohio, USA. Personal data therefore may be transferred outside Thailand. Provider agreements and applicable safeguards are used and transfer risk is assessed. Notice changes only after verified migration.</w:t>
      </w:r>
    </w:p>
    <w:p>
      <w:pPr>
        <w:pStyle w:val="Heading2"/>
      </w:pPr>
      <w:r>
        <w:rPr>
          <w:rFonts w:ascii="Noto Sans" w:hAnsi="Noto Sans" w:eastAsia="Noto Sans" w:cs="Noto Sans"/>
          <w:b/>
          <w:i w:val="0"/>
          <w:sz w:val="24"/>
        </w:rPr>
        <w:t>10. Retention</w:t>
      </w:r>
    </w:p>
    <w:p>
      <w:pPr>
        <w:spacing w:before="0" w:after="80" w:line="252" w:lineRule="auto"/>
      </w:pPr>
      <w:r>
        <w:rPr>
          <w:rFonts w:ascii="Noto Sans" w:hAnsi="Noto Sans" w:eastAsia="Noto Sans" w:cs="Noto Sans"/>
          <w:b w:val="0"/>
          <w:i w:val="0"/>
          <w:sz w:val="18"/>
        </w:rPr>
        <w:t>Chat content defaults to 365 days, but Merchants can configure 30-3,650 days; then content becomes a non-content tombstone. Voice recording is disabled/zero unless separately approved.</w:t>
      </w:r>
    </w:p>
    <w:p>
      <w:pPr>
        <w:spacing w:before="0" w:after="80" w:line="252" w:lineRule="auto"/>
      </w:pPr>
      <w:r>
        <w:rPr>
          <w:rFonts w:ascii="Noto Sans" w:hAnsi="Noto Sans" w:eastAsia="Noto Sans" w:cs="Noto Sans"/>
          <w:b w:val="0"/>
          <w:i w:val="0"/>
          <w:sz w:val="18"/>
        </w:rPr>
        <w:t>Privacy export downloads are available seven days. The expired encrypted result row is not yet physically purged. Contacts/leads remain until erasure or closure handling; no automatic time purge is active. Billing/tax records: seven years. Consent evidence: five years after withdrawal/last reliance unless claims/law require longer. Legal holds continue until release.</w:t>
      </w:r>
    </w:p>
    <w:p>
      <w:pPr>
        <w:spacing w:before="0" w:after="80" w:line="252" w:lineRule="auto"/>
      </w:pPr>
      <w:r>
        <w:rPr>
          <w:rFonts w:ascii="Noto Sans" w:hAnsi="Noto Sans" w:eastAsia="Noto Sans" w:cs="Noto Sans"/>
          <w:b w:val="0"/>
          <w:i w:val="0"/>
          <w:sz w:val="18"/>
        </w:rPr>
        <w:t>Target after verification: contacts/leads 24 months inactivity; 30-day read-only/reactivation after paid term; production purge; backups within 30 additional days. Those controls are not represented as active until verified.</w:t>
      </w:r>
    </w:p>
    <w:p>
      <w:pPr>
        <w:pStyle w:val="Heading2"/>
      </w:pPr>
      <w:r>
        <w:rPr>
          <w:rFonts w:ascii="Noto Sans" w:hAnsi="Noto Sans" w:eastAsia="Noto Sans" w:cs="Noto Sans"/>
          <w:b/>
          <w:i w:val="0"/>
          <w:sz w:val="24"/>
        </w:rPr>
        <w:t>11. Rights</w:t>
      </w:r>
    </w:p>
    <w:p>
      <w:pPr>
        <w:spacing w:before="0" w:after="80" w:line="252" w:lineRule="auto"/>
      </w:pPr>
      <w:r>
        <w:rPr>
          <w:rFonts w:ascii="Noto Sans" w:hAnsi="Noto Sans" w:eastAsia="Noto Sans" w:cs="Noto Sans"/>
          <w:b w:val="0"/>
          <w:i w:val="0"/>
          <w:sz w:val="18"/>
        </w:rPr>
        <w:t>Subject to law: access/copy, portability where applicable, correction, deletion, restriction, objection and consent withdrawal. Merchant customers should contact Merchant for Merchant purposes. Deejai-purpose requests: privacy@djai.academy or https://djai.academy/privacy/preferences when available.</w:t>
      </w:r>
    </w:p>
    <w:p>
      <w:pPr>
        <w:spacing w:before="0" w:after="80" w:line="252" w:lineRule="auto"/>
      </w:pPr>
      <w:r>
        <w:rPr>
          <w:rFonts w:ascii="Noto Sans" w:hAnsi="Noto Sans" w:eastAsia="Noto Sans" w:cs="Noto Sans"/>
          <w:b w:val="0"/>
          <w:i w:val="0"/>
          <w:sz w:val="18"/>
        </w:rPr>
        <w:t>Identity may be verified. Lawful limitations may apply. Erasure may remove identifying content while retaining non-identifying shells, audit evidence, legal-hold data and backup copies until expiry.</w:t>
      </w:r>
    </w:p>
    <w:p>
      <w:pPr>
        <w:pStyle w:val="Heading2"/>
      </w:pPr>
      <w:r>
        <w:rPr>
          <w:rFonts w:ascii="Noto Sans" w:hAnsi="Noto Sans" w:eastAsia="Noto Sans" w:cs="Noto Sans"/>
          <w:b/>
          <w:i w:val="0"/>
          <w:sz w:val="24"/>
        </w:rPr>
        <w:t>12. Marketing preferences</w:t>
      </w:r>
    </w:p>
    <w:p>
      <w:pPr>
        <w:spacing w:before="0" w:after="80" w:line="252" w:lineRule="auto"/>
      </w:pPr>
      <w:r>
        <w:rPr>
          <w:rFonts w:ascii="Noto Sans" w:hAnsi="Noto Sans" w:eastAsia="Noto Sans" w:cs="Noto Sans"/>
          <w:b w:val="0"/>
          <w:i w:val="0"/>
          <w:sz w:val="18"/>
        </w:rPr>
        <w:t>Every Deejai/partner marketing message provides opt-out. Withdrawal does not affect prior lawful processing. Minimal suppression evidence may be retained to avoid renewed contact.</w:t>
      </w:r>
    </w:p>
    <w:p>
      <w:pPr>
        <w:pStyle w:val="Heading2"/>
      </w:pPr>
      <w:r>
        <w:rPr>
          <w:rFonts w:ascii="Noto Sans" w:hAnsi="Noto Sans" w:eastAsia="Noto Sans" w:cs="Noto Sans"/>
          <w:b/>
          <w:i w:val="0"/>
          <w:sz w:val="24"/>
        </w:rPr>
        <w:t>13. Security and breaches</w:t>
      </w:r>
    </w:p>
    <w:p>
      <w:pPr>
        <w:spacing w:before="0" w:after="80" w:line="252" w:lineRule="auto"/>
      </w:pPr>
      <w:r>
        <w:rPr>
          <w:rFonts w:ascii="Noto Sans" w:hAnsi="Noto Sans" w:eastAsia="Noto Sans" w:cs="Noto Sans"/>
          <w:b w:val="0"/>
          <w:i w:val="0"/>
          <w:sz w:val="18"/>
        </w:rPr>
        <w:t>Reasonable controls include access restriction, tenant separation, transport encryption, provider security, logging and incident response. No system is completely secure. Breaches are assessed and notified under applicable duties.</w:t>
      </w:r>
    </w:p>
    <w:p>
      <w:pPr>
        <w:pStyle w:val="Heading2"/>
      </w:pPr>
      <w:r>
        <w:rPr>
          <w:rFonts w:ascii="Noto Sans" w:hAnsi="Noto Sans" w:eastAsia="Noto Sans" w:cs="Noto Sans"/>
          <w:b/>
          <w:i w:val="0"/>
          <w:sz w:val="24"/>
        </w:rPr>
        <w:t>14. Children and sensitive data</w:t>
      </w:r>
    </w:p>
    <w:p>
      <w:pPr>
        <w:spacing w:before="0" w:after="80" w:line="252" w:lineRule="auto"/>
      </w:pPr>
      <w:r>
        <w:rPr>
          <w:rFonts w:ascii="Noto Sans" w:hAnsi="Noto Sans" w:eastAsia="Noto Sans" w:cs="Noto Sans"/>
          <w:b w:val="0"/>
          <w:i w:val="0"/>
          <w:sz w:val="18"/>
        </w:rPr>
        <w:t>Standard Service is not designed to intentionally collect child or sensitive data. Child-related Merchants should collect guardian contact and obtain separate approval for higher-risk processing. Do not submit passwords, OTPs, full card data, identity documents or unrequested sensitive data.</w:t>
      </w:r>
    </w:p>
    <w:p>
      <w:pPr>
        <w:pStyle w:val="Heading2"/>
      </w:pPr>
      <w:r>
        <w:rPr>
          <w:rFonts w:ascii="Noto Sans" w:hAnsi="Noto Sans" w:eastAsia="Noto Sans" w:cs="Noto Sans"/>
          <w:b/>
          <w:i w:val="0"/>
          <w:sz w:val="24"/>
        </w:rPr>
        <w:t>15. Changes and contact</w:t>
      </w:r>
    </w:p>
    <w:p>
      <w:pPr>
        <w:spacing w:before="0" w:after="80" w:line="252" w:lineRule="auto"/>
      </w:pPr>
      <w:r>
        <w:rPr>
          <w:rFonts w:ascii="Noto Sans" w:hAnsi="Noto Sans" w:eastAsia="Noto Sans" w:cs="Noto Sans"/>
          <w:b w:val="0"/>
          <w:i w:val="0"/>
          <w:sz w:val="18"/>
        </w:rPr>
        <w:t>Material changes are versioned/notified and new consent or acceptance requested where required.</w:t>
      </w:r>
    </w:p>
    <w:p>
      <w:pPr>
        <w:spacing w:before="0" w:after="80" w:line="252" w:lineRule="auto"/>
      </w:pPr>
      <w:r>
        <w:rPr>
          <w:rFonts w:ascii="Noto Sans" w:hAnsi="Noto Sans" w:eastAsia="Noto Sans" w:cs="Noto Sans"/>
          <w:b w:val="0"/>
          <w:i w:val="0"/>
          <w:sz w:val="18"/>
        </w:rPr>
        <w:t>Privacy: privacy@djai.academy</w:t>
      </w:r>
    </w:p>
    <w:p>
      <w:pPr>
        <w:spacing w:before="0" w:after="80" w:line="252" w:lineRule="auto"/>
      </w:pPr>
      <w:r>
        <w:rPr>
          <w:rFonts w:ascii="Noto Sans" w:hAnsi="Noto Sans" w:eastAsia="Noto Sans" w:cs="Noto Sans"/>
          <w:b w:val="0"/>
          <w:i w:val="0"/>
          <w:sz w:val="18"/>
        </w:rPr>
        <w:t>Security: security@djai.academy</w:t>
      </w:r>
    </w:p>
    <w:p>
      <w:pPr>
        <w:spacing w:before="0" w:after="80" w:line="252" w:lineRule="auto"/>
      </w:pPr>
      <w:r>
        <w:rPr>
          <w:rFonts w:ascii="Noto Sans" w:hAnsi="Noto Sans" w:eastAsia="Noto Sans" w:cs="Noto Sans"/>
          <w:b w:val="0"/>
          <w:i w:val="0"/>
          <w:sz w:val="18"/>
        </w:rPr>
        <w:t>Legal: legal@djai.academy</w:t>
      </w:r>
    </w:p>
    <w:p>
      <w:pPr>
        <w:spacing w:before="0" w:after="80" w:line="252" w:lineRule="auto"/>
      </w:pPr>
      <w:r>
        <w:rPr>
          <w:rFonts w:ascii="Noto Sans" w:hAnsi="Noto Sans" w:eastAsia="Noto Sans" w:cs="Noto Sans"/>
          <w:b w:val="0"/>
          <w:i w:val="0"/>
          <w:sz w:val="18"/>
        </w:rPr>
        <w:t>Address: 48/187 Soi Sukhumvit 64, Bang Chak, Phra Khanong, Bangkok, Thailand</w:t>
      </w:r>
    </w:p>
    <w:p>
      <w:pPr>
        <w:spacing w:before="0" w:after="80" w:line="252" w:lineRule="auto"/>
      </w:pPr>
      <w:r>
        <w:rPr>
          <w:rFonts w:ascii="Noto Sans" w:hAnsi="Noto Sans" w:eastAsia="Noto Sans" w:cs="Noto Sans"/>
          <w:b w:val="0"/>
          <w:i w:val="0"/>
          <w:sz w:val="18"/>
        </w:rPr>
        <w:t>A complaint may be submitted to Thailand's PDPC where applicable.</w:t>
      </w:r>
    </w:p>
    <w:p>
      <w:r>
        <w:br w:type="page"/>
      </w:r>
    </w:p>
    <w:p>
      <w:pPr>
        <w:pStyle w:val="Heading1"/>
      </w:pPr>
      <w:r>
        <w:rPr>
          <w:rFonts w:ascii="Noto Sans" w:hAnsi="Noto Sans" w:eastAsia="Noto Sans" w:cs="Noto Sans"/>
          <w:b/>
          <w:i w:val="0"/>
          <w:sz w:val="32"/>
        </w:rPr>
        <w:t>Layered End-Customer Privacy Notice</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Layer 1 - English</w:t>
      </w:r>
    </w:p>
    <w:p>
      <w:pPr>
        <w:spacing w:before="0" w:after="80" w:line="252" w:lineRule="auto"/>
      </w:pPr>
      <w:r>
        <w:rPr>
          <w:rFonts w:ascii="Noto Sans" w:hAnsi="Noto Sans" w:eastAsia="Noto Sans" w:cs="Noto Sans"/>
          <w:b w:val="0"/>
          <w:i w:val="0"/>
          <w:sz w:val="18"/>
        </w:rPr>
        <w:t>This chat is operated by the Merchant shown above. DEEJAI LAB CO., LTD. provides DJBOT. Information you provide is used to handle your enquiry. Optional choices for Deejai marketing, marketing partners and model development are separate and not required to chat. Do not submit passwords, OTPs, full card details, identity documents, sensitive information or emergency information. Read the Merchant notice and https://djai.academy/legal/privacy.</w:t>
      </w:r>
    </w:p>
    <w:p>
      <w:pPr>
        <w:pStyle w:val="Heading2"/>
      </w:pPr>
      <w:r>
        <w:rPr>
          <w:rFonts w:ascii="Noto Sans" w:hAnsi="Noto Sans" w:eastAsia="Noto Sans" w:cs="Noto Sans"/>
          <w:b/>
          <w:i w:val="0"/>
          <w:sz w:val="24"/>
        </w:rPr>
        <w:t>Layer 1 - Thai</w:t>
      </w:r>
    </w:p>
    <w:p>
      <w:pPr>
        <w:spacing w:before="0" w:after="80" w:line="252" w:lineRule="auto"/>
      </w:pPr>
      <w:r>
        <w:rPr>
          <w:rFonts w:ascii="Noto Sans Thai" w:hAnsi="Noto Sans Thai" w:eastAsia="Noto Sans Thai" w:cs="Noto Sans Thai"/>
          <w:b w:val="0"/>
          <w:i w:val="0"/>
          <w:sz w:val="18"/>
        </w:rPr>
        <w:t>แชตนี้ดำเนินการโดยร้านค้าหรือผู้ให้บริการที่แสดงชื่อด้านบน และ บริษัท ดีใจ แล็บ จำกัด เป็นผู้ให้บริการแพลตฟอร์ม DJBOT ข้อมูลที่ท่านให้จะใช้เพื่อดำเนินการตามคำถามหรือคำขอของท่าน การยินยอมเพื่อรับการตลาดจากดีใจ แล็บ การเปิดเผยให้พันธมิตรทางการตลาด และการพัฒนาโมเดล เป็นทางเลือกแยกต่างหากและไม่จำเป็นต่อการใช้งานแชต กรุณาอย่าส่งรหัสผ่าน OTP ข้อมูลบัตรชำระเงินเต็มรูปแบบ เอกสารประจำตัว ข้อมูลอ่อนไหว หรือข้อมูลเหตุฉุกเฉิน</w:t>
      </w:r>
    </w:p>
    <w:p>
      <w:pPr>
        <w:pStyle w:val="Heading2"/>
      </w:pPr>
      <w:r>
        <w:rPr>
          <w:rFonts w:ascii="Noto Sans" w:hAnsi="Noto Sans" w:eastAsia="Noto Sans" w:cs="Noto Sans"/>
          <w:b/>
          <w:i w:val="0"/>
          <w:sz w:val="24"/>
        </w:rPr>
        <w:t>Layer 2</w:t>
      </w:r>
    </w:p>
    <w:p>
      <w:pPr>
        <w:pStyle w:val="Heading3"/>
      </w:pPr>
      <w:r>
        <w:rPr>
          <w:rFonts w:ascii="Noto Sans" w:hAnsi="Noto Sans" w:eastAsia="Noto Sans" w:cs="Noto Sans"/>
          <w:b/>
          <w:i w:val="0"/>
          <w:sz w:val="21"/>
        </w:rPr>
        <w:t>Merchant use</w:t>
      </w:r>
    </w:p>
    <w:p>
      <w:pPr>
        <w:spacing w:before="0" w:after="80" w:line="252" w:lineRule="auto"/>
      </w:pPr>
      <w:r>
        <w:rPr>
          <w:rFonts w:ascii="Noto Sans" w:hAnsi="Noto Sans" w:eastAsia="Noto Sans" w:cs="Noto Sans"/>
          <w:b w:val="0"/>
          <w:i w:val="0"/>
          <w:sz w:val="18"/>
        </w:rPr>
        <w:t>Merchant collects information to answer, quote, appoint, follow up or conduct separately authorised Merchant marketing. Merchant is responsible for its notice, basis and rights response.</w:t>
      </w:r>
    </w:p>
    <w:p>
      <w:pPr>
        <w:pStyle w:val="Heading3"/>
      </w:pPr>
      <w:r>
        <w:rPr>
          <w:rFonts w:ascii="Noto Sans" w:hAnsi="Noto Sans" w:eastAsia="Noto Sans" w:cs="Noto Sans"/>
          <w:b/>
          <w:i w:val="0"/>
          <w:sz w:val="21"/>
        </w:rPr>
        <w:t>Deejai service</w:t>
      </w:r>
    </w:p>
    <w:p>
      <w:pPr>
        <w:spacing w:before="0" w:after="80" w:line="252" w:lineRule="auto"/>
      </w:pPr>
      <w:r>
        <w:rPr>
          <w:rFonts w:ascii="Noto Sans" w:hAnsi="Noto Sans" w:eastAsia="Noto Sans" w:cs="Noto Sans"/>
          <w:b w:val="0"/>
          <w:i w:val="0"/>
          <w:sz w:val="18"/>
        </w:rPr>
        <w:t>Deejai processes conversation/contact data to operate and secure DJBOT for Merchant under the DPA. Current primary database is in the USA.</w:t>
      </w:r>
    </w:p>
    <w:p>
      <w:pPr>
        <w:pStyle w:val="Heading3"/>
      </w:pPr>
      <w:r>
        <w:rPr>
          <w:rFonts w:ascii="Noto Sans" w:hAnsi="Noto Sans" w:eastAsia="Noto Sans" w:cs="Noto Sans"/>
          <w:b/>
          <w:i w:val="0"/>
          <w:sz w:val="21"/>
        </w:rPr>
        <w:t>Optional Deejai marketing</w:t>
      </w:r>
    </w:p>
    <w:p>
      <w:pPr>
        <w:spacing w:before="0" w:after="80" w:line="252" w:lineRule="auto"/>
      </w:pPr>
      <w:r>
        <w:rPr>
          <w:rFonts w:ascii="Noto Sans" w:hAnsi="Noto Sans" w:eastAsia="Noto Sans" w:cs="Noto Sans"/>
          <w:b w:val="0"/>
          <w:i w:val="0"/>
          <w:sz w:val="18"/>
        </w:rPr>
        <w:t>If selected, Deejai may use contact details for DJBOT, DJAI Academy and related digital-service marketing. Refusal does not affect enquiry.</w:t>
      </w:r>
    </w:p>
    <w:p>
      <w:pPr>
        <w:pStyle w:val="Heading3"/>
      </w:pPr>
      <w:r>
        <w:rPr>
          <w:rFonts w:ascii="Noto Sans" w:hAnsi="Noto Sans" w:eastAsia="Noto Sans" w:cs="Noto Sans"/>
          <w:b/>
          <w:i w:val="0"/>
          <w:sz w:val="21"/>
        </w:rPr>
        <w:t>Optional partner marketing</w:t>
      </w:r>
    </w:p>
    <w:p>
      <w:pPr>
        <w:spacing w:before="0" w:after="80" w:line="252" w:lineRule="auto"/>
      </w:pPr>
      <w:r>
        <w:rPr>
          <w:rFonts w:ascii="Noto Sans" w:hAnsi="Noto Sans" w:eastAsia="Noto Sans" w:cs="Noto Sans"/>
          <w:b w:val="0"/>
          <w:i w:val="0"/>
          <w:sz w:val="18"/>
        </w:rPr>
        <w:t>Disabled unless separately selected and a Partner Schedule identifies recipient. Chat content is not shared for partner marketing.</w:t>
      </w:r>
    </w:p>
    <w:p>
      <w:pPr>
        <w:pStyle w:val="Heading3"/>
      </w:pPr>
      <w:r>
        <w:rPr>
          <w:rFonts w:ascii="Noto Sans" w:hAnsi="Noto Sans" w:eastAsia="Noto Sans" w:cs="Noto Sans"/>
          <w:b/>
          <w:i w:val="0"/>
          <w:sz w:val="21"/>
        </w:rPr>
        <w:t>Optional model development</w:t>
      </w:r>
    </w:p>
    <w:p>
      <w:pPr>
        <w:spacing w:before="0" w:after="80" w:line="252" w:lineRule="auto"/>
      </w:pPr>
      <w:r>
        <w:rPr>
          <w:rFonts w:ascii="Noto Sans" w:hAnsi="Noto Sans" w:eastAsia="Noto Sans" w:cs="Noto Sans"/>
          <w:b w:val="0"/>
          <w:i w:val="0"/>
          <w:sz w:val="18"/>
        </w:rPr>
        <w:t>If selected, Deejai may create a controlled conversation copy to develop/test/improve language models. Direct identifiers are removed before dataset admission, but data is not represented as anonymous.</w:t>
      </w:r>
    </w:p>
    <w:p>
      <w:pPr>
        <w:pStyle w:val="Heading3"/>
      </w:pPr>
      <w:r>
        <w:rPr>
          <w:rFonts w:ascii="Noto Sans" w:hAnsi="Noto Sans" w:eastAsia="Noto Sans" w:cs="Noto Sans"/>
          <w:b/>
          <w:i w:val="0"/>
          <w:sz w:val="21"/>
        </w:rPr>
        <w:t>Retention/rights</w:t>
      </w:r>
    </w:p>
    <w:p>
      <w:pPr>
        <w:spacing w:before="0" w:after="80" w:line="252" w:lineRule="auto"/>
      </w:pPr>
      <w:r>
        <w:rPr>
          <w:rFonts w:ascii="Noto Sans" w:hAnsi="Noto Sans" w:eastAsia="Noto Sans" w:cs="Noto Sans"/>
          <w:b w:val="0"/>
          <w:i w:val="0"/>
          <w:sz w:val="18"/>
        </w:rPr>
        <w:t>Transcript period is Merchant-configured 30-3,650 days, default 365. Contacts/leads currently remain until erasure/closure. Contact Merchant for its purpose and privacy@djai.academy for Deejai purposes.</w:t>
      </w:r>
    </w:p>
    <w:p>
      <w:r>
        <w:br w:type="page"/>
      </w:r>
    </w:p>
    <w:p>
      <w:pPr>
        <w:pStyle w:val="Heading1"/>
      </w:pPr>
      <w:r>
        <w:rPr>
          <w:rFonts w:ascii="Noto Sans" w:hAnsi="Noto Sans" w:eastAsia="Noto Sans" w:cs="Noto Sans"/>
          <w:b/>
          <w:i w:val="0"/>
          <w:sz w:val="32"/>
        </w:rPr>
        <w:t>FlowBot Basic Data Use Notice</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Basic is data-supported</w:t>
      </w:r>
    </w:p>
    <w:p>
      <w:pPr>
        <w:spacing w:before="0" w:after="80" w:line="252" w:lineRule="auto"/>
      </w:pPr>
      <w:r>
        <w:rPr>
          <w:rFonts w:ascii="Noto Sans" w:hAnsi="Noto Sans" w:eastAsia="Noto Sans" w:cs="Noto Sans"/>
          <w:b w:val="0"/>
          <w:i w:val="0"/>
          <w:sz w:val="18"/>
        </w:rPr>
        <w:t>Merchant uses the chat for an enquiry. Deejai operates the platform and may offer separate choices for Deejai marketing, approved partner marketing and model development.</w:t>
      </w:r>
    </w:p>
    <w:p>
      <w:pPr>
        <w:pStyle w:val="Heading2"/>
      </w:pPr>
      <w:r>
        <w:rPr>
          <w:rFonts w:ascii="Noto Sans" w:hAnsi="Noto Sans" w:eastAsia="Noto Sans" w:cs="Noto Sans"/>
          <w:b/>
          <w:i w:val="0"/>
          <w:sz w:val="24"/>
        </w:rPr>
        <w:t>2. Core use</w:t>
      </w:r>
    </w:p>
    <w:p>
      <w:pPr>
        <w:spacing w:before="0" w:after="80" w:line="252" w:lineRule="auto"/>
      </w:pPr>
      <w:r>
        <w:rPr>
          <w:rFonts w:ascii="Noto Sans" w:hAnsi="Noto Sans" w:eastAsia="Noto Sans" w:cs="Noto Sans"/>
          <w:b w:val="0"/>
          <w:i w:val="0"/>
          <w:sz w:val="18"/>
        </w:rPr>
        <w:t>The customer may chat without optional Deejai consent. Merchant receives submitted contact/message data. Deejai processes it to deliver and secure the Merchant service.</w:t>
      </w:r>
    </w:p>
    <w:p>
      <w:pPr>
        <w:pStyle w:val="Heading2"/>
      </w:pPr>
      <w:r>
        <w:rPr>
          <w:rFonts w:ascii="Noto Sans" w:hAnsi="Noto Sans" w:eastAsia="Noto Sans" w:cs="Noto Sans"/>
          <w:b/>
          <w:i w:val="0"/>
          <w:sz w:val="24"/>
        </w:rPr>
        <w:t>3. Deejai marketing</w:t>
      </w:r>
    </w:p>
    <w:p>
      <w:pPr>
        <w:spacing w:before="0" w:after="80" w:line="252" w:lineRule="auto"/>
      </w:pPr>
      <w:r>
        <w:rPr>
          <w:rFonts w:ascii="Noto Sans" w:hAnsi="Noto Sans" w:eastAsia="Noto Sans" w:cs="Noto Sans"/>
          <w:b w:val="0"/>
          <w:i w:val="0"/>
          <w:sz w:val="18"/>
        </w:rPr>
        <w:t>Only if separately selected, Deejai may use name/email/telephone for DJBOT, DJAI Academy and related digital-service marketing through selected channels. Withdrawal is available.</w:t>
      </w:r>
    </w:p>
    <w:p>
      <w:pPr>
        <w:pStyle w:val="Heading2"/>
      </w:pPr>
      <w:r>
        <w:rPr>
          <w:rFonts w:ascii="Noto Sans" w:hAnsi="Noto Sans" w:eastAsia="Noto Sans" w:cs="Noto Sans"/>
          <w:b/>
          <w:i w:val="0"/>
          <w:sz w:val="24"/>
        </w:rPr>
        <w:t>4. Partner marketing</w:t>
      </w:r>
    </w:p>
    <w:p>
      <w:pPr>
        <w:spacing w:before="0" w:after="80" w:line="252" w:lineRule="auto"/>
      </w:pPr>
      <w:r>
        <w:rPr>
          <w:rFonts w:ascii="Noto Sans" w:hAnsi="Noto Sans" w:eastAsia="Noto Sans" w:cs="Noto Sans"/>
          <w:b w:val="0"/>
          <w:i w:val="0"/>
          <w:sz w:val="18"/>
        </w:rPr>
        <w:t>Only if separately selected and a Partner Schedule names recipients. No partner is active, so this remains disabled.</w:t>
      </w:r>
    </w:p>
    <w:p>
      <w:pPr>
        <w:pStyle w:val="Heading2"/>
      </w:pPr>
      <w:r>
        <w:rPr>
          <w:rFonts w:ascii="Noto Sans" w:hAnsi="Noto Sans" w:eastAsia="Noto Sans" w:cs="Noto Sans"/>
          <w:b/>
          <w:i w:val="0"/>
          <w:sz w:val="24"/>
        </w:rPr>
        <w:t>5. Model development</w:t>
      </w:r>
    </w:p>
    <w:p>
      <w:pPr>
        <w:spacing w:before="0" w:after="80" w:line="252" w:lineRule="auto"/>
      </w:pPr>
      <w:r>
        <w:rPr>
          <w:rFonts w:ascii="Noto Sans" w:hAnsi="Noto Sans" w:eastAsia="Noto Sans" w:cs="Noto Sans"/>
          <w:b w:val="0"/>
          <w:i w:val="0"/>
          <w:sz w:val="18"/>
        </w:rPr>
        <w:t>Only if separately selected, a controlled conversation copy may be used. Direct identifiers are removed, free text screened, and known child/sensitive conversations excluded. Data is not called anonymous.</w:t>
      </w:r>
    </w:p>
    <w:p>
      <w:pPr>
        <w:pStyle w:val="Heading2"/>
      </w:pPr>
      <w:r>
        <w:rPr>
          <w:rFonts w:ascii="Noto Sans" w:hAnsi="Noto Sans" w:eastAsia="Noto Sans" w:cs="Noto Sans"/>
          <w:b/>
          <w:i w:val="0"/>
          <w:sz w:val="24"/>
        </w:rPr>
        <w:t>6. Retention and rights</w:t>
      </w:r>
    </w:p>
    <w:p>
      <w:pPr>
        <w:spacing w:before="0" w:after="80" w:line="252" w:lineRule="auto"/>
      </w:pPr>
      <w:r>
        <w:rPr>
          <w:rFonts w:ascii="Noto Sans" w:hAnsi="Noto Sans" w:eastAsia="Noto Sans" w:cs="Noto Sans"/>
          <w:b w:val="0"/>
          <w:i w:val="0"/>
          <w:sz w:val="18"/>
        </w:rPr>
        <w:t>Transcript period is 30-3,650 days, default 365. Deejai marketing contact is retained until withdrawal or 24 months after last engagement, whichever first; suppression evidence five years. Model data follows the Model Notice. Merchant handles enquiry rights; Deejai handles its choices at https://djai.academy/privacy/preferences or privacy@djai.academy.</w:t>
      </w:r>
    </w:p>
    <w:p>
      <w:r>
        <w:br w:type="page"/>
      </w:r>
    </w:p>
    <w:p>
      <w:pPr>
        <w:pStyle w:val="Heading1"/>
      </w:pPr>
      <w:r>
        <w:rPr>
          <w:rFonts w:ascii="Noto Sans" w:hAnsi="Noto Sans" w:eastAsia="Noto Sans" w:cs="Noto Sans"/>
          <w:b/>
          <w:i w:val="0"/>
          <w:sz w:val="32"/>
        </w:rPr>
        <w:t>Premium Data Use Notice</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Merchant service</w:t>
      </w:r>
    </w:p>
    <w:p>
      <w:pPr>
        <w:spacing w:before="0" w:after="80" w:line="252" w:lineRule="auto"/>
      </w:pPr>
      <w:r>
        <w:rPr>
          <w:rFonts w:ascii="Noto Sans" w:hAnsi="Noto Sans" w:eastAsia="Noto Sans" w:cs="Noto Sans"/>
          <w:b w:val="0"/>
          <w:i w:val="0"/>
          <w:sz w:val="18"/>
        </w:rPr>
        <w:t>Merchant collects contact details for enquiry and any separately authorised Merchant marketing. Deejai processes them under the DPA.</w:t>
      </w:r>
    </w:p>
    <w:p>
      <w:pPr>
        <w:pStyle w:val="Heading2"/>
      </w:pPr>
      <w:r>
        <w:rPr>
          <w:rFonts w:ascii="Noto Sans" w:hAnsi="Noto Sans" w:eastAsia="Noto Sans" w:cs="Noto Sans"/>
          <w:b/>
          <w:i w:val="0"/>
          <w:sz w:val="24"/>
        </w:rPr>
        <w:t>2. No Deejai contact marketing</w:t>
      </w:r>
    </w:p>
    <w:p>
      <w:pPr>
        <w:spacing w:before="0" w:after="80" w:line="252" w:lineRule="auto"/>
      </w:pPr>
      <w:r>
        <w:rPr>
          <w:rFonts w:ascii="Noto Sans" w:hAnsi="Noto Sans" w:eastAsia="Noto Sans" w:cs="Noto Sans"/>
          <w:b w:val="0"/>
          <w:i w:val="0"/>
          <w:sz w:val="18"/>
        </w:rPr>
        <w:t>Under Premium, Deejai does not use end-customer names, emails or telephone numbers for Deejai marketing and does not disclose them for partner marketing.</w:t>
      </w:r>
    </w:p>
    <w:p>
      <w:pPr>
        <w:pStyle w:val="Heading2"/>
      </w:pPr>
      <w:r>
        <w:rPr>
          <w:rFonts w:ascii="Noto Sans" w:hAnsi="Noto Sans" w:eastAsia="Noto Sans" w:cs="Noto Sans"/>
          <w:b/>
          <w:i w:val="0"/>
          <w:sz w:val="24"/>
        </w:rPr>
        <w:t>3. Optional model development</w:t>
      </w:r>
    </w:p>
    <w:p>
      <w:pPr>
        <w:spacing w:before="0" w:after="80" w:line="252" w:lineRule="auto"/>
      </w:pPr>
      <w:r>
        <w:rPr>
          <w:rFonts w:ascii="Noto Sans" w:hAnsi="Noto Sans" w:eastAsia="Noto Sans" w:cs="Noto Sans"/>
          <w:b w:val="0"/>
          <w:i w:val="0"/>
          <w:sz w:val="18"/>
        </w:rPr>
        <w:t>Merchant may disable collection. Where enabled, end customer receives a separate optional choice. Direct identifiers are removed before dataset admission. Data is not represented as anonymous.</w:t>
      </w:r>
    </w:p>
    <w:p>
      <w:pPr>
        <w:pStyle w:val="Heading2"/>
      </w:pPr>
      <w:r>
        <w:rPr>
          <w:rFonts w:ascii="Noto Sans" w:hAnsi="Noto Sans" w:eastAsia="Noto Sans" w:cs="Noto Sans"/>
          <w:b/>
          <w:i w:val="0"/>
          <w:sz w:val="24"/>
        </w:rPr>
        <w:t>4. Retention/rights</w:t>
      </w:r>
    </w:p>
    <w:p>
      <w:pPr>
        <w:spacing w:before="0" w:after="80" w:line="252" w:lineRule="auto"/>
      </w:pPr>
      <w:r>
        <w:rPr>
          <w:rFonts w:ascii="Noto Sans" w:hAnsi="Noto Sans" w:eastAsia="Noto Sans" w:cs="Noto Sans"/>
          <w:b w:val="0"/>
          <w:i w:val="0"/>
          <w:sz w:val="18"/>
        </w:rPr>
        <w:t>Transcript period follows Merchant setting 30-3,650 days. Contact Merchant for enquiry data and privacy@djai.academy for model-development rights.</w:t>
      </w:r>
    </w:p>
    <w:p>
      <w:r>
        <w:br w:type="page"/>
      </w:r>
    </w:p>
    <w:p>
      <w:pPr>
        <w:pStyle w:val="Heading1"/>
      </w:pPr>
      <w:r>
        <w:rPr>
          <w:rFonts w:ascii="Noto Sans" w:hAnsi="Noto Sans" w:eastAsia="Noto Sans" w:cs="Noto Sans"/>
          <w:b/>
          <w:i w:val="0"/>
          <w:sz w:val="32"/>
        </w:rPr>
        <w:t>Model Development Data Notice</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Purpose</w:t>
      </w:r>
    </w:p>
    <w:p>
      <w:pPr>
        <w:spacing w:before="0" w:after="80" w:line="252" w:lineRule="auto"/>
      </w:pPr>
      <w:r>
        <w:rPr>
          <w:rFonts w:ascii="Noto Sans" w:hAnsi="Noto Sans" w:eastAsia="Noto Sans" w:cs="Noto Sans"/>
          <w:b w:val="0"/>
          <w:i w:val="0"/>
          <w:sz w:val="18"/>
        </w:rPr>
        <w:t>With separate consent, Deejai may use Training Conversation Data to develop, test, evaluate and improve language models, retrieval, safety filters, intent classification and conversation quality.</w:t>
      </w:r>
    </w:p>
    <w:p>
      <w:pPr>
        <w:pStyle w:val="Heading2"/>
      </w:pPr>
      <w:r>
        <w:rPr>
          <w:rFonts w:ascii="Noto Sans" w:hAnsi="Noto Sans" w:eastAsia="Noto Sans" w:cs="Noto Sans"/>
          <w:b/>
          <w:i w:val="0"/>
          <w:sz w:val="24"/>
        </w:rPr>
        <w:t>2. Data</w:t>
      </w:r>
    </w:p>
    <w:p>
      <w:pPr>
        <w:spacing w:before="0" w:after="80" w:line="252" w:lineRule="auto"/>
      </w:pPr>
      <w:r>
        <w:rPr>
          <w:rFonts w:ascii="Noto Sans" w:hAnsi="Noto Sans" w:eastAsia="Noto Sans" w:cs="Noto Sans"/>
          <w:b w:val="0"/>
          <w:i w:val="0"/>
          <w:sz w:val="18"/>
        </w:rPr>
        <w:t>Conversation text, bot response, flow step, broad language, error category and quality label may be used. Direct identifiers such as name, email and telephone are removed before dataset admission. Identity-bearing free text may be quarantined/excluded.</w:t>
      </w:r>
    </w:p>
    <w:p>
      <w:pPr>
        <w:pStyle w:val="Heading2"/>
      </w:pPr>
      <w:r>
        <w:rPr>
          <w:rFonts w:ascii="Noto Sans" w:hAnsi="Noto Sans" w:eastAsia="Noto Sans" w:cs="Noto Sans"/>
          <w:b/>
          <w:i w:val="0"/>
          <w:sz w:val="24"/>
        </w:rPr>
        <w:t>3. Not anonymous</w:t>
      </w:r>
    </w:p>
    <w:p>
      <w:pPr>
        <w:spacing w:before="0" w:after="80" w:line="252" w:lineRule="auto"/>
      </w:pPr>
      <w:r>
        <w:rPr>
          <w:rFonts w:ascii="Noto Sans" w:hAnsi="Noto Sans" w:eastAsia="Noto Sans" w:cs="Noto Sans"/>
          <w:b w:val="0"/>
          <w:i w:val="0"/>
          <w:sz w:val="18"/>
        </w:rPr>
        <w:t>Removing direct identifiers may not prevent contextual re-identification. Deejai treats the data as personal data unless identification is no longer reasonably possible.</w:t>
      </w:r>
    </w:p>
    <w:p>
      <w:pPr>
        <w:pStyle w:val="Heading2"/>
      </w:pPr>
      <w:r>
        <w:rPr>
          <w:rFonts w:ascii="Noto Sans" w:hAnsi="Noto Sans" w:eastAsia="Noto Sans" w:cs="Noto Sans"/>
          <w:b/>
          <w:i w:val="0"/>
          <w:sz w:val="24"/>
        </w:rPr>
        <w:t>4. Exclusions</w:t>
      </w:r>
    </w:p>
    <w:p>
      <w:pPr>
        <w:spacing w:before="0" w:after="80" w:line="252" w:lineRule="auto"/>
      </w:pPr>
      <w:r>
        <w:rPr>
          <w:rFonts w:ascii="Noto Sans" w:hAnsi="Noto Sans" w:eastAsia="Noto Sans" w:cs="Noto Sans"/>
          <w:b w:val="0"/>
          <w:i w:val="0"/>
          <w:sz w:val="18"/>
        </w:rPr>
        <w:t>Known children, sensitive data, passwords, OTPs, full cards, identity documents, medical diagnoses, criminal-history and other high-risk content are excluded. Suspected material is quarantined.</w:t>
      </w:r>
    </w:p>
    <w:p>
      <w:pPr>
        <w:pStyle w:val="Heading2"/>
      </w:pPr>
      <w:r>
        <w:rPr>
          <w:rFonts w:ascii="Noto Sans" w:hAnsi="Noto Sans" w:eastAsia="Noto Sans" w:cs="Noto Sans"/>
          <w:b/>
          <w:i w:val="0"/>
          <w:sz w:val="24"/>
        </w:rPr>
        <w:t>5. Human review</w:t>
      </w:r>
    </w:p>
    <w:p>
      <w:pPr>
        <w:spacing w:before="0" w:after="80" w:line="252" w:lineRule="auto"/>
      </w:pPr>
      <w:r>
        <w:rPr>
          <w:rFonts w:ascii="Noto Sans" w:hAnsi="Noto Sans" w:eastAsia="Noto Sans" w:cs="Noto Sans"/>
          <w:b w:val="0"/>
          <w:i w:val="0"/>
          <w:sz w:val="18"/>
        </w:rPr>
        <w:t>Authorised confidential reviewers may inspect limited samples for quality, safety and de-identification. Access is logged; re-identification and other use are prohibited.</w:t>
      </w:r>
    </w:p>
    <w:p>
      <w:pPr>
        <w:pStyle w:val="Heading2"/>
      </w:pPr>
      <w:r>
        <w:rPr>
          <w:rFonts w:ascii="Noto Sans" w:hAnsi="Noto Sans" w:eastAsia="Noto Sans" w:cs="Noto Sans"/>
          <w:b/>
          <w:i w:val="0"/>
          <w:sz w:val="24"/>
        </w:rPr>
        <w:t>6. Providers/transfers</w:t>
      </w:r>
    </w:p>
    <w:p>
      <w:pPr>
        <w:spacing w:before="0" w:after="80" w:line="252" w:lineRule="auto"/>
      </w:pPr>
      <w:r>
        <w:rPr>
          <w:rFonts w:ascii="Noto Sans" w:hAnsi="Noto Sans" w:eastAsia="Noto Sans" w:cs="Noto Sans"/>
          <w:b w:val="0"/>
          <w:i w:val="0"/>
          <w:sz w:val="18"/>
        </w:rPr>
        <w:t>No external AI provider is approved. Before any transfer, the Subprocessor Schedule and Notice must identify provider, region, retention and provider-training setting.</w:t>
      </w:r>
    </w:p>
    <w:p>
      <w:pPr>
        <w:pStyle w:val="Heading2"/>
      </w:pPr>
      <w:r>
        <w:rPr>
          <w:rFonts w:ascii="Noto Sans" w:hAnsi="Noto Sans" w:eastAsia="Noto Sans" w:cs="Noto Sans"/>
          <w:b/>
          <w:i w:val="0"/>
          <w:sz w:val="24"/>
        </w:rPr>
        <w:t>7. Retention</w:t>
      </w:r>
    </w:p>
    <w:p>
      <w:pPr>
        <w:spacing w:before="0" w:after="80" w:line="252" w:lineRule="auto"/>
      </w:pPr>
      <w:r>
        <w:rPr>
          <w:rFonts w:ascii="Noto Sans" w:hAnsi="Noto Sans" w:eastAsia="Noto Sans" w:cs="Noto Sans"/>
          <w:b w:val="0"/>
          <w:i w:val="0"/>
          <w:sz w:val="18"/>
        </w:rPr>
        <w:t>Consent/eligibility evidence: five years after withdrawal/last reliance. Quarantine: up to 30 days. Approved datasets: up to 24 months. Dataset/model provenance: seven years. A completed model may not contain a directly retrievable conversation, but removing one record's influence may be technically impossible.</w:t>
      </w:r>
    </w:p>
    <w:p>
      <w:pPr>
        <w:pStyle w:val="Heading2"/>
      </w:pPr>
      <w:r>
        <w:rPr>
          <w:rFonts w:ascii="Noto Sans" w:hAnsi="Noto Sans" w:eastAsia="Noto Sans" w:cs="Noto Sans"/>
          <w:b/>
          <w:i w:val="0"/>
          <w:sz w:val="24"/>
        </w:rPr>
        <w:t>8. Withdrawal</w:t>
      </w:r>
    </w:p>
    <w:p>
      <w:pPr>
        <w:spacing w:before="0" w:after="80" w:line="252" w:lineRule="auto"/>
      </w:pPr>
      <w:r>
        <w:rPr>
          <w:rFonts w:ascii="Noto Sans" w:hAnsi="Noto Sans" w:eastAsia="Noto Sans" w:cs="Noto Sans"/>
          <w:b w:val="0"/>
          <w:i w:val="0"/>
          <w:sz w:val="18"/>
        </w:rPr>
        <w:t>Use https://djai.academy/privacy/preferences or privacy@djai.academy. Withdrawal stops future collection/use. Active eligible records are removed where reasonably possible. It does not undo prior lawful processing or necessarily remove effects from a completed model.</w:t>
      </w:r>
    </w:p>
    <w:p>
      <w:pPr>
        <w:pStyle w:val="Heading2"/>
      </w:pPr>
      <w:r>
        <w:rPr>
          <w:rFonts w:ascii="Noto Sans" w:hAnsi="Noto Sans" w:eastAsia="Noto Sans" w:cs="Noto Sans"/>
          <w:b/>
          <w:i w:val="0"/>
          <w:sz w:val="24"/>
        </w:rPr>
        <w:t>9. Security/contact</w:t>
      </w:r>
    </w:p>
    <w:p>
      <w:pPr>
        <w:spacing w:before="0" w:after="80" w:line="252" w:lineRule="auto"/>
      </w:pPr>
      <w:r>
        <w:rPr>
          <w:rFonts w:ascii="Noto Sans" w:hAnsi="Noto Sans" w:eastAsia="Noto Sans" w:cs="Noto Sans"/>
          <w:b w:val="0"/>
          <w:i w:val="0"/>
          <w:sz w:val="18"/>
        </w:rPr>
        <w:t>Logical separation, access control, registry, minimisation and monitoring apply. Direct identifiers are prohibited in approved training datasets. Contact privacy@djai.academy.</w:t>
      </w:r>
    </w:p>
    <w:p>
      <w:r>
        <w:br w:type="page"/>
      </w:r>
    </w:p>
    <w:p>
      <w:pPr>
        <w:pStyle w:val="Heading1"/>
      </w:pPr>
      <w:r>
        <w:rPr>
          <w:rFonts w:ascii="Noto Sans" w:hAnsi="Noto Sans" w:eastAsia="Noto Sans" w:cs="Noto Sans"/>
          <w:b/>
          <w:i w:val="0"/>
          <w:sz w:val="32"/>
        </w:rPr>
        <w:t>Deejai Marketing Consent Text</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English interface text</w:t>
      </w:r>
    </w:p>
    <w:p>
      <w:pPr>
        <w:spacing w:before="0" w:after="80" w:line="252" w:lineRule="auto"/>
      </w:pPr>
      <w:r>
        <w:rPr>
          <w:rFonts w:ascii="Noto Sans" w:hAnsi="Noto Sans" w:eastAsia="Noto Sans" w:cs="Noto Sans"/>
          <w:b w:val="0"/>
          <w:i w:val="0"/>
          <w:sz w:val="18"/>
        </w:rPr>
        <w:t>☐ I agree that DEEJAI LAB CO., LTD. may use my name and the contact details I provide to send me information about DJBOT, DJAI Academy and related digital products or services by email, telephone or LINE, depending on the details I provide. I can withdraw at any time through https://djai.academy/privacy/preferences or privacy@djai.academy. I can still use the Merchant's chat if I do not agree.</w:t>
      </w:r>
    </w:p>
    <w:p>
      <w:pPr>
        <w:pStyle w:val="Heading2"/>
      </w:pPr>
      <w:r>
        <w:rPr>
          <w:rFonts w:ascii="Noto Sans" w:hAnsi="Noto Sans" w:eastAsia="Noto Sans" w:cs="Noto Sans"/>
          <w:b/>
          <w:i w:val="0"/>
          <w:sz w:val="24"/>
        </w:rPr>
        <w:t>Thai interface text</w:t>
      </w:r>
    </w:p>
    <w:p>
      <w:pPr>
        <w:spacing w:before="0" w:after="80" w:line="252" w:lineRule="auto"/>
      </w:pPr>
      <w:r>
        <w:rPr>
          <w:rFonts w:ascii="Noto Sans Thai" w:hAnsi="Noto Sans Thai" w:eastAsia="Noto Sans Thai" w:cs="Noto Sans Thai"/>
          <w:b w:val="0"/>
          <w:i w:val="0"/>
          <w:sz w:val="18"/>
        </w:rPr>
        <w:t>☐ ข้าพเจ้ายินยอมให้ บริษัท ดีใจ แล็บ จำกัด ใช้ชื่อและข้อมูลติดต่อที่ข้าพเจ้าให้ไว้ เพื่อส่งข้อมูลเกี่ยวกับ DJBOT, DJAI Academy และผลิตภัณฑ์หรือบริการดิจิทัลที่เกี่ยวข้อง ผ่านอีเมล โทรศัพท์ หรือ LINE ตามข้อมูลติดต่อที่ข้าพเจ้าให้ไว้ ข้าพเจ้าสามารถถอนความยินยอมได้ทุกเมื่อ และยังสามารถใช้แชตของร้านค้าได้แม้ไม่ยินยอม</w:t>
      </w:r>
    </w:p>
    <w:p>
      <w:pPr>
        <w:pStyle w:val="Heading2"/>
      </w:pPr>
      <w:r>
        <w:rPr>
          <w:rFonts w:ascii="Noto Sans" w:hAnsi="Noto Sans" w:eastAsia="Noto Sans" w:cs="Noto Sans"/>
          <w:b/>
          <w:i w:val="0"/>
          <w:sz w:val="24"/>
        </w:rPr>
        <w:t>Scope</w:t>
      </w:r>
    </w:p>
    <w:p>
      <w:pPr>
        <w:spacing w:before="0" w:after="80" w:line="252" w:lineRule="auto"/>
      </w:pPr>
      <w:r>
        <w:rPr>
          <w:rFonts w:ascii="Noto Sans" w:hAnsi="Noto Sans" w:eastAsia="Noto Sans" w:cs="Noto Sans"/>
          <w:b w:val="0"/>
          <w:i w:val="0"/>
          <w:sz w:val="18"/>
        </w:rPr>
        <w:t>Only Deejai's own marketing. It excludes Merchant marketing, partner marketing, model development and chat-content disclosure. Contact data is retained until withdrawal or 24 months after last engagement; suppression evidence five years.</w:t>
      </w:r>
    </w:p>
    <w:p>
      <w:r>
        <w:br w:type="page"/>
      </w:r>
    </w:p>
    <w:p>
      <w:pPr>
        <w:pStyle w:val="Heading1"/>
      </w:pPr>
      <w:r>
        <w:rPr>
          <w:rFonts w:ascii="Noto Sans" w:hAnsi="Noto Sans" w:eastAsia="Noto Sans" w:cs="Noto Sans"/>
          <w:b/>
          <w:i w:val="0"/>
          <w:sz w:val="32"/>
        </w:rPr>
        <w:t>Marketing Partner Consent Text</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Current status</w:t>
      </w:r>
    </w:p>
    <w:p>
      <w:pPr>
        <w:spacing w:before="0" w:after="80" w:line="252" w:lineRule="auto"/>
      </w:pPr>
      <w:r>
        <w:rPr>
          <w:rFonts w:ascii="Noto Sans" w:hAnsi="Noto Sans" w:eastAsia="Noto Sans" w:cs="Noto Sans"/>
          <w:b w:val="0"/>
          <w:i w:val="0"/>
          <w:sz w:val="18"/>
        </w:rPr>
        <w:t>This control must remain hidden/disabled because no partner is active.</w:t>
      </w:r>
    </w:p>
    <w:p>
      <w:pPr>
        <w:pStyle w:val="Heading2"/>
      </w:pPr>
      <w:r>
        <w:rPr>
          <w:rFonts w:ascii="Noto Sans" w:hAnsi="Noto Sans" w:eastAsia="Noto Sans" w:cs="Noto Sans"/>
          <w:b/>
          <w:i w:val="0"/>
          <w:sz w:val="24"/>
        </w:rPr>
        <w:t>Future English text</w:t>
      </w:r>
    </w:p>
    <w:p>
      <w:pPr>
        <w:spacing w:before="0" w:after="80" w:line="252" w:lineRule="auto"/>
      </w:pPr>
      <w:r>
        <w:rPr>
          <w:rFonts w:ascii="Noto Sans" w:hAnsi="Noto Sans" w:eastAsia="Noto Sans" w:cs="Noto Sans"/>
          <w:b w:val="0"/>
          <w:i w:val="0"/>
          <w:sz w:val="18"/>
        </w:rPr>
        <w:t>☐ I agree that DEEJAI LAB CO., LTD. may share my name and contact details with the marketing partners identified in the Partner Schedule so they may contact me about the stated product or service categories. I can withdraw through https://djai.academy/privacy/preferences or privacy@djai.academy. I can still use the Merchant's chat if I do not agree.</w:t>
      </w:r>
    </w:p>
    <w:p>
      <w:pPr>
        <w:pStyle w:val="Heading2"/>
      </w:pPr>
      <w:r>
        <w:rPr>
          <w:rFonts w:ascii="Noto Sans" w:hAnsi="Noto Sans" w:eastAsia="Noto Sans" w:cs="Noto Sans"/>
          <w:b/>
          <w:i w:val="0"/>
          <w:sz w:val="24"/>
        </w:rPr>
        <w:t>Future Thai text</w:t>
      </w:r>
    </w:p>
    <w:p>
      <w:pPr>
        <w:spacing w:before="0" w:after="80" w:line="252" w:lineRule="auto"/>
      </w:pPr>
      <w:r>
        <w:rPr>
          <w:rFonts w:ascii="Noto Sans Thai" w:hAnsi="Noto Sans Thai" w:eastAsia="Noto Sans Thai" w:cs="Noto Sans Thai"/>
          <w:b w:val="0"/>
          <w:i w:val="0"/>
          <w:sz w:val="18"/>
        </w:rPr>
        <w:t>☐ ข้าพเจ้ายินยอมให้ บริษัท ดีใจ แล็บ จำกัด เปิดเผยชื่อและข้อมูลติดต่อที่ข้าพเจ้าให้ไว้แก่พันธมิตรทางการตลาดที่ระบุในตารางพันธมิตร เพื่อให้พันธมิตรดังกล่าวติดต่อข้าพเจ้าเกี่ยวกับประเภทผลิตภัณฑ์หรือบริการที่ระบุไว้ ข้าพเจ้าสามารถถอนความยินยอมได้ทุกเมื่อ และยังสามารถใช้แชตของร้านค้าได้แม้ไม่ยินยอม</w:t>
      </w:r>
    </w:p>
    <w:p>
      <w:pPr>
        <w:pStyle w:val="Heading2"/>
      </w:pPr>
      <w:r>
        <w:rPr>
          <w:rFonts w:ascii="Noto Sans" w:hAnsi="Noto Sans" w:eastAsia="Noto Sans" w:cs="Noto Sans"/>
          <w:b/>
          <w:i w:val="0"/>
          <w:sz w:val="24"/>
        </w:rPr>
        <w:t>Limits</w:t>
      </w:r>
    </w:p>
    <w:p>
      <w:pPr>
        <w:spacing w:before="0" w:after="80" w:line="252" w:lineRule="auto"/>
      </w:pPr>
      <w:r>
        <w:rPr>
          <w:rFonts w:ascii="Noto Sans" w:hAnsi="Noto Sans" w:eastAsia="Noto Sans" w:cs="Noto Sans"/>
          <w:b w:val="0"/>
          <w:i w:val="0"/>
          <w:sz w:val="18"/>
        </w:rPr>
        <w:t>No chat content, sensitive or child data. Consent is valid only for approved recipients, fields, channels, categories and retention. Material new partners may require fresh consent.</w:t>
      </w:r>
    </w:p>
    <w:p>
      <w:r>
        <w:br w:type="page"/>
      </w:r>
    </w:p>
    <w:p>
      <w:pPr>
        <w:pStyle w:val="Heading1"/>
      </w:pPr>
      <w:r>
        <w:rPr>
          <w:rFonts w:ascii="Noto Sans" w:hAnsi="Noto Sans" w:eastAsia="Noto Sans" w:cs="Noto Sans"/>
          <w:b/>
          <w:i w:val="0"/>
          <w:sz w:val="32"/>
        </w:rPr>
        <w:t>Model Development Consent Text</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English interface text</w:t>
      </w:r>
    </w:p>
    <w:p>
      <w:pPr>
        <w:spacing w:before="0" w:after="80" w:line="252" w:lineRule="auto"/>
      </w:pPr>
      <w:r>
        <w:rPr>
          <w:rFonts w:ascii="Noto Sans" w:hAnsi="Noto Sans" w:eastAsia="Noto Sans" w:cs="Noto Sans"/>
          <w:b w:val="0"/>
          <w:i w:val="0"/>
          <w:sz w:val="18"/>
        </w:rPr>
        <w:t>☐ I agree that DEEJAI LAB CO., LTD. may use a controlled copy of this conversation to develop, test and improve language models after removing direct identifiers such as my name, email address and telephone number. The conversation is not described as anonymous and may be reviewed by authorised personnel under safeguards. I can withdraw future use through https://djai.academy/privacy/preferences or privacy@djai.academy. I can still use the Merchant's chat if I do not agree.</w:t>
      </w:r>
    </w:p>
    <w:p>
      <w:pPr>
        <w:pStyle w:val="Heading2"/>
      </w:pPr>
      <w:r>
        <w:rPr>
          <w:rFonts w:ascii="Noto Sans" w:hAnsi="Noto Sans" w:eastAsia="Noto Sans" w:cs="Noto Sans"/>
          <w:b/>
          <w:i w:val="0"/>
          <w:sz w:val="24"/>
        </w:rPr>
        <w:t>Thai interface text</w:t>
      </w:r>
    </w:p>
    <w:p>
      <w:pPr>
        <w:spacing w:before="0" w:after="80" w:line="252" w:lineRule="auto"/>
      </w:pPr>
      <w:r>
        <w:rPr>
          <w:rFonts w:ascii="Noto Sans Thai" w:hAnsi="Noto Sans Thai" w:eastAsia="Noto Sans Thai" w:cs="Noto Sans Thai"/>
          <w:b w:val="0"/>
          <w:i w:val="0"/>
          <w:sz w:val="18"/>
        </w:rPr>
        <w:t>☐ ข้าพเจ้ายินยอมให้ บริษัท ดีใจ แล็บ จำกัด ใช้สำเนาการสนทนานี้ภายใต้การควบคุม เพื่อพัฒนา ทดสอบ และปรับปรุงโมเดลภาษา หลังจากลบข้อมูลระบุตัวตนโดยตรง เช่น ชื่อ อีเมล และหมายเลขโทรศัพท์ ข้อมูลการสนทนานี้จะไม่ถูกเรียกว่าเป็นข้อมูลนิรนาม และอาจมีผู้ได้รับอนุญาตตรวจสอบภายใต้มาตรการคุ้มครอง ข้าพเจ้าสามารถถอนความยินยอมสำหรับการใช้ในอนาคตได้ และยังสามารถใช้แชตของร้านค้าได้แม้ไม่ยินยอม</w:t>
      </w:r>
    </w:p>
    <w:p>
      <w:pPr>
        <w:pStyle w:val="Heading2"/>
      </w:pPr>
      <w:r>
        <w:rPr>
          <w:rFonts w:ascii="Noto Sans" w:hAnsi="Noto Sans" w:eastAsia="Noto Sans" w:cs="Noto Sans"/>
          <w:b/>
          <w:i w:val="0"/>
          <w:sz w:val="24"/>
        </w:rPr>
        <w:t>Scope</w:t>
      </w:r>
    </w:p>
    <w:p>
      <w:pPr>
        <w:spacing w:before="0" w:after="80" w:line="252" w:lineRule="auto"/>
      </w:pPr>
      <w:r>
        <w:rPr>
          <w:rFonts w:ascii="Noto Sans" w:hAnsi="Noto Sans" w:eastAsia="Noto Sans" w:cs="Noto Sans"/>
          <w:b w:val="0"/>
          <w:i w:val="0"/>
          <w:sz w:val="18"/>
        </w:rPr>
        <w:t>Model development only; no marketing/partner disclosure. Known child/sensitive conversations excluded. Withdrawal limits are in the Model Notice.</w:t>
      </w:r>
    </w:p>
    <w:p>
      <w:r>
        <w:br w:type="page"/>
      </w:r>
    </w:p>
    <w:p>
      <w:pPr>
        <w:pStyle w:val="Heading1"/>
      </w:pPr>
      <w:r>
        <w:rPr>
          <w:rFonts w:ascii="Noto Sans" w:hAnsi="Noto Sans" w:eastAsia="Noto Sans" w:cs="Noto Sans"/>
          <w:b/>
          <w:i w:val="0"/>
          <w:sz w:val="32"/>
        </w:rPr>
        <w:t>Consent Withdrawal and Preference Notice</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Choices</w:t>
      </w:r>
    </w:p>
    <w:p>
      <w:pPr>
        <w:spacing w:before="0" w:after="80" w:line="252" w:lineRule="auto"/>
      </w:pPr>
      <w:r>
        <w:rPr>
          <w:rFonts w:ascii="Noto Sans" w:hAnsi="Noto Sans" w:eastAsia="Noto Sans" w:cs="Noto Sans"/>
          <w:b w:val="0"/>
          <w:i w:val="0"/>
          <w:sz w:val="18"/>
        </w:rPr>
        <w:t>A person may separately manage Deejai marketing, partner marketing, model development and, where active, voice recording or marketing-call preferences.</w:t>
      </w:r>
    </w:p>
    <w:p>
      <w:pPr>
        <w:pStyle w:val="Heading2"/>
      </w:pPr>
      <w:r>
        <w:rPr>
          <w:rFonts w:ascii="Noto Sans" w:hAnsi="Noto Sans" w:eastAsia="Noto Sans" w:cs="Noto Sans"/>
          <w:b/>
          <w:i w:val="0"/>
          <w:sz w:val="24"/>
        </w:rPr>
        <w:t>2. Channels</w:t>
      </w:r>
    </w:p>
    <w:p>
      <w:pPr>
        <w:spacing w:before="0" w:after="80" w:line="252" w:lineRule="auto"/>
      </w:pPr>
      <w:r>
        <w:rPr>
          <w:rFonts w:ascii="Noto Sans" w:hAnsi="Noto Sans" w:eastAsia="Noto Sans" w:cs="Noto Sans"/>
          <w:b w:val="0"/>
          <w:i w:val="0"/>
          <w:sz w:val="18"/>
        </w:rPr>
        <w:t>Use https://djai.academy/privacy/preferences, message unsubscribe or privacy@djai.academy. Telephone/LINE opt-outs must enter the central suppression system.</w:t>
      </w:r>
    </w:p>
    <w:p>
      <w:pPr>
        <w:pStyle w:val="Heading2"/>
      </w:pPr>
      <w:r>
        <w:rPr>
          <w:rFonts w:ascii="Noto Sans" w:hAnsi="Noto Sans" w:eastAsia="Noto Sans" w:cs="Noto Sans"/>
          <w:b/>
          <w:i w:val="0"/>
          <w:sz w:val="24"/>
        </w:rPr>
        <w:t>3. Effect</w:t>
      </w:r>
    </w:p>
    <w:p>
      <w:pPr>
        <w:spacing w:before="0" w:after="80" w:line="252" w:lineRule="auto"/>
      </w:pPr>
      <w:r>
        <w:rPr>
          <w:rFonts w:ascii="Noto Sans" w:hAnsi="Noto Sans" w:eastAsia="Noto Sans" w:cs="Noto Sans"/>
          <w:b w:val="0"/>
          <w:i w:val="0"/>
          <w:sz w:val="18"/>
        </w:rPr>
        <w:t>Withdrawal stops future processing as soon as reasonably practicable and does not affect prior lawful processing. Model withdrawal removes active eligible records where reasonably possible but may not remove effect from a completed model.</w:t>
      </w:r>
    </w:p>
    <w:p>
      <w:pPr>
        <w:pStyle w:val="Heading2"/>
      </w:pPr>
      <w:r>
        <w:rPr>
          <w:rFonts w:ascii="Noto Sans" w:hAnsi="Noto Sans" w:eastAsia="Noto Sans" w:cs="Noto Sans"/>
          <w:b/>
          <w:i w:val="0"/>
          <w:sz w:val="24"/>
        </w:rPr>
        <w:t>4. Suppression</w:t>
      </w:r>
    </w:p>
    <w:p>
      <w:pPr>
        <w:spacing w:before="0" w:after="80" w:line="252" w:lineRule="auto"/>
      </w:pPr>
      <w:r>
        <w:rPr>
          <w:rFonts w:ascii="Noto Sans" w:hAnsi="Noto Sans" w:eastAsia="Noto Sans" w:cs="Noto Sans"/>
          <w:b w:val="0"/>
          <w:i w:val="0"/>
          <w:sz w:val="18"/>
        </w:rPr>
        <w:t>A minimal hashed/normalised identifier, purpose, channel, withdrawal date and evidence reference may be retained five years to prevent renewed contact and prove compliance.</w:t>
      </w:r>
    </w:p>
    <w:p>
      <w:pPr>
        <w:pStyle w:val="Heading2"/>
      </w:pPr>
      <w:r>
        <w:rPr>
          <w:rFonts w:ascii="Noto Sans" w:hAnsi="Noto Sans" w:eastAsia="Noto Sans" w:cs="Noto Sans"/>
          <w:b/>
          <w:i w:val="0"/>
          <w:sz w:val="24"/>
        </w:rPr>
        <w:t>5. Merchant distinction</w:t>
      </w:r>
    </w:p>
    <w:p>
      <w:pPr>
        <w:spacing w:before="0" w:after="80" w:line="252" w:lineRule="auto"/>
      </w:pPr>
      <w:r>
        <w:rPr>
          <w:rFonts w:ascii="Noto Sans" w:hAnsi="Noto Sans" w:eastAsia="Noto Sans" w:cs="Noto Sans"/>
          <w:b w:val="0"/>
          <w:i w:val="0"/>
          <w:sz w:val="18"/>
        </w:rPr>
        <w:t>Deejai withdrawal does not withdraw Merchant marketing. Customer must contact Merchant for Merchant purpose; Deejai will help redirect.</w:t>
      </w:r>
    </w:p>
    <w:p>
      <w:pPr>
        <w:pStyle w:val="Heading2"/>
      </w:pPr>
      <w:r>
        <w:rPr>
          <w:rFonts w:ascii="Noto Sans" w:hAnsi="Noto Sans" w:eastAsia="Noto Sans" w:cs="Noto Sans"/>
          <w:b/>
          <w:i w:val="0"/>
          <w:sz w:val="24"/>
        </w:rPr>
        <w:t>6. Response</w:t>
      </w:r>
    </w:p>
    <w:p>
      <w:pPr>
        <w:spacing w:before="0" w:after="80" w:line="252" w:lineRule="auto"/>
      </w:pPr>
      <w:r>
        <w:rPr>
          <w:rFonts w:ascii="Noto Sans" w:hAnsi="Noto Sans" w:eastAsia="Noto Sans" w:cs="Noto Sans"/>
          <w:b w:val="0"/>
          <w:i w:val="0"/>
          <w:sz w:val="18"/>
        </w:rPr>
        <w:t>Electronic opt-outs normally apply immediately. Complex rights requests may require identity verification and legal assessment.</w:t>
      </w:r>
    </w:p>
    <w:p>
      <w:r>
        <w:br w:type="page"/>
      </w:r>
    </w:p>
    <w:p>
      <w:pPr>
        <w:pStyle w:val="Heading1"/>
      </w:pPr>
      <w:r>
        <w:rPr>
          <w:rFonts w:ascii="Noto Sans" w:hAnsi="Noto Sans" w:eastAsia="Noto Sans" w:cs="Noto Sans"/>
          <w:b/>
          <w:i w:val="0"/>
          <w:sz w:val="32"/>
        </w:rPr>
        <w:t>AI Text Bot Interaction Notice</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Short notice</w:t>
      </w:r>
    </w:p>
    <w:p>
      <w:pPr>
        <w:spacing w:before="0" w:after="80" w:line="252" w:lineRule="auto"/>
      </w:pPr>
      <w:r>
        <w:rPr>
          <w:rFonts w:ascii="Noto Sans" w:hAnsi="Noto Sans" w:eastAsia="Noto Sans" w:cs="Noto Sans"/>
          <w:b w:val="0"/>
          <w:i w:val="0"/>
          <w:sz w:val="18"/>
        </w:rPr>
        <w:t>You are chatting with an AI-assisted system operated for the Merchant. Responses may be incomplete or incorrect. Do not submit passwords, OTPs, full card details, identity documents, unrequested sensitive data or emergency information. Confirm important decisions with a qualified person and use the human-help control.</w:t>
      </w:r>
    </w:p>
    <w:p>
      <w:pPr>
        <w:pStyle w:val="Heading2"/>
      </w:pPr>
      <w:r>
        <w:rPr>
          <w:rFonts w:ascii="Noto Sans" w:hAnsi="Noto Sans" w:eastAsia="Noto Sans" w:cs="Noto Sans"/>
          <w:b/>
          <w:i w:val="0"/>
          <w:sz w:val="24"/>
        </w:rPr>
        <w:t>Detailed notice</w:t>
      </w:r>
    </w:p>
    <w:p>
      <w:pPr>
        <w:spacing w:before="0" w:after="80" w:line="252" w:lineRule="auto"/>
      </w:pPr>
      <w:r>
        <w:rPr>
          <w:rFonts w:ascii="Noto Sans" w:hAnsi="Noto Sans" w:eastAsia="Noto Sans" w:cs="Noto Sans"/>
          <w:b w:val="0"/>
          <w:i w:val="0"/>
          <w:sz w:val="18"/>
        </w:rPr>
        <w:t>Merchant determines business purpose/content sources. Deejai processes prompts/outputs to provide service. An AI provider may receive data only after being listed. Model development requires separate optional choice. The bot may not make final high-impact decisions or replace emergency, medical, legal or financial professionals.</w:t>
      </w:r>
    </w:p>
    <w:p>
      <w:pPr>
        <w:pStyle w:val="Heading2"/>
      </w:pPr>
      <w:r>
        <w:rPr>
          <w:rFonts w:ascii="Noto Sans" w:hAnsi="Noto Sans" w:eastAsia="Noto Sans" w:cs="Noto Sans"/>
          <w:b/>
          <w:i w:val="0"/>
          <w:sz w:val="24"/>
        </w:rPr>
        <w:t>Human escalation</w:t>
      </w:r>
    </w:p>
    <w:p>
      <w:pPr>
        <w:spacing w:before="0" w:after="80" w:line="252" w:lineRule="auto"/>
      </w:pPr>
      <w:r>
        <w:rPr>
          <w:rFonts w:ascii="Noto Sans" w:hAnsi="Noto Sans" w:eastAsia="Noto Sans" w:cs="Noto Sans"/>
          <w:b w:val="0"/>
          <w:i w:val="0"/>
          <w:sz w:val="18"/>
        </w:rPr>
        <w:t>Merchant must provide a human contact for material complaints, transactions and matters the AI cannot safely resolve. The bot must not falsely claim human review.</w:t>
      </w:r>
    </w:p>
    <w:p>
      <w:r>
        <w:br w:type="page"/>
      </w:r>
    </w:p>
    <w:p>
      <w:pPr>
        <w:pStyle w:val="Heading1"/>
      </w:pPr>
      <w:r>
        <w:rPr>
          <w:rFonts w:ascii="Noto Sans" w:hAnsi="Noto Sans" w:eastAsia="Noto Sans" w:cs="Noto Sans"/>
          <w:b/>
          <w:i w:val="0"/>
          <w:sz w:val="32"/>
        </w:rPr>
        <w:t>Voice Call Notice and Consent Scripts</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Inbound, no recording</w:t>
      </w:r>
    </w:p>
    <w:p>
      <w:pPr>
        <w:spacing w:before="0" w:after="80" w:line="252" w:lineRule="auto"/>
      </w:pPr>
      <w:r>
        <w:rPr>
          <w:rFonts w:ascii="Noto Sans" w:hAnsi="Noto Sans" w:eastAsia="Noto Sans" w:cs="Noto Sans"/>
          <w:b w:val="0"/>
          <w:i w:val="0"/>
          <w:sz w:val="18"/>
        </w:rPr>
        <w:t>"Hello, you have reached the Merchant identified in the call configuration. This call is handled by an automated voice assistant provided through DJBOT. The assistant may create a text transcript to answer your request. The call is not recorded. Please do not provide passwords, one-time codes or full card details. Say 'human' at any time to request a person."</w:t>
      </w:r>
    </w:p>
    <w:p>
      <w:pPr>
        <w:pStyle w:val="Heading2"/>
      </w:pPr>
      <w:r>
        <w:rPr>
          <w:rFonts w:ascii="Noto Sans" w:hAnsi="Noto Sans" w:eastAsia="Noto Sans" w:cs="Noto Sans"/>
          <w:b/>
          <w:i w:val="0"/>
          <w:sz w:val="24"/>
        </w:rPr>
        <w:t>2. Inbound, recording after approval</w:t>
      </w:r>
    </w:p>
    <w:p>
      <w:pPr>
        <w:spacing w:before="0" w:after="80" w:line="252" w:lineRule="auto"/>
      </w:pPr>
      <w:r>
        <w:rPr>
          <w:rFonts w:ascii="Noto Sans" w:hAnsi="Noto Sans" w:eastAsia="Noto Sans" w:cs="Noto Sans"/>
          <w:b w:val="0"/>
          <w:i w:val="0"/>
          <w:sz w:val="18"/>
        </w:rPr>
        <w:t>"Hello, you have reached the Merchant identified in the call configuration. This call is handled by an automated voice assistant through DJBOT. With your permission, this call will be recorded and transcribed for handling your request and the purposes in the privacy notice. Say 'I agree' to continue with recording, or 'no recording' to continue without recording where available. Say 'human' for a person."</w:t>
      </w:r>
    </w:p>
    <w:p>
      <w:pPr>
        <w:pStyle w:val="Heading2"/>
      </w:pPr>
      <w:r>
        <w:rPr>
          <w:rFonts w:ascii="Noto Sans" w:hAnsi="Noto Sans" w:eastAsia="Noto Sans" w:cs="Noto Sans"/>
          <w:b/>
          <w:i w:val="0"/>
          <w:sz w:val="24"/>
        </w:rPr>
        <w:t>3. Outbound service</w:t>
      </w:r>
    </w:p>
    <w:p>
      <w:pPr>
        <w:spacing w:before="0" w:after="80" w:line="252" w:lineRule="auto"/>
      </w:pPr>
      <w:r>
        <w:rPr>
          <w:rFonts w:ascii="Noto Sans" w:hAnsi="Noto Sans" w:eastAsia="Noto Sans" w:cs="Noto Sans"/>
          <w:b w:val="0"/>
          <w:i w:val="0"/>
          <w:sz w:val="18"/>
        </w:rPr>
        <w:t>"Hello, this is the automated voice assistant of the Merchant identified in the call configuration calling about your request. This is not an emergency service. The call may be transcribed. Say 'human' for a person or 'stop' to end."</w:t>
      </w:r>
    </w:p>
    <w:p>
      <w:pPr>
        <w:pStyle w:val="Heading2"/>
      </w:pPr>
      <w:r>
        <w:rPr>
          <w:rFonts w:ascii="Noto Sans" w:hAnsi="Noto Sans" w:eastAsia="Noto Sans" w:cs="Noto Sans"/>
          <w:b/>
          <w:i w:val="0"/>
          <w:sz w:val="24"/>
        </w:rPr>
        <w:t>4. Outbound marketing</w:t>
      </w:r>
    </w:p>
    <w:p>
      <w:pPr>
        <w:spacing w:before="0" w:after="80" w:line="252" w:lineRule="auto"/>
      </w:pPr>
      <w:r>
        <w:rPr>
          <w:rFonts w:ascii="Noto Sans" w:hAnsi="Noto Sans" w:eastAsia="Noto Sans" w:cs="Noto Sans"/>
          <w:b w:val="0"/>
          <w:i w:val="0"/>
          <w:sz w:val="18"/>
        </w:rPr>
        <w:t>"Hello, this is the automated voice assistant of the Merchant identified in the call configuration. You previously agreed to receive this type of call. Say 'stop marketing' at any time to join the do-not-call list. This call is automated."</w:t>
      </w:r>
    </w:p>
    <w:p>
      <w:pPr>
        <w:pStyle w:val="Heading2"/>
      </w:pPr>
      <w:r>
        <w:rPr>
          <w:rFonts w:ascii="Noto Sans" w:hAnsi="Noto Sans" w:eastAsia="Noto Sans" w:cs="Noto Sans"/>
          <w:b/>
          <w:i w:val="0"/>
          <w:sz w:val="24"/>
        </w:rPr>
        <w:t>5. Thai inbound, no recording</w:t>
      </w:r>
    </w:p>
    <w:p>
      <w:pPr>
        <w:spacing w:before="0" w:after="80" w:line="252" w:lineRule="auto"/>
      </w:pPr>
      <w:r>
        <w:rPr>
          <w:rFonts w:ascii="Noto Sans Thai" w:hAnsi="Noto Sans Thai" w:eastAsia="Noto Sans Thai" w:cs="Noto Sans Thai"/>
          <w:b w:val="0"/>
          <w:i w:val="0"/>
          <w:sz w:val="18"/>
        </w:rPr>
        <w:t>"สวัสดีค่ะ/ครับ ท่านกำลังติดต่อ ร้านค้าที่ระบุไว้ในการตั้งค่าการโทร สายนี้ให้บริการโดยผู้ช่วยเสียงอัตโนมัติผ่าน DJBOT ระบบอาจสร้างข้อความถอดเสียงเพื่อดำเนินการตามคำขอของท่าน แต่จะไม่บันทึกเสียง กรุณาอย่าแจ้งรหัสผ่าน รหัส OTP หรือข้อมูลบัตรชำระเงินเต็มรูปแบบ หากต้องการติดต่อเจ้าหน้าที่ กรุณาพูดว่า 'เจ้าหน้าที่'"</w:t>
      </w:r>
    </w:p>
    <w:p>
      <w:pPr>
        <w:pStyle w:val="Heading2"/>
      </w:pPr>
      <w:r>
        <w:rPr>
          <w:rFonts w:ascii="Noto Sans" w:hAnsi="Noto Sans" w:eastAsia="Noto Sans" w:cs="Noto Sans"/>
          <w:b/>
          <w:i w:val="0"/>
          <w:sz w:val="24"/>
        </w:rPr>
        <w:t>6. Rules</w:t>
      </w:r>
    </w:p>
    <w:p>
      <w:pPr>
        <w:spacing w:before="0" w:after="80" w:line="252" w:lineRule="auto"/>
      </w:pPr>
      <w:r>
        <w:rPr>
          <w:rFonts w:ascii="Noto Sans" w:hAnsi="Noto Sans" w:eastAsia="Noto Sans" w:cs="Noto Sans"/>
          <w:b w:val="0"/>
          <w:i w:val="0"/>
          <w:sz w:val="18"/>
        </w:rPr>
        <w:t>Recording stays disabled until provider, consent, retention and legal approval are active. Refusal is honoured. Merchant maintains lawful basis, hours and do-not-call list. Emergency/professional decisions require human transfer.</w:t>
      </w:r>
    </w:p>
    <w:p>
      <w:r>
        <w:br w:type="page"/>
      </w:r>
    </w:p>
    <w:p>
      <w:pPr>
        <w:pStyle w:val="Heading1"/>
      </w:pPr>
      <w:r>
        <w:rPr>
          <w:rFonts w:ascii="Noto Sans" w:hAnsi="Noto Sans" w:eastAsia="Noto Sans" w:cs="Noto Sans"/>
          <w:b/>
          <w:i w:val="0"/>
          <w:sz w:val="32"/>
        </w:rPr>
        <w:t>Data Flow Map and Processing Narrative</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Merchant service flow</w:t>
      </w:r>
    </w:p>
    <w:p>
      <w:pPr>
        <w:spacing w:after="30"/>
        <w:ind w:left="369" w:hanging="255"/>
      </w:pPr>
      <w:r>
        <w:rPr>
          <w:rFonts w:ascii="Noto Sans" w:hAnsi="Noto Sans" w:eastAsia="Noto Sans" w:cs="Noto Sans"/>
          <w:b w:val="0"/>
          <w:i w:val="0"/>
          <w:sz w:val="17"/>
        </w:rPr>
        <w:t>1. Customer opens Merchant site.</w:t>
      </w:r>
    </w:p>
    <w:p>
      <w:pPr>
        <w:spacing w:after="30"/>
        <w:ind w:left="369" w:hanging="255"/>
      </w:pPr>
      <w:r>
        <w:rPr>
          <w:rFonts w:ascii="Noto Sans" w:hAnsi="Noto Sans" w:eastAsia="Noto Sans" w:cs="Noto Sans"/>
          <w:b w:val="0"/>
          <w:i w:val="0"/>
          <w:sz w:val="17"/>
        </w:rPr>
        <w:t>2. Widget reads/creates opaque localStorage session token.</w:t>
      </w:r>
    </w:p>
    <w:p>
      <w:pPr>
        <w:spacing w:after="30"/>
        <w:ind w:left="369" w:hanging="255"/>
      </w:pPr>
      <w:r>
        <w:rPr>
          <w:rFonts w:ascii="Noto Sans" w:hAnsi="Noto Sans" w:eastAsia="Noto Sans" w:cs="Noto Sans"/>
          <w:b w:val="0"/>
          <w:i w:val="0"/>
          <w:sz w:val="17"/>
        </w:rPr>
        <w:t>3. Customer submits message and optional contact details.</w:t>
      </w:r>
    </w:p>
    <w:p>
      <w:pPr>
        <w:spacing w:after="30"/>
        <w:ind w:left="369" w:hanging="255"/>
      </w:pPr>
      <w:r>
        <w:rPr>
          <w:rFonts w:ascii="Noto Sans" w:hAnsi="Noto Sans" w:eastAsia="Noto Sans" w:cs="Noto Sans"/>
          <w:b w:val="0"/>
          <w:i w:val="0"/>
          <w:sz w:val="17"/>
        </w:rPr>
        <w:t>4. Data passes to Deejai services.</w:t>
      </w:r>
    </w:p>
    <w:p>
      <w:pPr>
        <w:spacing w:after="30"/>
        <w:ind w:left="369" w:hanging="255"/>
      </w:pPr>
      <w:r>
        <w:rPr>
          <w:rFonts w:ascii="Noto Sans" w:hAnsi="Noto Sans" w:eastAsia="Noto Sans" w:cs="Noto Sans"/>
          <w:b w:val="0"/>
          <w:i w:val="0"/>
          <w:sz w:val="17"/>
        </w:rPr>
        <w:t xml:space="preserve">5. Operational data is stored in Neon on AWS </w:t>
      </w:r>
      <w:r>
        <w:rPr>
          <w:rFonts w:ascii="Noto Sans Mono" w:hAnsi="Noto Sans Mono" w:eastAsia="Noto Sans Mono" w:cs="Noto Sans Mono"/>
          <w:b w:val="0"/>
          <w:i w:val="0"/>
          <w:color w:val="464646"/>
          <w:sz w:val="17"/>
        </w:rPr>
        <w:t>us-east-2</w:t>
      </w:r>
      <w:r>
        <w:rPr>
          <w:rFonts w:ascii="Noto Sans" w:hAnsi="Noto Sans" w:eastAsia="Noto Sans" w:cs="Noto Sans"/>
          <w:b w:val="0"/>
          <w:i w:val="0"/>
          <w:sz w:val="17"/>
        </w:rPr>
        <w:t>.</w:t>
      </w:r>
    </w:p>
    <w:p>
      <w:pPr>
        <w:spacing w:after="30"/>
        <w:ind w:left="369" w:hanging="255"/>
      </w:pPr>
      <w:r>
        <w:rPr>
          <w:rFonts w:ascii="Noto Sans" w:hAnsi="Noto Sans" w:eastAsia="Noto Sans" w:cs="Noto Sans"/>
          <w:b w:val="0"/>
          <w:i w:val="0"/>
          <w:sz w:val="17"/>
        </w:rPr>
        <w:t>6. Merchant views lead/conversation.</w:t>
      </w:r>
    </w:p>
    <w:p>
      <w:pPr>
        <w:spacing w:after="30"/>
        <w:ind w:left="369" w:hanging="255"/>
      </w:pPr>
      <w:r>
        <w:rPr>
          <w:rFonts w:ascii="Noto Sans" w:hAnsi="Noto Sans" w:eastAsia="Noto Sans" w:cs="Noto Sans"/>
          <w:b w:val="0"/>
          <w:i w:val="0"/>
          <w:sz w:val="17"/>
        </w:rPr>
        <w:t>7. Transcript content is tombstoned after configured 30-3,650 days.</w:t>
      </w:r>
    </w:p>
    <w:p>
      <w:pPr>
        <w:spacing w:after="30"/>
        <w:ind w:left="369" w:hanging="255"/>
      </w:pPr>
      <w:r>
        <w:rPr>
          <w:rFonts w:ascii="Noto Sans" w:hAnsi="Noto Sans" w:eastAsia="Noto Sans" w:cs="Noto Sans"/>
          <w:b w:val="0"/>
          <w:i w:val="0"/>
          <w:sz w:val="17"/>
        </w:rPr>
        <w:t>8. Contact data remains until erasure or closure handling under current implementation.</w:t>
      </w:r>
    </w:p>
    <w:p>
      <w:pPr>
        <w:spacing w:before="0" w:after="80" w:line="252" w:lineRule="auto"/>
      </w:pPr>
      <w:r>
        <w:rPr>
          <w:rFonts w:ascii="Noto Sans" w:hAnsi="Noto Sans" w:eastAsia="Noto Sans" w:cs="Noto Sans"/>
          <w:b w:val="0"/>
          <w:i w:val="0"/>
          <w:sz w:val="18"/>
        </w:rPr>
        <w:t>Role: Merchant controller; Deejai processor.</w:t>
      </w:r>
    </w:p>
    <w:p>
      <w:pPr>
        <w:pStyle w:val="Heading2"/>
      </w:pPr>
      <w:r>
        <w:rPr>
          <w:rFonts w:ascii="Noto Sans" w:hAnsi="Noto Sans" w:eastAsia="Noto Sans" w:cs="Noto Sans"/>
          <w:b/>
          <w:i w:val="0"/>
          <w:sz w:val="24"/>
        </w:rPr>
        <w:t>2. Billing</w:t>
      </w:r>
    </w:p>
    <w:p>
      <w:pPr>
        <w:spacing w:before="0" w:after="80" w:line="252" w:lineRule="auto"/>
      </w:pPr>
      <w:r>
        <w:rPr>
          <w:rFonts w:ascii="Noto Sans" w:hAnsi="Noto Sans" w:eastAsia="Noto Sans" w:cs="Noto Sans"/>
          <w:b w:val="0"/>
          <w:i w:val="0"/>
          <w:sz w:val="18"/>
        </w:rPr>
        <w:t>Merchant uses Stripe-hosted checkout. Stripe receives full card information. Deejai receives billing identity, subscription status and payment tokens. Deejai controller.</w:t>
      </w:r>
    </w:p>
    <w:p>
      <w:pPr>
        <w:pStyle w:val="Heading2"/>
      </w:pPr>
      <w:r>
        <w:rPr>
          <w:rFonts w:ascii="Noto Sans" w:hAnsi="Noto Sans" w:eastAsia="Noto Sans" w:cs="Noto Sans"/>
          <w:b/>
          <w:i w:val="0"/>
          <w:sz w:val="24"/>
        </w:rPr>
        <w:t>3. Deejai marketing - Basic</w:t>
      </w:r>
    </w:p>
    <w:p>
      <w:pPr>
        <w:spacing w:before="0" w:after="80" w:line="252" w:lineRule="auto"/>
      </w:pPr>
      <w:r>
        <w:rPr>
          <w:rFonts w:ascii="Noto Sans" w:hAnsi="Noto Sans" w:eastAsia="Noto Sans" w:cs="Noto Sans"/>
          <w:b w:val="0"/>
          <w:i w:val="0"/>
          <w:sz w:val="18"/>
        </w:rPr>
        <w:t>On separate opt-in, necessary contact data and consent evidence are copied to a separate Deejai marketing dataset. Central suppression applies. Deejai controller.</w:t>
      </w:r>
    </w:p>
    <w:p>
      <w:pPr>
        <w:pStyle w:val="Heading2"/>
      </w:pPr>
      <w:r>
        <w:rPr>
          <w:rFonts w:ascii="Noto Sans" w:hAnsi="Noto Sans" w:eastAsia="Noto Sans" w:cs="Noto Sans"/>
          <w:b/>
          <w:i w:val="0"/>
          <w:sz w:val="24"/>
        </w:rPr>
        <w:t>4. Partner marketing</w:t>
      </w:r>
    </w:p>
    <w:p>
      <w:pPr>
        <w:spacing w:before="0" w:after="80" w:line="252" w:lineRule="auto"/>
      </w:pPr>
      <w:r>
        <w:rPr>
          <w:rFonts w:ascii="Noto Sans" w:hAnsi="Noto Sans" w:eastAsia="Noto Sans" w:cs="Noto Sans"/>
          <w:b w:val="0"/>
          <w:i w:val="0"/>
          <w:sz w:val="18"/>
        </w:rPr>
        <w:t>Disabled. When approved, only named fields and consent evidence transfer. Chat content does not. Deejai and partner are independent controllers.</w:t>
      </w:r>
    </w:p>
    <w:p>
      <w:pPr>
        <w:pStyle w:val="Heading2"/>
      </w:pPr>
      <w:r>
        <w:rPr>
          <w:rFonts w:ascii="Noto Sans" w:hAnsi="Noto Sans" w:eastAsia="Noto Sans" w:cs="Noto Sans"/>
          <w:b/>
          <w:i w:val="0"/>
          <w:sz w:val="24"/>
        </w:rPr>
        <w:t>5. Model development</w:t>
      </w:r>
    </w:p>
    <w:p>
      <w:pPr>
        <w:spacing w:before="0" w:after="80" w:line="252" w:lineRule="auto"/>
      </w:pPr>
      <w:r>
        <w:rPr>
          <w:rFonts w:ascii="Noto Sans" w:hAnsi="Noto Sans" w:eastAsia="Noto Sans" w:cs="Noto Sans"/>
          <w:b w:val="0"/>
          <w:i w:val="0"/>
          <w:sz w:val="18"/>
        </w:rPr>
        <w:t>On separate opt-in and Merchant-enabled setting, an eligibility event is created. Direct identifiers are removed, free text screened, prohibited records quarantined and approved dataset registered. Operational Merchant data remains separate. Deejai controller.</w:t>
      </w:r>
    </w:p>
    <w:p>
      <w:pPr>
        <w:pStyle w:val="Heading2"/>
      </w:pPr>
      <w:r>
        <w:rPr>
          <w:rFonts w:ascii="Noto Sans" w:hAnsi="Noto Sans" w:eastAsia="Noto Sans" w:cs="Noto Sans"/>
          <w:b/>
          <w:i w:val="0"/>
          <w:sz w:val="24"/>
        </w:rPr>
        <w:t>6. LINE</w:t>
      </w:r>
    </w:p>
    <w:p>
      <w:pPr>
        <w:spacing w:before="0" w:after="80" w:line="252" w:lineRule="auto"/>
      </w:pPr>
      <w:r>
        <w:rPr>
          <w:rFonts w:ascii="Noto Sans" w:hAnsi="Noto Sans" w:eastAsia="Noto Sans" w:cs="Noto Sans"/>
          <w:b w:val="0"/>
          <w:i w:val="0"/>
          <w:sz w:val="18"/>
        </w:rPr>
        <w:t>When active, messages pass between customer, LINE, Deejai and Merchant. LINE is external. Merchant controller; Deejai processor.</w:t>
      </w:r>
    </w:p>
    <w:p>
      <w:pPr>
        <w:pStyle w:val="Heading2"/>
      </w:pPr>
      <w:r>
        <w:rPr>
          <w:rFonts w:ascii="Noto Sans" w:hAnsi="Noto Sans" w:eastAsia="Noto Sans" w:cs="Noto Sans"/>
          <w:b/>
          <w:i w:val="0"/>
          <w:sz w:val="24"/>
        </w:rPr>
        <w:t>7. AI/Voice</w:t>
      </w:r>
    </w:p>
    <w:p>
      <w:pPr>
        <w:spacing w:before="0" w:after="80" w:line="252" w:lineRule="auto"/>
      </w:pPr>
      <w:r>
        <w:rPr>
          <w:rFonts w:ascii="Noto Sans" w:hAnsi="Noto Sans" w:eastAsia="Noto Sans" w:cs="Noto Sans"/>
          <w:b w:val="0"/>
          <w:i w:val="0"/>
          <w:sz w:val="18"/>
        </w:rPr>
        <w:t>Inactive. No data may go to AI, telephony or speech providers until approved.</w:t>
      </w:r>
    </w:p>
    <w:p>
      <w:pPr>
        <w:pStyle w:val="Heading2"/>
      </w:pPr>
      <w:r>
        <w:rPr>
          <w:rFonts w:ascii="Noto Sans" w:hAnsi="Noto Sans" w:eastAsia="Noto Sans" w:cs="Noto Sans"/>
          <w:b/>
          <w:i w:val="0"/>
          <w:sz w:val="24"/>
        </w:rPr>
        <w:t>8. Export/erasure</w:t>
      </w:r>
    </w:p>
    <w:p>
      <w:pPr>
        <w:spacing w:before="0" w:after="80" w:line="252" w:lineRule="auto"/>
      </w:pPr>
      <w:r>
        <w:rPr>
          <w:rFonts w:ascii="Noto Sans" w:hAnsi="Noto Sans" w:eastAsia="Noto Sans" w:cs="Noto Sans"/>
          <w:b w:val="0"/>
          <w:i w:val="0"/>
          <w:sz w:val="18"/>
        </w:rPr>
        <w:t>Authorised Merchant user submits a privacy job after recent re-authentication. Export link expires after seven days. Erasure removes identifying content and retains non-identifying shells, audit and legal-hold items. Physical purge of expired export encrypted row is pending.</w:t>
      </w:r>
    </w:p>
    <w:p>
      <w:r>
        <w:br w:type="page"/>
      </w:r>
    </w:p>
    <w:p>
      <w:pPr>
        <w:pStyle w:val="Heading1"/>
      </w:pPr>
      <w:r>
        <w:rPr>
          <w:rFonts w:ascii="Noto Sans" w:hAnsi="Noto Sans" w:eastAsia="Noto Sans" w:cs="Noto Sans"/>
          <w:b/>
          <w:i w:val="0"/>
          <w:sz w:val="32"/>
        </w:rPr>
        <w:t>Record of Processing Activities</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Controller activities</w:t>
      </w:r>
    </w:p>
    <w:tbl>
      <w:tblPr>
        <w:tblStyle w:val="TableGrid"/>
        <w:tblW w:type="auto" w:w="0"/>
        <w:jc w:val="center"/>
        <w:tblLayout w:type="autofit"/>
        <w:tblLook w:firstColumn="1" w:firstRow="1" w:lastColumn="0" w:lastRow="0" w:noHBand="0" w:noVBand="1" w:val="04A0"/>
      </w:tblPr>
      <w:tblGrid>
        <w:gridCol w:w="2030"/>
        <w:gridCol w:w="2030"/>
        <w:gridCol w:w="2030"/>
        <w:gridCol w:w="2030"/>
        <w:gridCol w:w="2030"/>
      </w:tblGrid>
      <w:tr>
        <w:trPr>
          <w:tblHeader w:val="true"/>
        </w:trPr>
        <w:tc>
          <w:tcPr>
            <w:tcW w:type="dxa" w:w="2030"/>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2"/>
              </w:rPr>
              <w:t>Activity</w:t>
            </w:r>
          </w:p>
        </w:tc>
        <w:tc>
          <w:tcPr>
            <w:tcW w:type="dxa" w:w="2030"/>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2"/>
              </w:rPr>
              <w:t>Subjects/data</w:t>
            </w:r>
          </w:p>
        </w:tc>
        <w:tc>
          <w:tcPr>
            <w:tcW w:type="dxa" w:w="2030"/>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2"/>
              </w:rPr>
              <w:t>Purpose/basis</w:t>
            </w:r>
          </w:p>
        </w:tc>
        <w:tc>
          <w:tcPr>
            <w:tcW w:type="dxa" w:w="2030"/>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2"/>
              </w:rPr>
              <w:t>Recipients</w:t>
            </w:r>
          </w:p>
        </w:tc>
        <w:tc>
          <w:tcPr>
            <w:tcW w:type="dxa" w:w="2030"/>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2"/>
              </w:rPr>
              <w:t>Retention</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Merchant accounts</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Owners/staff; name, email, auth, roles</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Contract; security</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Neon/AWS; email provider once approved</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Account life + closure/legal</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Billing</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Billing contacts; invoices/subscription/token</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Contract/legal obligation</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Stripe, advisers as needed</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Seven years</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Security</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Users/visitors; IP, request/device/audit</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Legitimate interests/legal duties</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Neon/AWS; GCP once deployed</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Target audit 24 months; app logs 30 days</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Deejai marketing</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Opted-in Basic customers; contact/interest/consent</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Consent</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Approved campaign systems</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Withdrawal or 24 months last engagement; suppression five years</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Partner marketing</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Opted-in Basic customers</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Consent</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None active</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Disabled</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Model development</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Opted-in conversations after direct-identifier removal</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Consent</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No external AI provider</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Quarantine 30 days; dataset 24 months; provenance seven years</w:t>
            </w:r>
          </w:p>
        </w:tc>
      </w:tr>
      <w:tr>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Rights</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Request/evidence/fulfilment</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Legal obligation</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Authorised staff</w:t>
            </w:r>
          </w:p>
        </w:tc>
        <w:tc>
          <w:tcPr>
            <w:tcW w:type="dxa" w:w="2030"/>
            <w:vAlign w:val="top"/>
            <w:tcMar>
              <w:top w:w="50" w:type="dxa"/>
              <w:start w:w="55" w:type="dxa"/>
              <w:bottom w:w="50" w:type="dxa"/>
              <w:end w:w="55" w:type="dxa"/>
            </w:tcMar>
          </w:tcPr>
          <w:p>
            <w:pPr>
              <w:spacing w:after="0" w:line="228" w:lineRule="auto"/>
            </w:pPr>
            <w:r>
              <w:rPr>
                <w:rFonts w:ascii="Noto Sans" w:hAnsi="Noto Sans" w:eastAsia="Noto Sans" w:cs="Noto Sans"/>
                <w:b w:val="0"/>
                <w:i w:val="0"/>
                <w:sz w:val="12"/>
              </w:rPr>
              <w:t>Seven years after closure/hold</w:t>
            </w:r>
          </w:p>
        </w:tc>
      </w:tr>
    </w:tbl>
    <w:p>
      <w:pPr>
        <w:spacing w:after="20"/>
      </w:pPr>
    </w:p>
    <w:p>
      <w:pPr>
        <w:pStyle w:val="Heading2"/>
      </w:pPr>
      <w:r>
        <w:rPr>
          <w:rFonts w:ascii="Noto Sans" w:hAnsi="Noto Sans" w:eastAsia="Noto Sans" w:cs="Noto Sans"/>
          <w:b/>
          <w:i w:val="0"/>
          <w:sz w:val="24"/>
        </w:rPr>
        <w:t>Processor activities</w:t>
      </w:r>
    </w:p>
    <w:tbl>
      <w:tblPr>
        <w:tblStyle w:val="TableGrid"/>
        <w:tblW w:type="auto" w:w="0"/>
        <w:jc w:val="center"/>
        <w:tblLayout w:type="autofit"/>
        <w:tblLook w:firstColumn="1" w:firstRow="1" w:lastColumn="0" w:lastRow="0" w:noHBand="0" w:noVBand="1" w:val="04A0"/>
      </w:tblPr>
      <w:tblGrid>
        <w:gridCol w:w="2537"/>
        <w:gridCol w:w="2537"/>
        <w:gridCol w:w="2537"/>
        <w:gridCol w:w="2537"/>
      </w:tblGrid>
      <w:tr>
        <w:trPr>
          <w:tblHeader w:val="true"/>
        </w:trPr>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Service</w:t>
            </w:r>
          </w:p>
        </w:tc>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Subjects</w:t>
            </w:r>
          </w:p>
        </w:tc>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Processing/location</w:t>
            </w:r>
          </w:p>
        </w:tc>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Current retention</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FlowBot</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Merchant customers/prospects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Collect, host, display, export, erase; Neon/AWS US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Transcript 30-3,650; contacts until erasure/closure</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LINE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LINE users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Relay/display through LINE/Deejai</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Plan retention</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AI Text</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Future users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Inactive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Not active</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Voice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Future callers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Inactive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Recording zero</w:t>
            </w:r>
          </w:p>
        </w:tc>
      </w:tr>
    </w:tbl>
    <w:p>
      <w:pPr>
        <w:spacing w:after="20"/>
      </w:pPr>
    </w:p>
    <w:p>
      <w:pPr>
        <w:pStyle w:val="Heading2"/>
      </w:pPr>
      <w:r>
        <w:rPr>
          <w:rFonts w:ascii="Noto Sans" w:hAnsi="Noto Sans" w:eastAsia="Noto Sans" w:cs="Noto Sans"/>
          <w:b/>
          <w:i w:val="0"/>
          <w:sz w:val="24"/>
        </w:rPr>
        <w:t>Review</w:t>
      </w:r>
    </w:p>
    <w:p>
      <w:pPr>
        <w:spacing w:before="0" w:after="80" w:line="252" w:lineRule="auto"/>
      </w:pPr>
      <w:r>
        <w:rPr>
          <w:rFonts w:ascii="Noto Sans" w:hAnsi="Noto Sans" w:eastAsia="Noto Sans" w:cs="Noto Sans"/>
          <w:b w:val="0"/>
          <w:i w:val="0"/>
          <w:sz w:val="18"/>
        </w:rPr>
        <w:t>Privacy Lead reviews quarterly and before new provider, purpose, sensitive-data use, country, channel or model dataset.</w:t>
      </w:r>
    </w:p>
    <w:p>
      <w:r>
        <w:br w:type="page"/>
      </w:r>
    </w:p>
    <w:p>
      <w:pPr>
        <w:pStyle w:val="Heading1"/>
      </w:pPr>
      <w:r>
        <w:rPr>
          <w:rFonts w:ascii="Noto Sans" w:hAnsi="Noto Sans" w:eastAsia="Noto Sans" w:cs="Noto Sans"/>
          <w:b/>
          <w:i w:val="0"/>
          <w:sz w:val="32"/>
        </w:rPr>
        <w:t>Legal Basis Matrix</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Controller bases</w:t>
      </w: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trPr>
        <w:tc>
          <w:tcPr>
            <w:tcW w:type="dxa" w:w="3383"/>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5"/>
              </w:rPr>
              <w:t>Activity</w:t>
            </w:r>
          </w:p>
        </w:tc>
        <w:tc>
          <w:tcPr>
            <w:tcW w:type="dxa" w:w="3383"/>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5"/>
              </w:rPr>
              <w:t>Proposed basis</w:t>
            </w:r>
          </w:p>
        </w:tc>
        <w:tc>
          <w:tcPr>
            <w:tcW w:type="dxa" w:w="3383"/>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5"/>
              </w:rPr>
              <w:t>Safeguards</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Account/subscription</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Contract</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Necessary to create/authenticate/provide paid service</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Billing/tax</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Contract and legal obligation</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Limited records; seven years</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Security/abuse</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Legitimate interests/legal duties</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Minimise logs, restrict access, balancing assessment</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Claims/compliance</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Legal obligation and claims</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Legal hold and restricted access</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Deejai marketing</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Consent</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Separate, unticked, withdrawable, not required</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Partner disclosure</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Consent</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Separate; named recipient; disabled default</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Model development</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Consent</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Separate; identifier removal; exclusions/governance</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Voice recording</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Consent unless separately approved basis</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Script, refusal, fixed retention</w:t>
            </w:r>
          </w:p>
        </w:tc>
      </w:tr>
    </w:tbl>
    <w:p>
      <w:pPr>
        <w:spacing w:after="20"/>
      </w:pPr>
    </w:p>
    <w:p>
      <w:pPr>
        <w:pStyle w:val="Heading2"/>
      </w:pPr>
      <w:r>
        <w:rPr>
          <w:rFonts w:ascii="Noto Sans" w:hAnsi="Noto Sans" w:eastAsia="Noto Sans" w:cs="Noto Sans"/>
          <w:b/>
          <w:i w:val="0"/>
          <w:sz w:val="24"/>
        </w:rPr>
        <w:t>Merchant basis</w:t>
      </w:r>
    </w:p>
    <w:p>
      <w:pPr>
        <w:spacing w:before="0" w:after="80" w:line="252" w:lineRule="auto"/>
      </w:pPr>
      <w:r>
        <w:rPr>
          <w:rFonts w:ascii="Noto Sans" w:hAnsi="Noto Sans" w:eastAsia="Noto Sans" w:cs="Noto Sans"/>
          <w:b w:val="0"/>
          <w:i w:val="0"/>
          <w:sz w:val="18"/>
        </w:rPr>
        <w:t>Merchant determines its basis for enquiries, leads and Merchant marketing. Deejai does not certify Merchant basis. A chat enquiry is not automatic future-marketing consent.</w:t>
      </w:r>
    </w:p>
    <w:p>
      <w:pPr>
        <w:pStyle w:val="Heading2"/>
      </w:pPr>
      <w:r>
        <w:rPr>
          <w:rFonts w:ascii="Noto Sans" w:hAnsi="Noto Sans" w:eastAsia="Noto Sans" w:cs="Noto Sans"/>
          <w:b/>
          <w:i w:val="0"/>
          <w:sz w:val="24"/>
        </w:rPr>
        <w:t>Legitimate-interest process</w:t>
      </w:r>
    </w:p>
    <w:p>
      <w:pPr>
        <w:spacing w:before="0" w:after="80" w:line="252" w:lineRule="auto"/>
      </w:pPr>
      <w:r>
        <w:rPr>
          <w:rFonts w:ascii="Noto Sans" w:hAnsi="Noto Sans" w:eastAsia="Noto Sans" w:cs="Noto Sans"/>
          <w:b w:val="0"/>
          <w:i w:val="0"/>
          <w:sz w:val="18"/>
        </w:rPr>
        <w:t>Document purpose, necessity, balancing, expectations, minimisation, opt-out and safeguards. Do not use legitimate interests as a blanket basis for partner marketing/model development at initial release.</w:t>
      </w:r>
    </w:p>
    <w:p>
      <w:pPr>
        <w:pStyle w:val="Heading2"/>
      </w:pPr>
      <w:r>
        <w:rPr>
          <w:rFonts w:ascii="Noto Sans" w:hAnsi="Noto Sans" w:eastAsia="Noto Sans" w:cs="Noto Sans"/>
          <w:b/>
          <w:i w:val="0"/>
          <w:sz w:val="24"/>
        </w:rPr>
        <w:t>Sensitive data</w:t>
      </w:r>
    </w:p>
    <w:p>
      <w:pPr>
        <w:spacing w:before="0" w:after="80" w:line="252" w:lineRule="auto"/>
      </w:pPr>
      <w:r>
        <w:rPr>
          <w:rFonts w:ascii="Noto Sans" w:hAnsi="Noto Sans" w:eastAsia="Noto Sans" w:cs="Noto Sans"/>
          <w:b w:val="0"/>
          <w:i w:val="0"/>
          <w:sz w:val="18"/>
        </w:rPr>
        <w:t>Not intentionally collected in standard plans. Separate legal condition, impact review and controls are required.</w:t>
      </w:r>
    </w:p>
    <w:p>
      <w:r>
        <w:br w:type="page"/>
      </w:r>
    </w:p>
    <w:p>
      <w:pPr>
        <w:pStyle w:val="Heading1"/>
      </w:pPr>
      <w:r>
        <w:rPr>
          <w:rFonts w:ascii="Noto Sans" w:hAnsi="Noto Sans" w:eastAsia="Noto Sans" w:cs="Noto Sans"/>
          <w:b/>
          <w:i w:val="0"/>
          <w:sz w:val="32"/>
        </w:rPr>
        <w:t>Consent Governance Specification</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Purpose identifiers</w:t>
      </w:r>
    </w:p>
    <w:p>
      <w:pPr>
        <w:spacing w:after="30"/>
        <w:ind w:left="369" w:hanging="170"/>
      </w:pPr>
      <w:r>
        <w:rPr>
          <w:rFonts w:ascii="Noto Sans" w:hAnsi="Noto Sans" w:eastAsia="Noto Sans" w:cs="Noto Sans"/>
          <w:b w:val="0"/>
          <w:i w:val="0"/>
          <w:sz w:val="17"/>
        </w:rPr>
        <w:t xml:space="preserve">• </w:t>
      </w:r>
      <w:r>
        <w:rPr>
          <w:rFonts w:ascii="Noto Sans Mono" w:hAnsi="Noto Sans Mono" w:eastAsia="Noto Sans Mono" w:cs="Noto Sans Mono"/>
          <w:b w:val="0"/>
          <w:i w:val="0"/>
          <w:color w:val="464646"/>
          <w:sz w:val="17"/>
        </w:rPr>
        <w:t>merchant_marketing</w:t>
      </w:r>
    </w:p>
    <w:p>
      <w:pPr>
        <w:spacing w:after="30"/>
        <w:ind w:left="369" w:hanging="170"/>
      </w:pPr>
      <w:r>
        <w:rPr>
          <w:rFonts w:ascii="Noto Sans" w:hAnsi="Noto Sans" w:eastAsia="Noto Sans" w:cs="Noto Sans"/>
          <w:b w:val="0"/>
          <w:i w:val="0"/>
          <w:sz w:val="17"/>
        </w:rPr>
        <w:t xml:space="preserve">• </w:t>
      </w:r>
      <w:r>
        <w:rPr>
          <w:rFonts w:ascii="Noto Sans Mono" w:hAnsi="Noto Sans Mono" w:eastAsia="Noto Sans Mono" w:cs="Noto Sans Mono"/>
          <w:b w:val="0"/>
          <w:i w:val="0"/>
          <w:color w:val="464646"/>
          <w:sz w:val="17"/>
        </w:rPr>
        <w:t>deejai_marketing</w:t>
      </w:r>
    </w:p>
    <w:p>
      <w:pPr>
        <w:spacing w:after="30"/>
        <w:ind w:left="369" w:hanging="170"/>
      </w:pPr>
      <w:r>
        <w:rPr>
          <w:rFonts w:ascii="Noto Sans" w:hAnsi="Noto Sans" w:eastAsia="Noto Sans" w:cs="Noto Sans"/>
          <w:b w:val="0"/>
          <w:i w:val="0"/>
          <w:sz w:val="17"/>
        </w:rPr>
        <w:t xml:space="preserve">• </w:t>
      </w:r>
      <w:r>
        <w:rPr>
          <w:rFonts w:ascii="Noto Sans Mono" w:hAnsi="Noto Sans Mono" w:eastAsia="Noto Sans Mono" w:cs="Noto Sans Mono"/>
          <w:b w:val="0"/>
          <w:i w:val="0"/>
          <w:color w:val="464646"/>
          <w:sz w:val="17"/>
        </w:rPr>
        <w:t>partner_marketing:&lt;partner_id&gt;</w:t>
      </w:r>
    </w:p>
    <w:p>
      <w:pPr>
        <w:spacing w:after="30"/>
        <w:ind w:left="369" w:hanging="170"/>
      </w:pPr>
      <w:r>
        <w:rPr>
          <w:rFonts w:ascii="Noto Sans" w:hAnsi="Noto Sans" w:eastAsia="Noto Sans" w:cs="Noto Sans"/>
          <w:b w:val="0"/>
          <w:i w:val="0"/>
          <w:sz w:val="17"/>
        </w:rPr>
        <w:t xml:space="preserve">• </w:t>
      </w:r>
      <w:r>
        <w:rPr>
          <w:rFonts w:ascii="Noto Sans Mono" w:hAnsi="Noto Sans Mono" w:eastAsia="Noto Sans Mono" w:cs="Noto Sans Mono"/>
          <w:b w:val="0"/>
          <w:i w:val="0"/>
          <w:color w:val="464646"/>
          <w:sz w:val="17"/>
        </w:rPr>
        <w:t>model_development</w:t>
      </w:r>
    </w:p>
    <w:p>
      <w:pPr>
        <w:spacing w:after="30"/>
        <w:ind w:left="369" w:hanging="170"/>
      </w:pPr>
      <w:r>
        <w:rPr>
          <w:rFonts w:ascii="Noto Sans" w:hAnsi="Noto Sans" w:eastAsia="Noto Sans" w:cs="Noto Sans"/>
          <w:b w:val="0"/>
          <w:i w:val="0"/>
          <w:sz w:val="17"/>
        </w:rPr>
        <w:t xml:space="preserve">• </w:t>
      </w:r>
      <w:r>
        <w:rPr>
          <w:rFonts w:ascii="Noto Sans Mono" w:hAnsi="Noto Sans Mono" w:eastAsia="Noto Sans Mono" w:cs="Noto Sans Mono"/>
          <w:b w:val="0"/>
          <w:i w:val="0"/>
          <w:color w:val="464646"/>
          <w:sz w:val="17"/>
        </w:rPr>
        <w:t>voice_recording</w:t>
      </w:r>
    </w:p>
    <w:p>
      <w:pPr>
        <w:spacing w:after="30"/>
        <w:ind w:left="369" w:hanging="170"/>
      </w:pPr>
      <w:r>
        <w:rPr>
          <w:rFonts w:ascii="Noto Sans" w:hAnsi="Noto Sans" w:eastAsia="Noto Sans" w:cs="Noto Sans"/>
          <w:b w:val="0"/>
          <w:i w:val="0"/>
          <w:sz w:val="17"/>
        </w:rPr>
        <w:t xml:space="preserve">• </w:t>
      </w:r>
      <w:r>
        <w:rPr>
          <w:rFonts w:ascii="Noto Sans Mono" w:hAnsi="Noto Sans Mono" w:eastAsia="Noto Sans Mono" w:cs="Noto Sans Mono"/>
          <w:b w:val="0"/>
          <w:i w:val="0"/>
          <w:color w:val="464646"/>
          <w:sz w:val="17"/>
        </w:rPr>
        <w:t>voice_marketing_call</w:t>
      </w:r>
    </w:p>
    <w:p>
      <w:pPr>
        <w:pStyle w:val="Heading2"/>
      </w:pPr>
      <w:r>
        <w:rPr>
          <w:rFonts w:ascii="Noto Sans" w:hAnsi="Noto Sans" w:eastAsia="Noto Sans" w:cs="Noto Sans"/>
          <w:b/>
          <w:i w:val="0"/>
          <w:sz w:val="24"/>
        </w:rPr>
        <w:t>2. Evidence fields</w:t>
      </w:r>
    </w:p>
    <w:p>
      <w:pPr>
        <w:spacing w:before="0" w:after="80" w:line="252" w:lineRule="auto"/>
      </w:pPr>
      <w:r>
        <w:rPr>
          <w:rFonts w:ascii="Noto Sans" w:hAnsi="Noto Sans" w:eastAsia="Noto Sans" w:cs="Noto Sans"/>
          <w:b w:val="0"/>
          <w:i w:val="0"/>
          <w:sz w:val="18"/>
        </w:rPr>
        <w:t>Data-subject/pseudonymous identifier; Merchant tenant/deployment; purpose; status; exact text version; notice version; timestamp; source; locale; proportionate IP/device evidence; channels; partner ID; withdrawal time/source.</w:t>
      </w:r>
    </w:p>
    <w:p>
      <w:pPr>
        <w:pStyle w:val="Heading2"/>
      </w:pPr>
      <w:r>
        <w:rPr>
          <w:rFonts w:ascii="Noto Sans" w:hAnsi="Noto Sans" w:eastAsia="Noto Sans" w:cs="Noto Sans"/>
          <w:b/>
          <w:i w:val="0"/>
          <w:sz w:val="24"/>
        </w:rPr>
        <w:t>3. Interface rules</w:t>
      </w:r>
    </w:p>
    <w:p>
      <w:pPr>
        <w:spacing w:before="0" w:after="80" w:line="252" w:lineRule="auto"/>
      </w:pPr>
      <w:r>
        <w:rPr>
          <w:rFonts w:ascii="Noto Sans" w:hAnsi="Noto Sans" w:eastAsia="Noto Sans" w:cs="Noto Sans"/>
          <w:b w:val="0"/>
          <w:i w:val="0"/>
          <w:sz w:val="18"/>
        </w:rPr>
        <w:t>Unticked, separate, plain/specific, no dark patterns/bundling, refusal does not block core chat, detailed-notice link beside control.</w:t>
      </w:r>
    </w:p>
    <w:p>
      <w:pPr>
        <w:pStyle w:val="Heading2"/>
      </w:pPr>
      <w:r>
        <w:rPr>
          <w:rFonts w:ascii="Noto Sans" w:hAnsi="Noto Sans" w:eastAsia="Noto Sans" w:cs="Noto Sans"/>
          <w:b/>
          <w:i w:val="0"/>
          <w:sz w:val="24"/>
        </w:rPr>
        <w:t>4. Withdrawal</w:t>
      </w:r>
    </w:p>
    <w:p>
      <w:pPr>
        <w:spacing w:before="0" w:after="80" w:line="252" w:lineRule="auto"/>
      </w:pPr>
      <w:r>
        <w:rPr>
          <w:rFonts w:ascii="Noto Sans" w:hAnsi="Noto Sans" w:eastAsia="Noto Sans" w:cs="Noto Sans"/>
          <w:b w:val="0"/>
          <w:i w:val="0"/>
          <w:sz w:val="18"/>
        </w:rPr>
        <w:t>At least as easy as consent. Automated withdrawal immediately affects future campaigns/dataset eligibility. Partner withdrawals propagate without undue delay. Suppression prevents re-import.</w:t>
      </w:r>
    </w:p>
    <w:p>
      <w:pPr>
        <w:pStyle w:val="Heading2"/>
      </w:pPr>
      <w:r>
        <w:rPr>
          <w:rFonts w:ascii="Noto Sans" w:hAnsi="Noto Sans" w:eastAsia="Noto Sans" w:cs="Noto Sans"/>
          <w:b/>
          <w:i w:val="0"/>
          <w:sz w:val="24"/>
        </w:rPr>
        <w:t>5. Versioning</w:t>
      </w:r>
    </w:p>
    <w:p>
      <w:pPr>
        <w:spacing w:before="0" w:after="80" w:line="252" w:lineRule="auto"/>
      </w:pPr>
      <w:r>
        <w:rPr>
          <w:rFonts w:ascii="Noto Sans" w:hAnsi="Noto Sans" w:eastAsia="Noto Sans" w:cs="Noto Sans"/>
          <w:b w:val="0"/>
          <w:i w:val="0"/>
          <w:sz w:val="18"/>
        </w:rPr>
        <w:t>Material purpose, partner, channel, data-category or retention change requires new consent where prior wording is insufficient. Historical text/evidence is immutable.</w:t>
      </w:r>
    </w:p>
    <w:p>
      <w:pPr>
        <w:pStyle w:val="Heading2"/>
      </w:pPr>
      <w:r>
        <w:rPr>
          <w:rFonts w:ascii="Noto Sans" w:hAnsi="Noto Sans" w:eastAsia="Noto Sans" w:cs="Noto Sans"/>
          <w:b/>
          <w:i w:val="0"/>
          <w:sz w:val="24"/>
        </w:rPr>
        <w:t>6. Model eligibility</w:t>
      </w:r>
    </w:p>
    <w:p>
      <w:pPr>
        <w:spacing w:before="0" w:after="80" w:line="252" w:lineRule="auto"/>
      </w:pPr>
      <w:r>
        <w:rPr>
          <w:rFonts w:ascii="Noto Sans" w:hAnsi="Noto Sans" w:eastAsia="Noto Sans" w:cs="Noto Sans"/>
          <w:b w:val="0"/>
          <w:i w:val="0"/>
          <w:sz w:val="18"/>
        </w:rPr>
        <w:t>Requires active consent, Merchant setting enabled, no sensitive/child flag, successful identifier removal, free-text screening, dataset policy version and no withdrawal before dataset freeze.</w:t>
      </w:r>
    </w:p>
    <w:p>
      <w:pPr>
        <w:pStyle w:val="Heading2"/>
      </w:pPr>
      <w:r>
        <w:rPr>
          <w:rFonts w:ascii="Noto Sans" w:hAnsi="Noto Sans" w:eastAsia="Noto Sans" w:cs="Noto Sans"/>
          <w:b/>
          <w:i w:val="0"/>
          <w:sz w:val="24"/>
        </w:rPr>
        <w:t>7. Audit</w:t>
      </w:r>
    </w:p>
    <w:p>
      <w:pPr>
        <w:spacing w:before="0" w:after="80" w:line="252" w:lineRule="auto"/>
      </w:pPr>
      <w:r>
        <w:rPr>
          <w:rFonts w:ascii="Noto Sans" w:hAnsi="Noto Sans" w:eastAsia="Noto Sans" w:cs="Noto Sans"/>
          <w:b w:val="0"/>
          <w:i w:val="0"/>
          <w:sz w:val="18"/>
        </w:rPr>
        <w:t>Quarterly review of conversion, withdrawal latency, partner propagation, suppressed re-entry and dataset eligibility.</w:t>
      </w:r>
    </w:p>
    <w:p>
      <w:r>
        <w:br w:type="page"/>
      </w:r>
    </w:p>
    <w:p>
      <w:pPr>
        <w:pStyle w:val="Heading1"/>
      </w:pPr>
      <w:r>
        <w:rPr>
          <w:rFonts w:ascii="Noto Sans" w:hAnsi="Noto Sans" w:eastAsia="Noto Sans" w:cs="Noto Sans"/>
          <w:b/>
          <w:i w:val="0"/>
          <w:sz w:val="32"/>
        </w:rPr>
        <w:t>Marketing Suppression Policy</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Central suppression</w:t>
      </w:r>
    </w:p>
    <w:p>
      <w:pPr>
        <w:spacing w:before="0" w:after="80" w:line="252" w:lineRule="auto"/>
      </w:pPr>
      <w:r>
        <w:rPr>
          <w:rFonts w:ascii="Noto Sans" w:hAnsi="Noto Sans" w:eastAsia="Noto Sans" w:cs="Noto Sans"/>
          <w:b w:val="0"/>
          <w:i w:val="0"/>
          <w:sz w:val="18"/>
        </w:rPr>
        <w:t>Maintain suppression by purpose/channel. Deejai withdrawal stops Deejai marketing but not automatically Merchant marketing.</w:t>
      </w:r>
    </w:p>
    <w:p>
      <w:pPr>
        <w:pStyle w:val="Heading2"/>
      </w:pPr>
      <w:r>
        <w:rPr>
          <w:rFonts w:ascii="Noto Sans" w:hAnsi="Noto Sans" w:eastAsia="Noto Sans" w:cs="Noto Sans"/>
          <w:b/>
          <w:i w:val="0"/>
          <w:sz w:val="24"/>
        </w:rPr>
        <w:t>2. Minimal record</w:t>
      </w:r>
    </w:p>
    <w:p>
      <w:pPr>
        <w:spacing w:before="0" w:after="80" w:line="252" w:lineRule="auto"/>
      </w:pPr>
      <w:r>
        <w:rPr>
          <w:rFonts w:ascii="Noto Sans" w:hAnsi="Noto Sans" w:eastAsia="Noto Sans" w:cs="Noto Sans"/>
          <w:b w:val="0"/>
          <w:i w:val="0"/>
          <w:sz w:val="18"/>
        </w:rPr>
        <w:t>Hashed/normalised identifier, purpose, channel, withdrawal date, source and evidence reference. Retain five years after last attempted use unless law/claim requires longer.</w:t>
      </w:r>
    </w:p>
    <w:p>
      <w:pPr>
        <w:pStyle w:val="Heading2"/>
      </w:pPr>
      <w:r>
        <w:rPr>
          <w:rFonts w:ascii="Noto Sans" w:hAnsi="Noto Sans" w:eastAsia="Noto Sans" w:cs="Noto Sans"/>
          <w:b/>
          <w:i w:val="0"/>
          <w:sz w:val="24"/>
        </w:rPr>
        <w:t>3. Timing</w:t>
      </w:r>
    </w:p>
    <w:p>
      <w:pPr>
        <w:spacing w:before="0" w:after="80" w:line="252" w:lineRule="auto"/>
      </w:pPr>
      <w:r>
        <w:rPr>
          <w:rFonts w:ascii="Noto Sans" w:hAnsi="Noto Sans" w:eastAsia="Noto Sans" w:cs="Noto Sans"/>
          <w:b w:val="0"/>
          <w:i w:val="0"/>
          <w:sz w:val="18"/>
        </w:rPr>
        <w:t>Electronic unsubscribe/preference applies immediately to future selection. Manual requests entered without undue delay. Campaigns refresh suppression before send.</w:t>
      </w:r>
    </w:p>
    <w:p>
      <w:pPr>
        <w:pStyle w:val="Heading2"/>
      </w:pPr>
      <w:r>
        <w:rPr>
          <w:rFonts w:ascii="Noto Sans" w:hAnsi="Noto Sans" w:eastAsia="Noto Sans" w:cs="Noto Sans"/>
          <w:b/>
          <w:i w:val="0"/>
          <w:sz w:val="24"/>
        </w:rPr>
        <w:t>4. Partner propagation</w:t>
      </w:r>
    </w:p>
    <w:p>
      <w:pPr>
        <w:spacing w:before="0" w:after="80" w:line="252" w:lineRule="auto"/>
      </w:pPr>
      <w:r>
        <w:rPr>
          <w:rFonts w:ascii="Noto Sans" w:hAnsi="Noto Sans" w:eastAsia="Noto Sans" w:cs="Noto Sans"/>
          <w:b w:val="0"/>
          <w:i w:val="0"/>
          <w:sz w:val="18"/>
        </w:rPr>
        <w:t>Send signed suppression instruction to each relevant partner and record confirmation. Partner must stop contact and report direct withdrawals.</w:t>
      </w:r>
    </w:p>
    <w:p>
      <w:pPr>
        <w:pStyle w:val="Heading2"/>
      </w:pPr>
      <w:r>
        <w:rPr>
          <w:rFonts w:ascii="Noto Sans" w:hAnsi="Noto Sans" w:eastAsia="Noto Sans" w:cs="Noto Sans"/>
          <w:b/>
          <w:i w:val="0"/>
          <w:sz w:val="24"/>
        </w:rPr>
        <w:t>5. Re-consent</w:t>
      </w:r>
    </w:p>
    <w:p>
      <w:pPr>
        <w:spacing w:before="0" w:after="80" w:line="252" w:lineRule="auto"/>
      </w:pPr>
      <w:r>
        <w:rPr>
          <w:rFonts w:ascii="Noto Sans" w:hAnsi="Noto Sans" w:eastAsia="Noto Sans" w:cs="Noto Sans"/>
          <w:b w:val="0"/>
          <w:i w:val="0"/>
          <w:sz w:val="18"/>
        </w:rPr>
        <w:t>Only a new affirmative action using current text can override suppression. Old list import cannot.</w:t>
      </w:r>
    </w:p>
    <w:p>
      <w:pPr>
        <w:pStyle w:val="Heading2"/>
      </w:pPr>
      <w:r>
        <w:rPr>
          <w:rFonts w:ascii="Noto Sans" w:hAnsi="Noto Sans" w:eastAsia="Noto Sans" w:cs="Noto Sans"/>
          <w:b/>
          <w:i w:val="0"/>
          <w:sz w:val="24"/>
        </w:rPr>
        <w:t>6. Monitoring</w:t>
      </w:r>
    </w:p>
    <w:p>
      <w:pPr>
        <w:spacing w:before="0" w:after="80" w:line="252" w:lineRule="auto"/>
      </w:pPr>
      <w:r>
        <w:rPr>
          <w:rFonts w:ascii="Noto Sans" w:hAnsi="Noto Sans" w:eastAsia="Noto Sans" w:cs="Noto Sans"/>
          <w:b w:val="0"/>
          <w:i w:val="0"/>
          <w:sz w:val="18"/>
        </w:rPr>
        <w:t>Quarterly tests of campaign exclusion, partner propagation, channel coverage and re-import. Failure is a privacy incident.</w:t>
      </w:r>
    </w:p>
    <w:p>
      <w:r>
        <w:br w:type="page"/>
      </w:r>
    </w:p>
    <w:p>
      <w:pPr>
        <w:pStyle w:val="Heading1"/>
      </w:pPr>
      <w:r>
        <w:rPr>
          <w:rFonts w:ascii="Noto Sans" w:hAnsi="Noto Sans" w:eastAsia="Noto Sans" w:cs="Noto Sans"/>
          <w:b/>
          <w:i w:val="0"/>
          <w:sz w:val="32"/>
        </w:rPr>
        <w:t>Model Development Governance Policy</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Principles</w:t>
      </w:r>
    </w:p>
    <w:p>
      <w:pPr>
        <w:spacing w:before="0" w:after="80" w:line="252" w:lineRule="auto"/>
      </w:pPr>
      <w:r>
        <w:rPr>
          <w:rFonts w:ascii="Noto Sans" w:hAnsi="Noto Sans" w:eastAsia="Noto Sans" w:cs="Noto Sans"/>
          <w:b w:val="0"/>
          <w:i w:val="0"/>
          <w:sz w:val="18"/>
        </w:rPr>
        <w:t>Lawful, purpose-limited, minimised, secure, traceable and separated from Merchant processor data. Do not label anonymous absent documented non-identifiability.</w:t>
      </w:r>
    </w:p>
    <w:p>
      <w:pPr>
        <w:pStyle w:val="Heading2"/>
      </w:pPr>
      <w:r>
        <w:rPr>
          <w:rFonts w:ascii="Noto Sans" w:hAnsi="Noto Sans" w:eastAsia="Noto Sans" w:cs="Noto Sans"/>
          <w:b/>
          <w:i w:val="0"/>
          <w:sz w:val="24"/>
        </w:rPr>
        <w:t>2. Admission</w:t>
      </w:r>
    </w:p>
    <w:p>
      <w:pPr>
        <w:spacing w:before="0" w:after="80" w:line="252" w:lineRule="auto"/>
      </w:pPr>
      <w:r>
        <w:rPr>
          <w:rFonts w:ascii="Noto Sans" w:hAnsi="Noto Sans" w:eastAsia="Noto Sans" w:cs="Noto Sans"/>
          <w:b w:val="0"/>
          <w:i w:val="0"/>
          <w:sz w:val="18"/>
        </w:rPr>
        <w:t>Active consent; Merchant not disabled; direct identifiers removed; free text passes screening; no child/sensitive flag; approved purpose/retention; provenance and versions recorded.</w:t>
      </w:r>
    </w:p>
    <w:p>
      <w:pPr>
        <w:pStyle w:val="Heading2"/>
      </w:pPr>
      <w:r>
        <w:rPr>
          <w:rFonts w:ascii="Noto Sans" w:hAnsi="Noto Sans" w:eastAsia="Noto Sans" w:cs="Noto Sans"/>
          <w:b/>
          <w:i w:val="0"/>
          <w:sz w:val="24"/>
        </w:rPr>
        <w:t>3. Removal</w:t>
      </w:r>
    </w:p>
    <w:p>
      <w:pPr>
        <w:spacing w:before="0" w:after="80" w:line="252" w:lineRule="auto"/>
      </w:pPr>
      <w:r>
        <w:rPr>
          <w:rFonts w:ascii="Noto Sans" w:hAnsi="Noto Sans" w:eastAsia="Noto Sans" w:cs="Noto Sans"/>
          <w:b w:val="0"/>
          <w:i w:val="0"/>
          <w:sz w:val="18"/>
        </w:rPr>
        <w:t>Remove names, emails, phones, channel/account IDs, session tokens, addresses, order/reference numbers and other direct identifiers. Generalise exact time/location if unnecessary.</w:t>
      </w:r>
    </w:p>
    <w:p>
      <w:pPr>
        <w:pStyle w:val="Heading2"/>
      </w:pPr>
      <w:r>
        <w:rPr>
          <w:rFonts w:ascii="Noto Sans" w:hAnsi="Noto Sans" w:eastAsia="Noto Sans" w:cs="Noto Sans"/>
          <w:b/>
          <w:i w:val="0"/>
          <w:sz w:val="24"/>
        </w:rPr>
        <w:t>4. Screening/quarantine</w:t>
      </w:r>
    </w:p>
    <w:p>
      <w:pPr>
        <w:spacing w:before="0" w:after="80" w:line="252" w:lineRule="auto"/>
      </w:pPr>
      <w:r>
        <w:rPr>
          <w:rFonts w:ascii="Noto Sans" w:hAnsi="Noto Sans" w:eastAsia="Noto Sans" w:cs="Noto Sans"/>
          <w:b w:val="0"/>
          <w:i w:val="0"/>
          <w:sz w:val="18"/>
        </w:rPr>
        <w:t>Automated screening for identifiers, sensitive data, credentials, medical/financial account data, child indicators and unusual context. Failed records are restricted for max 30 days, then deleted or remediated.</w:t>
      </w:r>
    </w:p>
    <w:p>
      <w:pPr>
        <w:pStyle w:val="Heading2"/>
      </w:pPr>
      <w:r>
        <w:rPr>
          <w:rFonts w:ascii="Noto Sans" w:hAnsi="Noto Sans" w:eastAsia="Noto Sans" w:cs="Noto Sans"/>
          <w:b/>
          <w:i w:val="0"/>
          <w:sz w:val="24"/>
        </w:rPr>
        <w:t>5. Human review</w:t>
      </w:r>
    </w:p>
    <w:p>
      <w:pPr>
        <w:spacing w:before="0" w:after="80" w:line="252" w:lineRule="auto"/>
      </w:pPr>
      <w:r>
        <w:rPr>
          <w:rFonts w:ascii="Noto Sans" w:hAnsi="Noto Sans" w:eastAsia="Noto Sans" w:cs="Noto Sans"/>
          <w:b w:val="0"/>
          <w:i w:val="0"/>
          <w:sz w:val="18"/>
        </w:rPr>
        <w:t>Authorised, trained, confidential, logged and prohibited from re-identification. Review tools hide operational links.</w:t>
      </w:r>
    </w:p>
    <w:p>
      <w:pPr>
        <w:pStyle w:val="Heading2"/>
      </w:pPr>
      <w:r>
        <w:rPr>
          <w:rFonts w:ascii="Noto Sans" w:hAnsi="Noto Sans" w:eastAsia="Noto Sans" w:cs="Noto Sans"/>
          <w:b/>
          <w:i w:val="0"/>
          <w:sz w:val="24"/>
        </w:rPr>
        <w:t>6. Dataset approval</w:t>
      </w:r>
    </w:p>
    <w:p>
      <w:pPr>
        <w:spacing w:before="0" w:after="80" w:line="252" w:lineRule="auto"/>
      </w:pPr>
      <w:r>
        <w:rPr>
          <w:rFonts w:ascii="Noto Sans" w:hAnsi="Noto Sans" w:eastAsia="Noto Sans" w:cs="Noto Sans"/>
          <w:b w:val="0"/>
          <w:i w:val="0"/>
          <w:sz w:val="18"/>
        </w:rPr>
        <w:t>Every dataset has owner, purpose, source period, consent rule, screening version, retention, region, approved users and model list. Privacy Lead and technical owner approve before training.</w:t>
      </w:r>
    </w:p>
    <w:p>
      <w:pPr>
        <w:pStyle w:val="Heading2"/>
      </w:pPr>
      <w:r>
        <w:rPr>
          <w:rFonts w:ascii="Noto Sans" w:hAnsi="Noto Sans" w:eastAsia="Noto Sans" w:cs="Noto Sans"/>
          <w:b/>
          <w:i w:val="0"/>
          <w:sz w:val="24"/>
        </w:rPr>
        <w:t>7. Providers</w:t>
      </w:r>
    </w:p>
    <w:p>
      <w:pPr>
        <w:spacing w:before="0" w:after="80" w:line="252" w:lineRule="auto"/>
      </w:pPr>
      <w:r>
        <w:rPr>
          <w:rFonts w:ascii="Noto Sans" w:hAnsi="Noto Sans" w:eastAsia="Noto Sans" w:cs="Noto Sans"/>
          <w:b w:val="0"/>
          <w:i w:val="0"/>
          <w:sz w:val="18"/>
        </w:rPr>
        <w:t>No external provider until due diligence, DPA, region, retention, provider-training setting and transfer assessment are approved/disclosed.</w:t>
      </w:r>
    </w:p>
    <w:p>
      <w:pPr>
        <w:pStyle w:val="Heading2"/>
      </w:pPr>
      <w:r>
        <w:rPr>
          <w:rFonts w:ascii="Noto Sans" w:hAnsi="Noto Sans" w:eastAsia="Noto Sans" w:cs="Noto Sans"/>
          <w:b/>
          <w:i w:val="0"/>
          <w:sz w:val="24"/>
        </w:rPr>
        <w:t>8. Withdrawal/deletion</w:t>
      </w:r>
    </w:p>
    <w:p>
      <w:pPr>
        <w:spacing w:before="0" w:after="80" w:line="252" w:lineRule="auto"/>
      </w:pPr>
      <w:r>
        <w:rPr>
          <w:rFonts w:ascii="Noto Sans" w:hAnsi="Noto Sans" w:eastAsia="Noto Sans" w:cs="Noto Sans"/>
          <w:b w:val="0"/>
          <w:i w:val="0"/>
          <w:sz w:val="18"/>
        </w:rPr>
        <w:t>Remove active dataset records where reasonably possible. Snapshots/backups expire. Completed model influence may be irreversible and is disclosed.</w:t>
      </w:r>
    </w:p>
    <w:p>
      <w:pPr>
        <w:pStyle w:val="Heading2"/>
      </w:pPr>
      <w:r>
        <w:rPr>
          <w:rFonts w:ascii="Noto Sans" w:hAnsi="Noto Sans" w:eastAsia="Noto Sans" w:cs="Noto Sans"/>
          <w:b/>
          <w:i w:val="0"/>
          <w:sz w:val="24"/>
        </w:rPr>
        <w:t>9. Evaluation/release</w:t>
      </w:r>
    </w:p>
    <w:p>
      <w:pPr>
        <w:spacing w:before="0" w:after="80" w:line="252" w:lineRule="auto"/>
      </w:pPr>
      <w:r>
        <w:rPr>
          <w:rFonts w:ascii="Noto Sans" w:hAnsi="Noto Sans" w:eastAsia="Noto Sans" w:cs="Noto Sans"/>
          <w:b w:val="0"/>
          <w:i w:val="0"/>
          <w:sz w:val="18"/>
        </w:rPr>
        <w:t>Test leakage, memorisation, unsafe output, bias, injection and extraction. Material failures block release.</w:t>
      </w:r>
    </w:p>
    <w:p>
      <w:pPr>
        <w:pStyle w:val="Heading2"/>
      </w:pPr>
      <w:r>
        <w:rPr>
          <w:rFonts w:ascii="Noto Sans" w:hAnsi="Noto Sans" w:eastAsia="Noto Sans" w:cs="Noto Sans"/>
          <w:b/>
          <w:i w:val="0"/>
          <w:sz w:val="24"/>
        </w:rPr>
        <w:t>10. Incidents</w:t>
      </w:r>
    </w:p>
    <w:p>
      <w:pPr>
        <w:spacing w:before="0" w:after="80" w:line="252" w:lineRule="auto"/>
      </w:pPr>
      <w:r>
        <w:rPr>
          <w:rFonts w:ascii="Noto Sans" w:hAnsi="Noto Sans" w:eastAsia="Noto Sans" w:cs="Noto Sans"/>
          <w:b w:val="0"/>
          <w:i w:val="0"/>
          <w:sz w:val="18"/>
        </w:rPr>
        <w:t>Leakage/memorisation is a security incident; quarantine model/dataset and assess notifications.</w:t>
      </w:r>
    </w:p>
    <w:p>
      <w:r>
        <w:br w:type="page"/>
      </w:r>
    </w:p>
    <w:p>
      <w:pPr>
        <w:pStyle w:val="Heading1"/>
      </w:pPr>
      <w:r>
        <w:rPr>
          <w:rFonts w:ascii="Noto Sans" w:hAnsi="Noto Sans" w:eastAsia="Noto Sans" w:cs="Noto Sans"/>
          <w:b/>
          <w:i w:val="0"/>
          <w:sz w:val="32"/>
        </w:rPr>
        <w:t>Model Dataset Register</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Current status</w:t>
      </w:r>
    </w:p>
    <w:p>
      <w:pPr>
        <w:spacing w:before="0" w:after="80" w:line="252" w:lineRule="auto"/>
      </w:pPr>
      <w:r>
        <w:rPr>
          <w:rFonts w:ascii="Noto Sans" w:hAnsi="Noto Sans" w:eastAsia="Noto Sans" w:cs="Noto Sans"/>
          <w:b w:val="0"/>
          <w:i w:val="0"/>
          <w:sz w:val="18"/>
        </w:rPr>
        <w:t>No production end-customer conversation dataset is approved as of 27 July 2026.</w:t>
      </w:r>
    </w:p>
    <w:p>
      <w:pPr>
        <w:pStyle w:val="Heading2"/>
      </w:pPr>
      <w:r>
        <w:rPr>
          <w:rFonts w:ascii="Noto Sans" w:hAnsi="Noto Sans" w:eastAsia="Noto Sans" w:cs="Noto Sans"/>
          <w:b/>
          <w:i w:val="0"/>
          <w:sz w:val="24"/>
        </w:rPr>
        <w:t>2. Required fields</w:t>
      </w:r>
    </w:p>
    <w:p>
      <w:pPr>
        <w:spacing w:before="0" w:after="80" w:line="252" w:lineRule="auto"/>
      </w:pPr>
      <w:r>
        <w:rPr>
          <w:rFonts w:ascii="Noto Sans" w:hAnsi="Noto Sans" w:eastAsia="Noto Sans" w:cs="Noto Sans"/>
          <w:b w:val="0"/>
          <w:i w:val="0"/>
          <w:sz w:val="18"/>
        </w:rPr>
        <w:t>Dataset ID/name; business/technical owner; purpose; source products/Merchants; period; record count; consent/notice versions; identifier-removal method/version; screening version; exclusions; human review; region/providers; approved users; creation/freeze/deletion dates; models used; withdrawal/deletion events; approval reference.</w:t>
      </w:r>
    </w:p>
    <w:p>
      <w:pPr>
        <w:pStyle w:val="Heading2"/>
      </w:pPr>
      <w:r>
        <w:rPr>
          <w:rFonts w:ascii="Noto Sans" w:hAnsi="Noto Sans" w:eastAsia="Noto Sans" w:cs="Noto Sans"/>
          <w:b/>
          <w:i w:val="0"/>
          <w:sz w:val="24"/>
        </w:rPr>
        <w:t>3. Status values</w:t>
      </w:r>
    </w:p>
    <w:p>
      <w:pPr>
        <w:spacing w:before="0" w:after="80" w:line="252" w:lineRule="auto"/>
      </w:pPr>
      <w:r>
        <w:rPr>
          <w:rFonts w:ascii="Noto Sans Mono" w:hAnsi="Noto Sans Mono" w:eastAsia="Noto Sans Mono" w:cs="Noto Sans Mono"/>
          <w:b w:val="0"/>
          <w:i w:val="0"/>
          <w:color w:val="464646"/>
          <w:sz w:val="18"/>
        </w:rPr>
        <w:t>proposed</w:t>
      </w:r>
      <w:r>
        <w:rPr>
          <w:rFonts w:ascii="Noto Sans" w:hAnsi="Noto Sans" w:eastAsia="Noto Sans" w:cs="Noto Sans"/>
          <w:b w:val="0"/>
          <w:i w:val="0"/>
          <w:sz w:val="18"/>
        </w:rPr>
        <w:t xml:space="preserve">, </w:t>
      </w:r>
      <w:r>
        <w:rPr>
          <w:rFonts w:ascii="Noto Sans Mono" w:hAnsi="Noto Sans Mono" w:eastAsia="Noto Sans Mono" w:cs="Noto Sans Mono"/>
          <w:b w:val="0"/>
          <w:i w:val="0"/>
          <w:color w:val="464646"/>
          <w:sz w:val="18"/>
        </w:rPr>
        <w:t>quarantine</w:t>
      </w:r>
      <w:r>
        <w:rPr>
          <w:rFonts w:ascii="Noto Sans" w:hAnsi="Noto Sans" w:eastAsia="Noto Sans" w:cs="Noto Sans"/>
          <w:b w:val="0"/>
          <w:i w:val="0"/>
          <w:sz w:val="18"/>
        </w:rPr>
        <w:t xml:space="preserve">, </w:t>
      </w:r>
      <w:r>
        <w:rPr>
          <w:rFonts w:ascii="Noto Sans Mono" w:hAnsi="Noto Sans Mono" w:eastAsia="Noto Sans Mono" w:cs="Noto Sans Mono"/>
          <w:b w:val="0"/>
          <w:i w:val="0"/>
          <w:color w:val="464646"/>
          <w:sz w:val="18"/>
        </w:rPr>
        <w:t>approved</w:t>
      </w:r>
      <w:r>
        <w:rPr>
          <w:rFonts w:ascii="Noto Sans" w:hAnsi="Noto Sans" w:eastAsia="Noto Sans" w:cs="Noto Sans"/>
          <w:b w:val="0"/>
          <w:i w:val="0"/>
          <w:sz w:val="18"/>
        </w:rPr>
        <w:t xml:space="preserve">, </w:t>
      </w:r>
      <w:r>
        <w:rPr>
          <w:rFonts w:ascii="Noto Sans Mono" w:hAnsi="Noto Sans Mono" w:eastAsia="Noto Sans Mono" w:cs="Noto Sans Mono"/>
          <w:b w:val="0"/>
          <w:i w:val="0"/>
          <w:color w:val="464646"/>
          <w:sz w:val="18"/>
        </w:rPr>
        <w:t>frozen</w:t>
      </w:r>
      <w:r>
        <w:rPr>
          <w:rFonts w:ascii="Noto Sans" w:hAnsi="Noto Sans" w:eastAsia="Noto Sans" w:cs="Noto Sans"/>
          <w:b w:val="0"/>
          <w:i w:val="0"/>
          <w:sz w:val="18"/>
        </w:rPr>
        <w:t xml:space="preserve">, </w:t>
      </w:r>
      <w:r>
        <w:rPr>
          <w:rFonts w:ascii="Noto Sans Mono" w:hAnsi="Noto Sans Mono" w:eastAsia="Noto Sans Mono" w:cs="Noto Sans Mono"/>
          <w:b w:val="0"/>
          <w:i w:val="0"/>
          <w:color w:val="464646"/>
          <w:sz w:val="18"/>
        </w:rPr>
        <w:t>training</w:t>
      </w:r>
      <w:r>
        <w:rPr>
          <w:rFonts w:ascii="Noto Sans" w:hAnsi="Noto Sans" w:eastAsia="Noto Sans" w:cs="Noto Sans"/>
          <w:b w:val="0"/>
          <w:i w:val="0"/>
          <w:sz w:val="18"/>
        </w:rPr>
        <w:t xml:space="preserve">, </w:t>
      </w:r>
      <w:r>
        <w:rPr>
          <w:rFonts w:ascii="Noto Sans Mono" w:hAnsi="Noto Sans Mono" w:eastAsia="Noto Sans Mono" w:cs="Noto Sans Mono"/>
          <w:b w:val="0"/>
          <w:i w:val="0"/>
          <w:color w:val="464646"/>
          <w:sz w:val="18"/>
        </w:rPr>
        <w:t>retired</w:t>
      </w:r>
      <w:r>
        <w:rPr>
          <w:rFonts w:ascii="Noto Sans" w:hAnsi="Noto Sans" w:eastAsia="Noto Sans" w:cs="Noto Sans"/>
          <w:b w:val="0"/>
          <w:i w:val="0"/>
          <w:sz w:val="18"/>
        </w:rPr>
        <w:t xml:space="preserve">, </w:t>
      </w:r>
      <w:r>
        <w:rPr>
          <w:rFonts w:ascii="Noto Sans Mono" w:hAnsi="Noto Sans Mono" w:eastAsia="Noto Sans Mono" w:cs="Noto Sans Mono"/>
          <w:b w:val="0"/>
          <w:i w:val="0"/>
          <w:color w:val="464646"/>
          <w:sz w:val="18"/>
        </w:rPr>
        <w:t>deletion_pending</w:t>
      </w:r>
      <w:r>
        <w:rPr>
          <w:rFonts w:ascii="Noto Sans" w:hAnsi="Noto Sans" w:eastAsia="Noto Sans" w:cs="Noto Sans"/>
          <w:b w:val="0"/>
          <w:i w:val="0"/>
          <w:sz w:val="18"/>
        </w:rPr>
        <w:t xml:space="preserve">, </w:t>
      </w:r>
      <w:r>
        <w:rPr>
          <w:rFonts w:ascii="Noto Sans Mono" w:hAnsi="Noto Sans Mono" w:eastAsia="Noto Sans Mono" w:cs="Noto Sans Mono"/>
          <w:b w:val="0"/>
          <w:i w:val="0"/>
          <w:color w:val="464646"/>
          <w:sz w:val="18"/>
        </w:rPr>
        <w:t>deleted</w:t>
      </w:r>
      <w:r>
        <w:rPr>
          <w:rFonts w:ascii="Noto Sans" w:hAnsi="Noto Sans" w:eastAsia="Noto Sans" w:cs="Noto Sans"/>
          <w:b w:val="0"/>
          <w:i w:val="0"/>
          <w:sz w:val="18"/>
        </w:rPr>
        <w:t xml:space="preserve">. Privacy Lead and technical owner approval required for </w:t>
      </w:r>
      <w:r>
        <w:rPr>
          <w:rFonts w:ascii="Noto Sans Mono" w:hAnsi="Noto Sans Mono" w:eastAsia="Noto Sans Mono" w:cs="Noto Sans Mono"/>
          <w:b w:val="0"/>
          <w:i w:val="0"/>
          <w:color w:val="464646"/>
          <w:sz w:val="18"/>
        </w:rPr>
        <w:t>approved</w:t>
      </w:r>
      <w:r>
        <w:rPr>
          <w:rFonts w:ascii="Noto Sans" w:hAnsi="Noto Sans" w:eastAsia="Noto Sans" w:cs="Noto Sans"/>
          <w:b w:val="0"/>
          <w:i w:val="0"/>
          <w:sz w:val="18"/>
        </w:rPr>
        <w:t>.</w:t>
      </w:r>
    </w:p>
    <w:p>
      <w:pPr>
        <w:pStyle w:val="Heading2"/>
      </w:pPr>
      <w:r>
        <w:rPr>
          <w:rFonts w:ascii="Noto Sans" w:hAnsi="Noto Sans" w:eastAsia="Noto Sans" w:cs="Noto Sans"/>
          <w:b/>
          <w:i w:val="0"/>
          <w:sz w:val="24"/>
        </w:rPr>
        <w:t>4. Retention</w:t>
      </w:r>
    </w:p>
    <w:p>
      <w:pPr>
        <w:spacing w:before="0" w:after="80" w:line="252" w:lineRule="auto"/>
      </w:pPr>
      <w:r>
        <w:rPr>
          <w:rFonts w:ascii="Noto Sans" w:hAnsi="Noto Sans" w:eastAsia="Noto Sans" w:cs="Noto Sans"/>
          <w:b w:val="0"/>
          <w:i w:val="0"/>
          <w:sz w:val="18"/>
        </w:rPr>
        <w:t>Quarantine max 30 days; approved dataset max 24 months; provenance/model registry seven years; legal hold overrides only documented scope/period.</w:t>
      </w:r>
    </w:p>
    <w:p>
      <w:r>
        <w:br w:type="page"/>
      </w:r>
    </w:p>
    <w:p>
      <w:pPr>
        <w:pStyle w:val="Heading1"/>
      </w:pPr>
      <w:r>
        <w:rPr>
          <w:rFonts w:ascii="Noto Sans" w:hAnsi="Noto Sans" w:eastAsia="Noto Sans" w:cs="Noto Sans"/>
          <w:b/>
          <w:i w:val="0"/>
          <w:sz w:val="32"/>
        </w:rPr>
        <w:t>Retention and Deletion Standard</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Current enforceable position</w:t>
      </w:r>
    </w:p>
    <w:tbl>
      <w:tblPr>
        <w:tblStyle w:val="TableGrid"/>
        <w:tblW w:type="auto" w:w="0"/>
        <w:jc w:val="center"/>
        <w:tblLayout w:type="autofit"/>
        <w:tblLook w:firstColumn="1" w:firstRow="1" w:lastColumn="0" w:lastRow="0" w:noHBand="0" w:noVBand="1" w:val="04A0"/>
      </w:tblPr>
      <w:tblGrid>
        <w:gridCol w:w="5074"/>
        <w:gridCol w:w="5074"/>
      </w:tblGrid>
      <w:tr>
        <w:trPr>
          <w:tblHeader w:val="true"/>
        </w:trPr>
        <w:tc>
          <w:tcPr>
            <w:tcW w:type="dxa" w:w="5074"/>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5"/>
              </w:rPr>
              <w:t>Data</w:t>
            </w:r>
          </w:p>
        </w:tc>
        <w:tc>
          <w:tcPr>
            <w:tcW w:type="dxa" w:w="5074"/>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5"/>
              </w:rPr>
              <w:t>Current position</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Chat content</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Default 365 days; Merchant configurable 30-3,650; then tombstone</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Voice recording</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Disabled; zero</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Privacy download</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Seven days; encrypted-row purge pending</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Contacts/leads</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Until erasure or closure; no time-based purge</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Closure</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No approved automated schedule; support-managed</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Planned GCP backups</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30 retained backups; seven days transaction logs; deployment unverified</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Current DB</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Neon/AWS US; provider backup/deletion details require due diligence</w:t>
            </w:r>
          </w:p>
        </w:tc>
      </w:tr>
    </w:tbl>
    <w:p>
      <w:pPr>
        <w:spacing w:after="20"/>
      </w:pPr>
    </w:p>
    <w:p>
      <w:pPr>
        <w:pStyle w:val="Heading2"/>
      </w:pPr>
      <w:r>
        <w:rPr>
          <w:rFonts w:ascii="Noto Sans" w:hAnsi="Noto Sans" w:eastAsia="Noto Sans" w:cs="Noto Sans"/>
          <w:b/>
          <w:i w:val="0"/>
          <w:sz w:val="24"/>
        </w:rPr>
        <w:t>2. Target after implementation</w:t>
      </w:r>
    </w:p>
    <w:tbl>
      <w:tblPr>
        <w:tblStyle w:val="TableGrid"/>
        <w:tblW w:type="auto" w:w="0"/>
        <w:jc w:val="center"/>
        <w:tblLayout w:type="autofit"/>
        <w:tblLook w:firstColumn="1" w:firstRow="1" w:lastColumn="0" w:lastRow="0" w:noHBand="0" w:noVBand="1" w:val="04A0"/>
      </w:tblPr>
      <w:tblGrid>
        <w:gridCol w:w="5074"/>
        <w:gridCol w:w="5074"/>
      </w:tblGrid>
      <w:tr>
        <w:trPr>
          <w:tblHeader w:val="true"/>
        </w:trPr>
        <w:tc>
          <w:tcPr>
            <w:tcW w:type="dxa" w:w="5074"/>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5"/>
              </w:rPr>
              <w:t>Data</w:t>
            </w:r>
          </w:p>
        </w:tc>
        <w:tc>
          <w:tcPr>
            <w:tcW w:type="dxa" w:w="5074"/>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5"/>
              </w:rPr>
              <w:t>Target</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Contacts/leads</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24 months after last activity</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Voluntary cancellation</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Access until paid term ends</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Read-only/reactivation</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30 days after paid term</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Production tenant data</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Purge after 30-day window</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Backups</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Within 30 days after production purge</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Application logs</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30 days</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Security/audit</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24 months except legal/immutable records</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Privacy export object</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Seven days then physical purge</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Billing/tax</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Seven years</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Consent evidence</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Five years after withdrawal/last reliance</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Deejai marketing contact</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Withdrawal or 24 months last engagement</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Suppression</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Five years</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Model quarantine</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30 days</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Training dataset</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24 months</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Model provenance</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Seven years</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Voice transcript</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Configured message period</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Voice recording</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1-365 days only if approved; otherwise zero</w:t>
            </w:r>
          </w:p>
        </w:tc>
      </w:tr>
      <w:tr>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Legal hold</w:t>
            </w:r>
          </w:p>
        </w:tc>
        <w:tc>
          <w:tcPr>
            <w:tcW w:type="dxa" w:w="5074"/>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Until written release then deletion resumes</w:t>
            </w:r>
          </w:p>
        </w:tc>
      </w:tr>
    </w:tbl>
    <w:p>
      <w:pPr>
        <w:spacing w:after="20"/>
      </w:pPr>
    </w:p>
    <w:p>
      <w:pPr>
        <w:pStyle w:val="Heading2"/>
      </w:pPr>
      <w:r>
        <w:rPr>
          <w:rFonts w:ascii="Noto Sans" w:hAnsi="Noto Sans" w:eastAsia="Noto Sans" w:cs="Noto Sans"/>
          <w:b/>
          <w:i w:val="0"/>
          <w:sz w:val="24"/>
        </w:rPr>
        <w:t>3. Methods</w:t>
      </w:r>
    </w:p>
    <w:p>
      <w:pPr>
        <w:spacing w:before="0" w:after="80" w:line="252" w:lineRule="auto"/>
      </w:pPr>
      <w:r>
        <w:rPr>
          <w:rFonts w:ascii="Noto Sans" w:hAnsi="Noto Sans" w:eastAsia="Noto Sans" w:cs="Noto Sans"/>
          <w:b w:val="0"/>
          <w:i w:val="0"/>
          <w:sz w:val="18"/>
        </w:rPr>
        <w:t>Physical removal, cryptographic destruction, tombstone replacement or removal of identifiers with non-identifying shell. Public text must describe actual method and never promise immediate deletion of everything.</w:t>
      </w:r>
    </w:p>
    <w:p>
      <w:pPr>
        <w:pStyle w:val="Heading2"/>
      </w:pPr>
      <w:r>
        <w:rPr>
          <w:rFonts w:ascii="Noto Sans" w:hAnsi="Noto Sans" w:eastAsia="Noto Sans" w:cs="Noto Sans"/>
          <w:b/>
          <w:i w:val="0"/>
          <w:sz w:val="24"/>
        </w:rPr>
        <w:t>4. Gate</w:t>
      </w:r>
    </w:p>
    <w:p>
      <w:pPr>
        <w:spacing w:before="0" w:after="80" w:line="252" w:lineRule="auto"/>
      </w:pPr>
      <w:r>
        <w:rPr>
          <w:rFonts w:ascii="Noto Sans" w:hAnsi="Noto Sans" w:eastAsia="Noto Sans" w:cs="Noto Sans"/>
          <w:b w:val="0"/>
          <w:i w:val="0"/>
          <w:sz w:val="18"/>
        </w:rPr>
        <w:t>Target periods are not production promises until jobs, monitoring, backup alignment and ownership are verified.</w:t>
      </w:r>
    </w:p>
    <w:p>
      <w:r>
        <w:br w:type="page"/>
      </w:r>
    </w:p>
    <w:p>
      <w:pPr>
        <w:pStyle w:val="Heading1"/>
      </w:pPr>
      <w:r>
        <w:rPr>
          <w:rFonts w:ascii="Noto Sans" w:hAnsi="Noto Sans" w:eastAsia="Noto Sans" w:cs="Noto Sans"/>
          <w:b/>
          <w:i w:val="0"/>
          <w:sz w:val="32"/>
        </w:rPr>
        <w:t>DSAR Residual List and Counsel Sign-off Record</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Residual table</w:t>
      </w:r>
    </w:p>
    <w:tbl>
      <w:tblPr>
        <w:tblStyle w:val="TableGrid"/>
        <w:tblW w:type="auto" w:w="0"/>
        <w:jc w:val="center"/>
        <w:tblLayout w:type="autofit"/>
        <w:tblLook w:firstColumn="1" w:firstRow="1" w:lastColumn="0" w:lastRow="0" w:noHBand="0" w:noVBand="1" w:val="04A0"/>
      </w:tblPr>
      <w:tblGrid>
        <w:gridCol w:w="2537"/>
        <w:gridCol w:w="2537"/>
        <w:gridCol w:w="2537"/>
        <w:gridCol w:w="2537"/>
      </w:tblGrid>
      <w:tr>
        <w:trPr>
          <w:tblHeader w:val="true"/>
        </w:trPr>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Residual</w:t>
            </w:r>
          </w:p>
        </w:tc>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Reason/access</w:t>
            </w:r>
          </w:p>
        </w:tc>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Treatment</w:t>
            </w:r>
          </w:p>
        </w:tc>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Position</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Conversation shell</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Referential integrity; restricted</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Identifying content removed</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 acceptable</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Message tombstone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Retention proof/sequence; restricted</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No original content</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 acceptable</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Privacy-job lineage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Fulfilment evidence; immutable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Current indefinite; target seven years after closure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Counsel approval required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Security/audit</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Accountability; restricted</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Target 24 months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Billing/tax</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Legal/finance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Seven years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Backups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Recovery; restricted</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Expire under verified window</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Provider verification</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Provider copies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Provider operations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Contractual deletion/expiry</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Due diligence</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Legal hold</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Claims/law; named access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Until release then re-erasure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Proposed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Expired export encrypted row</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Technical residual</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Link expired; physical purge blocker</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Remediation required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Model dataset</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Separate consent purpose; restricted</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Remove active record where possible; completed influence may remain</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Counsel/consent required</w:t>
            </w:r>
          </w:p>
        </w:tc>
      </w:tr>
    </w:tbl>
    <w:p>
      <w:pPr>
        <w:spacing w:after="20"/>
      </w:pPr>
    </w:p>
    <w:p>
      <w:pPr>
        <w:spacing w:before="0" w:after="80" w:line="252" w:lineRule="auto"/>
      </w:pPr>
      <w:r>
        <w:rPr>
          <w:rFonts w:ascii="Noto Sans" w:hAnsi="Noto Sans" w:eastAsia="Noto Sans" w:cs="Noto Sans"/>
          <w:b w:val="0"/>
          <w:i w:val="0"/>
          <w:sz w:val="18"/>
        </w:rPr>
        <w:t>No G6c pass until counsel accepts each residual or requires remediation.</w:t>
      </w:r>
    </w:p>
    <w:p>
      <w:r>
        <w:br w:type="page"/>
      </w:r>
    </w:p>
    <w:p>
      <w:pPr>
        <w:pStyle w:val="Heading1"/>
      </w:pPr>
      <w:r>
        <w:rPr>
          <w:rFonts w:ascii="Noto Sans" w:hAnsi="Noto Sans" w:eastAsia="Noto Sans" w:cs="Noto Sans"/>
          <w:b/>
          <w:i w:val="0"/>
          <w:sz w:val="32"/>
        </w:rPr>
        <w:t>International Transfer Assessment</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Current architecture</w:t>
      </w:r>
    </w:p>
    <w:p>
      <w:pPr>
        <w:spacing w:before="0" w:after="80" w:line="252" w:lineRule="auto"/>
      </w:pPr>
      <w:r>
        <w:rPr>
          <w:rFonts w:ascii="Noto Sans" w:hAnsi="Noto Sans" w:eastAsia="Noto Sans" w:cs="Noto Sans"/>
          <w:b w:val="0"/>
          <w:i w:val="0"/>
          <w:sz w:val="18"/>
        </w:rPr>
        <w:t xml:space="preserve">Primary database: Neon/AWS </w:t>
      </w:r>
      <w:r>
        <w:rPr>
          <w:rFonts w:ascii="Noto Sans Mono" w:hAnsi="Noto Sans Mono" w:eastAsia="Noto Sans Mono" w:cs="Noto Sans Mono"/>
          <w:b w:val="0"/>
          <w:i w:val="0"/>
          <w:color w:val="464646"/>
          <w:sz w:val="18"/>
        </w:rPr>
        <w:t>us-east-2</w:t>
      </w:r>
      <w:r>
        <w:rPr>
          <w:rFonts w:ascii="Noto Sans" w:hAnsi="Noto Sans" w:eastAsia="Noto Sans" w:cs="Noto Sans"/>
          <w:b w:val="0"/>
          <w:i w:val="0"/>
          <w:sz w:val="18"/>
        </w:rPr>
        <w:t>, Ohio, USA. This is a current cross-border transfer. GCP Asia is planned, not applied/verified.</w:t>
      </w:r>
    </w:p>
    <w:p>
      <w:pPr>
        <w:pStyle w:val="Heading2"/>
      </w:pPr>
      <w:r>
        <w:rPr>
          <w:rFonts w:ascii="Noto Sans" w:hAnsi="Noto Sans" w:eastAsia="Noto Sans" w:cs="Noto Sans"/>
          <w:b/>
          <w:i w:val="0"/>
          <w:sz w:val="24"/>
        </w:rPr>
        <w:t>2. Inventory</w:t>
      </w:r>
    </w:p>
    <w:tbl>
      <w:tblPr>
        <w:tblStyle w:val="TableGrid"/>
        <w:tblW w:type="auto" w:w="0"/>
        <w:jc w:val="center"/>
        <w:tblLayout w:type="autofit"/>
        <w:tblLook w:firstColumn="1" w:firstRow="1" w:lastColumn="0" w:lastRow="0" w:noHBand="0" w:noVBand="1" w:val="04A0"/>
      </w:tblPr>
      <w:tblGrid>
        <w:gridCol w:w="2537"/>
        <w:gridCol w:w="2537"/>
        <w:gridCol w:w="2537"/>
        <w:gridCol w:w="2537"/>
      </w:tblGrid>
      <w:tr>
        <w:trPr>
          <w:tblHeader w:val="true"/>
        </w:trPr>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Recipient</w:t>
            </w:r>
          </w:p>
        </w:tc>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Region</w:t>
            </w:r>
          </w:p>
        </w:tc>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Data</w:t>
            </w:r>
          </w:p>
        </w:tc>
        <w:tc>
          <w:tcPr>
            <w:tcW w:type="dxa" w:w="2537"/>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4"/>
              </w:rPr>
              <w:t>Status/action</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Neon/AWS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USA</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Operational Merchant/end-customer data</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Active; review DPA, subprocessors, security, government access, deletion</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Stripe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Multiple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Merchant billing/payment metadata</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Active; review transfer terms</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Google Cloud</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Planned Asia/global support</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Logs/objects/future DB</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Verify services, entity, support access, region</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Email provider</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Unknown</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Merchant email/name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Blocked; select/assess</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LINE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Platform regions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IDs/messages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Optional; assess</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AI provider</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Unknown</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Prompts/training data</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Blocked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Voice providers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Unknown</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Phone/audio/transcripts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Blocked</w:t>
            </w:r>
          </w:p>
        </w:tc>
      </w:tr>
      <w:tr>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Partner</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None</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Contact details</w:t>
            </w:r>
          </w:p>
        </w:tc>
        <w:tc>
          <w:tcPr>
            <w:tcW w:type="dxa" w:w="2537"/>
            <w:vAlign w:val="top"/>
            <w:tcMar>
              <w:top w:w="50" w:type="dxa"/>
              <w:start w:w="55" w:type="dxa"/>
              <w:bottom w:w="50" w:type="dxa"/>
              <w:end w:w="55" w:type="dxa"/>
            </w:tcMar>
          </w:tcPr>
          <w:p>
            <w:pPr>
              <w:spacing w:after="0" w:line="228" w:lineRule="auto"/>
            </w:pPr>
            <w:r>
              <w:rPr>
                <w:rFonts w:ascii="Noto Sans" w:hAnsi="Noto Sans" w:eastAsia="Noto Sans" w:cs="Noto Sans"/>
                <w:b w:val="0"/>
                <w:i w:val="0"/>
                <w:sz w:val="14"/>
              </w:rPr>
              <w:t>Disabled</w:t>
            </w:r>
          </w:p>
        </w:tc>
      </w:tr>
    </w:tbl>
    <w:p>
      <w:pPr>
        <w:spacing w:after="20"/>
      </w:pPr>
    </w:p>
    <w:p>
      <w:pPr>
        <w:pStyle w:val="Heading2"/>
      </w:pPr>
      <w:r>
        <w:rPr>
          <w:rFonts w:ascii="Noto Sans" w:hAnsi="Noto Sans" w:eastAsia="Noto Sans" w:cs="Noto Sans"/>
          <w:b/>
          <w:i w:val="0"/>
          <w:sz w:val="24"/>
        </w:rPr>
        <w:t>3. Controls and decision</w:t>
      </w:r>
    </w:p>
    <w:p>
      <w:pPr>
        <w:spacing w:before="0" w:after="80" w:line="252" w:lineRule="auto"/>
      </w:pPr>
      <w:r>
        <w:rPr>
          <w:rFonts w:ascii="Noto Sans" w:hAnsi="Noto Sans" w:eastAsia="Noto Sans" w:cs="Noto Sans"/>
          <w:b w:val="0"/>
          <w:i w:val="0"/>
          <w:sz w:val="18"/>
        </w:rPr>
        <w:t>Minimisation, encryption, access restriction, contractual terms, subprocessor transparency, deletion, incident duties and government-access assessment. Publish honest US disclosure now. Claim Asian residency only after independent verification of storage, logs, backups and support access.</w:t>
      </w:r>
    </w:p>
    <w:p>
      <w:r>
        <w:br w:type="page"/>
      </w:r>
    </w:p>
    <w:p>
      <w:pPr>
        <w:pStyle w:val="Heading1"/>
      </w:pPr>
      <w:r>
        <w:rPr>
          <w:rFonts w:ascii="Noto Sans" w:hAnsi="Noto Sans" w:eastAsia="Noto Sans" w:cs="Noto Sans"/>
          <w:b/>
          <w:i w:val="0"/>
          <w:sz w:val="32"/>
        </w:rPr>
        <w:t>Vendor and Subprocessor Due-Diligence Standard</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Required file</w:t>
      </w:r>
    </w:p>
    <w:p>
      <w:pPr>
        <w:spacing w:before="0" w:after="80" w:line="252" w:lineRule="auto"/>
      </w:pPr>
      <w:r>
        <w:rPr>
          <w:rFonts w:ascii="Noto Sans" w:hAnsi="Noto Sans" w:eastAsia="Noto Sans" w:cs="Noto Sans"/>
          <w:b w:val="0"/>
          <w:i w:val="0"/>
          <w:sz w:val="18"/>
        </w:rPr>
        <w:t>Legal entity, service, data, role, countries, subprocessors, security materials, DPA, breach terms, deletion/retention, support access, government requests, continuity and termination export.</w:t>
      </w:r>
    </w:p>
    <w:p>
      <w:pPr>
        <w:pStyle w:val="Heading2"/>
      </w:pPr>
      <w:r>
        <w:rPr>
          <w:rFonts w:ascii="Noto Sans" w:hAnsi="Noto Sans" w:eastAsia="Noto Sans" w:cs="Noto Sans"/>
          <w:b/>
          <w:i w:val="0"/>
          <w:sz w:val="24"/>
        </w:rPr>
        <w:t>2. AI questions</w:t>
      </w:r>
    </w:p>
    <w:p>
      <w:pPr>
        <w:spacing w:before="0" w:after="80" w:line="252" w:lineRule="auto"/>
      </w:pPr>
      <w:r>
        <w:rPr>
          <w:rFonts w:ascii="Noto Sans" w:hAnsi="Noto Sans" w:eastAsia="Noto Sans" w:cs="Noto Sans"/>
          <w:b w:val="0"/>
          <w:i w:val="0"/>
          <w:sz w:val="18"/>
        </w:rPr>
        <w:t>Provider training use, prompt/output retention, zero-retention options, human access, abuse monitoring, regions, routing and deletion.</w:t>
      </w:r>
    </w:p>
    <w:p>
      <w:pPr>
        <w:pStyle w:val="Heading2"/>
      </w:pPr>
      <w:r>
        <w:rPr>
          <w:rFonts w:ascii="Noto Sans" w:hAnsi="Noto Sans" w:eastAsia="Noto Sans" w:cs="Noto Sans"/>
          <w:b/>
          <w:i w:val="0"/>
          <w:sz w:val="24"/>
        </w:rPr>
        <w:t>3. Voice questions</w:t>
      </w:r>
    </w:p>
    <w:p>
      <w:pPr>
        <w:spacing w:before="0" w:after="80" w:line="252" w:lineRule="auto"/>
      </w:pPr>
      <w:r>
        <w:rPr>
          <w:rFonts w:ascii="Noto Sans" w:hAnsi="Noto Sans" w:eastAsia="Noto Sans" w:cs="Noto Sans"/>
          <w:b w:val="0"/>
          <w:i w:val="0"/>
          <w:sz w:val="18"/>
        </w:rPr>
        <w:t>Number ownership, call countries, recording/transcription storage, consent tooling, caller-ID, suppression, lawful interception, emergency limits and deletion.</w:t>
      </w:r>
    </w:p>
    <w:p>
      <w:pPr>
        <w:pStyle w:val="Heading2"/>
      </w:pPr>
      <w:r>
        <w:rPr>
          <w:rFonts w:ascii="Noto Sans" w:hAnsi="Noto Sans" w:eastAsia="Noto Sans" w:cs="Noto Sans"/>
          <w:b/>
          <w:i w:val="0"/>
          <w:sz w:val="24"/>
        </w:rPr>
        <w:t>4. Partner questions</w:t>
      </w:r>
    </w:p>
    <w:p>
      <w:pPr>
        <w:spacing w:before="0" w:after="80" w:line="252" w:lineRule="auto"/>
      </w:pPr>
      <w:r>
        <w:rPr>
          <w:rFonts w:ascii="Noto Sans" w:hAnsi="Noto Sans" w:eastAsia="Noto Sans" w:cs="Noto Sans"/>
          <w:b w:val="0"/>
          <w:i w:val="0"/>
          <w:sz w:val="18"/>
        </w:rPr>
        <w:t>Purpose, channels, consent, onward sharing, suppression, child/sensitive prohibition, retention, security, complaints and controller contact.</w:t>
      </w:r>
    </w:p>
    <w:p>
      <w:pPr>
        <w:pStyle w:val="Heading2"/>
      </w:pPr>
      <w:r>
        <w:rPr>
          <w:rFonts w:ascii="Noto Sans" w:hAnsi="Noto Sans" w:eastAsia="Noto Sans" w:cs="Noto Sans"/>
          <w:b/>
          <w:i w:val="0"/>
          <w:sz w:val="24"/>
        </w:rPr>
        <w:t>5. Rating/review</w:t>
      </w:r>
    </w:p>
    <w:p>
      <w:pPr>
        <w:spacing w:before="0" w:after="80" w:line="252" w:lineRule="auto"/>
      </w:pPr>
      <w:r>
        <w:rPr>
          <w:rFonts w:ascii="Noto Sans" w:hAnsi="Noto Sans" w:eastAsia="Noto Sans" w:cs="Noto Sans"/>
          <w:b w:val="0"/>
          <w:i w:val="0"/>
          <w:sz w:val="18"/>
        </w:rPr>
        <w:t>Critical/high/medium/low based on sensitivity, scale, country, access, replacement and impact. Critical/high require privacy, security and management approval. Review onboarding, annually for critical/high, after incidents and before material change.</w:t>
      </w:r>
    </w:p>
    <w:p>
      <w:pPr>
        <w:pStyle w:val="Heading2"/>
      </w:pPr>
      <w:r>
        <w:rPr>
          <w:rFonts w:ascii="Noto Sans" w:hAnsi="Noto Sans" w:eastAsia="Noto Sans" w:cs="Noto Sans"/>
          <w:b/>
          <w:i w:val="0"/>
          <w:sz w:val="24"/>
        </w:rPr>
        <w:t>6. Current gaps</w:t>
      </w:r>
    </w:p>
    <w:p>
      <w:pPr>
        <w:spacing w:before="0" w:after="80" w:line="252" w:lineRule="auto"/>
      </w:pPr>
      <w:r>
        <w:rPr>
          <w:rFonts w:ascii="Noto Sans" w:hAnsi="Noto Sans" w:eastAsia="Noto Sans" w:cs="Noto Sans"/>
          <w:b w:val="0"/>
          <w:i w:val="0"/>
          <w:sz w:val="18"/>
        </w:rPr>
        <w:t>Email provider, DNS/registrar/TLS role, Neon backup/deletion, Google contracting entity, AI/Voice providers and marketing partners remain unapproved.</w:t>
      </w:r>
    </w:p>
    <w:p>
      <w:r>
        <w:br w:type="page"/>
      </w:r>
    </w:p>
    <w:p>
      <w:pPr>
        <w:pStyle w:val="Heading1"/>
      </w:pPr>
      <w:r>
        <w:rPr>
          <w:rFonts w:ascii="Noto Sans" w:hAnsi="Noto Sans" w:eastAsia="Noto Sans" w:cs="Noto Sans"/>
          <w:b/>
          <w:i w:val="0"/>
          <w:sz w:val="32"/>
        </w:rPr>
        <w:t>Personal Data Breach Response Plan</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Reporting</w:t>
      </w:r>
    </w:p>
    <w:p>
      <w:pPr>
        <w:spacing w:before="0" w:after="80" w:line="252" w:lineRule="auto"/>
      </w:pPr>
      <w:r>
        <w:rPr>
          <w:rFonts w:ascii="Noto Sans" w:hAnsi="Noto Sans" w:eastAsia="Noto Sans" w:cs="Noto Sans"/>
          <w:b w:val="0"/>
          <w:i w:val="0"/>
          <w:sz w:val="18"/>
        </w:rPr>
        <w:t>Suspected loss, unauthorised access/disclosure/alteration/unavailability, model leakage or suppression failure must be reported immediately to security@djai.academy; do not wait for certainty.</w:t>
      </w:r>
    </w:p>
    <w:p>
      <w:pPr>
        <w:pStyle w:val="Heading2"/>
      </w:pPr>
      <w:r>
        <w:rPr>
          <w:rFonts w:ascii="Noto Sans" w:hAnsi="Noto Sans" w:eastAsia="Noto Sans" w:cs="Noto Sans"/>
          <w:b/>
          <w:i w:val="0"/>
          <w:sz w:val="24"/>
        </w:rPr>
        <w:t>2. Team/log</w:t>
      </w:r>
    </w:p>
    <w:p>
      <w:pPr>
        <w:spacing w:before="0" w:after="80" w:line="252" w:lineRule="auto"/>
      </w:pPr>
      <w:r>
        <w:rPr>
          <w:rFonts w:ascii="Noto Sans" w:hAnsi="Noto Sans" w:eastAsia="Noto Sans" w:cs="Noto Sans"/>
          <w:b w:val="0"/>
          <w:i w:val="0"/>
          <w:sz w:val="18"/>
        </w:rPr>
        <w:t>Incident lead coordinates security, privacy, engineering, operations, legal and communications. Privacy Lead assesses data risk/notification. Record facts, awareness time, containment, systems and deadlines.</w:t>
      </w:r>
    </w:p>
    <w:p>
      <w:pPr>
        <w:pStyle w:val="Heading2"/>
      </w:pPr>
      <w:r>
        <w:rPr>
          <w:rFonts w:ascii="Noto Sans" w:hAnsi="Noto Sans" w:eastAsia="Noto Sans" w:cs="Noto Sans"/>
          <w:b/>
          <w:i w:val="0"/>
          <w:sz w:val="24"/>
        </w:rPr>
        <w:t>3. Immediate actions</w:t>
      </w:r>
    </w:p>
    <w:p>
      <w:pPr>
        <w:spacing w:before="0" w:after="80" w:line="252" w:lineRule="auto"/>
      </w:pPr>
      <w:r>
        <w:rPr>
          <w:rFonts w:ascii="Noto Sans" w:hAnsi="Noto Sans" w:eastAsia="Noto Sans" w:cs="Noto Sans"/>
          <w:b w:val="0"/>
          <w:i w:val="0"/>
          <w:sz w:val="18"/>
        </w:rPr>
        <w:t>Preserve evidence; contain accounts/tokens/datasets/providers; identify data/persons/countries/Merchants/time; assess ongoing harm; notify affected Merchant controllers without undue delay.</w:t>
      </w:r>
    </w:p>
    <w:p>
      <w:pPr>
        <w:pStyle w:val="Heading2"/>
      </w:pPr>
      <w:r>
        <w:rPr>
          <w:rFonts w:ascii="Noto Sans" w:hAnsi="Noto Sans" w:eastAsia="Noto Sans" w:cs="Noto Sans"/>
          <w:b/>
          <w:i w:val="0"/>
          <w:sz w:val="24"/>
        </w:rPr>
        <w:t>4. Regulatory assessment</w:t>
      </w:r>
    </w:p>
    <w:p>
      <w:pPr>
        <w:spacing w:before="0" w:after="80" w:line="252" w:lineRule="auto"/>
      </w:pPr>
      <w:r>
        <w:rPr>
          <w:rFonts w:ascii="Noto Sans" w:hAnsi="Noto Sans" w:eastAsia="Noto Sans" w:cs="Noto Sans"/>
          <w:b w:val="0"/>
          <w:i w:val="0"/>
          <w:sz w:val="18"/>
        </w:rPr>
        <w:t>Assess whether PDPC notification is required within 72 hours after awareness, to the extent feasible, and whether high-risk notice to affected persons is required. Document delayed/non-notification reasons.</w:t>
      </w:r>
    </w:p>
    <w:p>
      <w:pPr>
        <w:pStyle w:val="Heading2"/>
      </w:pPr>
      <w:r>
        <w:rPr>
          <w:rFonts w:ascii="Noto Sans" w:hAnsi="Noto Sans" w:eastAsia="Noto Sans" w:cs="Noto Sans"/>
          <w:b/>
          <w:i w:val="0"/>
          <w:sz w:val="24"/>
        </w:rPr>
        <w:t>5. Merchant notice</w:t>
      </w:r>
    </w:p>
    <w:p>
      <w:pPr>
        <w:spacing w:before="0" w:after="80" w:line="252" w:lineRule="auto"/>
      </w:pPr>
      <w:r>
        <w:rPr>
          <w:rFonts w:ascii="Noto Sans" w:hAnsi="Noto Sans" w:eastAsia="Noto Sans" w:cs="Noto Sans"/>
          <w:b w:val="0"/>
          <w:i w:val="0"/>
          <w:sz w:val="18"/>
        </w:rPr>
        <w:t>Known nature, categories, approximate persons/records, consequences, measures, recommended actions and contact, with updates as facts develop.</w:t>
      </w:r>
    </w:p>
    <w:p>
      <w:pPr>
        <w:pStyle w:val="Heading2"/>
      </w:pPr>
      <w:r>
        <w:rPr>
          <w:rFonts w:ascii="Noto Sans" w:hAnsi="Noto Sans" w:eastAsia="Noto Sans" w:cs="Noto Sans"/>
          <w:b/>
          <w:i w:val="0"/>
          <w:sz w:val="24"/>
        </w:rPr>
        <w:t>6. Providers/special incidents</w:t>
      </w:r>
    </w:p>
    <w:p>
      <w:pPr>
        <w:spacing w:before="0" w:after="80" w:line="252" w:lineRule="auto"/>
      </w:pPr>
      <w:r>
        <w:rPr>
          <w:rFonts w:ascii="Noto Sans" w:hAnsi="Noto Sans" w:eastAsia="Noto Sans" w:cs="Noto Sans"/>
          <w:b w:val="0"/>
          <w:i w:val="0"/>
          <w:sz w:val="18"/>
        </w:rPr>
        <w:t>Invoke provider contacts and obtain findings. Suppression failure: halt campaign. Model leakage: quarantine model/dataset. Export exposure: revoke object/token. Tenant isolation failure: suspend affected access and scope cross-tenant records.</w:t>
      </w:r>
    </w:p>
    <w:p>
      <w:pPr>
        <w:pStyle w:val="Heading2"/>
      </w:pPr>
      <w:r>
        <w:rPr>
          <w:rFonts w:ascii="Noto Sans" w:hAnsi="Noto Sans" w:eastAsia="Noto Sans" w:cs="Noto Sans"/>
          <w:b/>
          <w:i w:val="0"/>
          <w:sz w:val="24"/>
        </w:rPr>
        <w:t>7. Closure</w:t>
      </w:r>
    </w:p>
    <w:p>
      <w:pPr>
        <w:spacing w:before="0" w:after="80" w:line="252" w:lineRule="auto"/>
      </w:pPr>
      <w:r>
        <w:rPr>
          <w:rFonts w:ascii="Noto Sans" w:hAnsi="Noto Sans" w:eastAsia="Noto Sans" w:cs="Noto Sans"/>
          <w:b w:val="0"/>
          <w:i w:val="0"/>
          <w:sz w:val="18"/>
        </w:rPr>
        <w:t>Close after containment, decisions, remediation, lessons, owners and verification. Retain incident records seven years or longer under hold.</w:t>
      </w:r>
    </w:p>
    <w:p>
      <w:r>
        <w:br w:type="page"/>
      </w:r>
    </w:p>
    <w:p>
      <w:pPr>
        <w:pStyle w:val="Heading1"/>
      </w:pPr>
      <w:r>
        <w:rPr>
          <w:rFonts w:ascii="Noto Sans" w:hAnsi="Noto Sans" w:eastAsia="Noto Sans" w:cs="Noto Sans"/>
          <w:b/>
          <w:i w:val="0"/>
          <w:sz w:val="32"/>
        </w:rPr>
        <w:t>Children and Sensitive Data Policy</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Default</w:t>
      </w:r>
    </w:p>
    <w:p>
      <w:pPr>
        <w:spacing w:before="0" w:after="80" w:line="252" w:lineRule="auto"/>
      </w:pPr>
      <w:r>
        <w:rPr>
          <w:rFonts w:ascii="Noto Sans" w:hAnsi="Noto Sans" w:eastAsia="Noto Sans" w:cs="Noto Sans"/>
          <w:b w:val="0"/>
          <w:i w:val="0"/>
          <w:sz w:val="18"/>
        </w:rPr>
        <w:t>Standard plans are not designed to intentionally collect children or sensitive data. Family/regulated businesses may use low-risk administrative enquiries unless separately approved.</w:t>
      </w:r>
    </w:p>
    <w:p>
      <w:pPr>
        <w:pStyle w:val="Heading2"/>
      </w:pPr>
      <w:r>
        <w:rPr>
          <w:rFonts w:ascii="Noto Sans" w:hAnsi="Noto Sans" w:eastAsia="Noto Sans" w:cs="Noto Sans"/>
          <w:b/>
          <w:i w:val="0"/>
          <w:sz w:val="24"/>
        </w:rPr>
        <w:t>2. Children</w:t>
      </w:r>
    </w:p>
    <w:p>
      <w:pPr>
        <w:spacing w:before="0" w:after="80" w:line="252" w:lineRule="auto"/>
      </w:pPr>
      <w:r>
        <w:rPr>
          <w:rFonts w:ascii="Noto Sans" w:hAnsi="Noto Sans" w:eastAsia="Noto Sans" w:cs="Noto Sans"/>
          <w:b w:val="0"/>
          <w:i w:val="0"/>
          <w:sz w:val="18"/>
        </w:rPr>
        <w:t>Child-directed bots require age/guardian flow, notice, lawful consent, minimisation and counsel approval. Preferred standard flow asks a parent/guardian to submit contact. Known child conversations are excluded from model development.</w:t>
      </w:r>
    </w:p>
    <w:p>
      <w:pPr>
        <w:pStyle w:val="Heading2"/>
      </w:pPr>
      <w:r>
        <w:rPr>
          <w:rFonts w:ascii="Noto Sans" w:hAnsi="Noto Sans" w:eastAsia="Noto Sans" w:cs="Noto Sans"/>
          <w:b/>
          <w:i w:val="0"/>
          <w:sz w:val="24"/>
        </w:rPr>
        <w:t>3. Sensitive data</w:t>
      </w:r>
    </w:p>
    <w:p>
      <w:pPr>
        <w:spacing w:before="0" w:after="80" w:line="252" w:lineRule="auto"/>
      </w:pPr>
      <w:r>
        <w:rPr>
          <w:rFonts w:ascii="Noto Sans" w:hAnsi="Noto Sans" w:eastAsia="Noto Sans" w:cs="Noto Sans"/>
          <w:b w:val="0"/>
          <w:i w:val="0"/>
          <w:sz w:val="18"/>
        </w:rPr>
        <w:t>No intentional request for racial/ethnic origin, politics, religion/philosophy, sexual behaviour, criminal records, health/disability, union, genetic, biometric or other sensitive categories in standard plans.</w:t>
      </w:r>
    </w:p>
    <w:p>
      <w:pPr>
        <w:pStyle w:val="Heading2"/>
      </w:pPr>
      <w:r>
        <w:rPr>
          <w:rFonts w:ascii="Noto Sans" w:hAnsi="Noto Sans" w:eastAsia="Noto Sans" w:cs="Noto Sans"/>
          <w:b/>
          <w:i w:val="0"/>
          <w:sz w:val="24"/>
        </w:rPr>
        <w:t>4. Regulated sectors</w:t>
      </w:r>
    </w:p>
    <w:p>
      <w:pPr>
        <w:spacing w:before="0" w:after="80" w:line="252" w:lineRule="auto"/>
      </w:pPr>
      <w:r>
        <w:rPr>
          <w:rFonts w:ascii="Noto Sans" w:hAnsi="Noto Sans" w:eastAsia="Noto Sans" w:cs="Noto Sans"/>
          <w:b w:val="0"/>
          <w:i w:val="0"/>
          <w:sz w:val="18"/>
        </w:rPr>
        <w:t>Healthcare, legal, finance, insurance, recruitment and education may use FAQs, hours, service descriptions, appointments and human contact. No diagnosis, prescription, eligibility decision, rejection or final professional advice.</w:t>
      </w:r>
    </w:p>
    <w:p>
      <w:pPr>
        <w:pStyle w:val="Heading2"/>
      </w:pPr>
      <w:r>
        <w:rPr>
          <w:rFonts w:ascii="Noto Sans" w:hAnsi="Noto Sans" w:eastAsia="Noto Sans" w:cs="Noto Sans"/>
          <w:b/>
          <w:i w:val="0"/>
          <w:sz w:val="24"/>
        </w:rPr>
        <w:t>5. Credentials/payment</w:t>
      </w:r>
    </w:p>
    <w:p>
      <w:pPr>
        <w:spacing w:before="0" w:after="80" w:line="252" w:lineRule="auto"/>
      </w:pPr>
      <w:r>
        <w:rPr>
          <w:rFonts w:ascii="Noto Sans" w:hAnsi="Noto Sans" w:eastAsia="Noto Sans" w:cs="Noto Sans"/>
          <w:b w:val="0"/>
          <w:i w:val="0"/>
          <w:sz w:val="18"/>
        </w:rPr>
        <w:t>Passwords, PINs, OTPs, private keys, full card numbers, CVV and online-banking credentials are prohibited. Stripe-hosted checkout is used for subscription payment.</w:t>
      </w:r>
    </w:p>
    <w:p>
      <w:pPr>
        <w:pStyle w:val="Heading2"/>
      </w:pPr>
      <w:r>
        <w:rPr>
          <w:rFonts w:ascii="Noto Sans" w:hAnsi="Noto Sans" w:eastAsia="Noto Sans" w:cs="Noto Sans"/>
          <w:b/>
          <w:i w:val="0"/>
          <w:sz w:val="24"/>
        </w:rPr>
        <w:t>6. Unexpected data</w:t>
      </w:r>
    </w:p>
    <w:p>
      <w:pPr>
        <w:spacing w:before="0" w:after="80" w:line="252" w:lineRule="auto"/>
      </w:pPr>
      <w:r>
        <w:rPr>
          <w:rFonts w:ascii="Noto Sans" w:hAnsi="Noto Sans" w:eastAsia="Noto Sans" w:cs="Noto Sans"/>
          <w:b w:val="0"/>
          <w:i w:val="0"/>
          <w:sz w:val="18"/>
        </w:rPr>
        <w:t>Restrict access, notify Merchant where appropriate and delete/restrict under incident/legal-hold process.</w:t>
      </w:r>
    </w:p>
    <w:p>
      <w:r>
        <w:br w:type="page"/>
      </w:r>
    </w:p>
    <w:p>
      <w:pPr>
        <w:pStyle w:val="Heading1"/>
      </w:pPr>
      <w:r>
        <w:rPr>
          <w:rFonts w:ascii="Noto Sans" w:hAnsi="Noto Sans" w:eastAsia="Noto Sans" w:cs="Noto Sans"/>
          <w:b/>
          <w:i w:val="0"/>
          <w:sz w:val="32"/>
        </w:rPr>
        <w:t>Merchant Registration and Bot Publication Controls</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Registration checkbox</w:t>
      </w:r>
    </w:p>
    <w:p>
      <w:pPr>
        <w:spacing w:before="0" w:after="80" w:line="252" w:lineRule="auto"/>
      </w:pPr>
      <w:r>
        <w:rPr>
          <w:rFonts w:ascii="Noto Sans" w:hAnsi="Noto Sans" w:eastAsia="Noto Sans" w:cs="Noto Sans"/>
          <w:b w:val="0"/>
          <w:i w:val="0"/>
          <w:sz w:val="18"/>
        </w:rPr>
        <w:t>"I confirm that I am authorised to bind the Merchant. I agree to the Terms of Service and Data Processing Agreement and acknowledge that I have read the Privacy Notice."</w:t>
      </w:r>
    </w:p>
    <w:p>
      <w:pPr>
        <w:spacing w:before="0" w:after="80" w:line="252" w:lineRule="auto"/>
      </w:pPr>
      <w:r>
        <w:rPr>
          <w:rFonts w:ascii="Noto Sans" w:hAnsi="Noto Sans" w:eastAsia="Noto Sans" w:cs="Noto Sans"/>
          <w:b w:val="0"/>
          <w:i w:val="0"/>
          <w:sz w:val="18"/>
        </w:rPr>
        <w:t>Record Merchant, user, authority confirmation, timestamp, IP/user agent, Terms/DPA/Privacy versions, exact text/hash and event ID.</w:t>
      </w:r>
    </w:p>
    <w:p>
      <w:pPr>
        <w:pStyle w:val="Heading2"/>
      </w:pPr>
      <w:r>
        <w:rPr>
          <w:rFonts w:ascii="Noto Sans" w:hAnsi="Noto Sans" w:eastAsia="Noto Sans" w:cs="Noto Sans"/>
          <w:b/>
          <w:i w:val="0"/>
          <w:sz w:val="24"/>
        </w:rPr>
        <w:t>2. Publication checklist</w:t>
      </w:r>
    </w:p>
    <w:p>
      <w:pPr>
        <w:spacing w:before="0" w:after="80" w:line="252" w:lineRule="auto"/>
      </w:pPr>
      <w:r>
        <w:rPr>
          <w:rFonts w:ascii="Noto Sans" w:hAnsi="Noto Sans" w:eastAsia="Noto Sans" w:cs="Noto Sans"/>
          <w:b w:val="0"/>
          <w:i w:val="0"/>
          <w:sz w:val="18"/>
        </w:rPr>
        <w:t>Merchant identity/contact displayed; Merchant and Deejai notices linked; optional controls separate/unticked; core chat works without optional consent; no passwords/OTP/full cards/ID docs; no intentional sensitive/child data; marketing separate; content/prices/contact accurate; human help available.</w:t>
      </w:r>
    </w:p>
    <w:p>
      <w:pPr>
        <w:pStyle w:val="Heading2"/>
      </w:pPr>
      <w:r>
        <w:rPr>
          <w:rFonts w:ascii="Noto Sans" w:hAnsi="Noto Sans" w:eastAsia="Noto Sans" w:cs="Noto Sans"/>
          <w:b/>
          <w:i w:val="0"/>
          <w:sz w:val="24"/>
        </w:rPr>
        <w:t>3. Plan controls</w:t>
      </w:r>
    </w:p>
    <w:p>
      <w:pPr>
        <w:spacing w:before="0" w:after="80" w:line="252" w:lineRule="auto"/>
      </w:pPr>
      <w:r>
        <w:rPr>
          <w:rFonts w:ascii="Noto Sans" w:hAnsi="Noto Sans" w:eastAsia="Noto Sans" w:cs="Noto Sans"/>
          <w:b w:val="0"/>
          <w:i w:val="0"/>
          <w:sz w:val="18"/>
        </w:rPr>
        <w:t>Basic may show Deejai marketing/model choices; partner choice disabled until approved. Premium suppresses Deejai/partner contact marketing and includes Merchant model-development disable control.</w:t>
      </w:r>
    </w:p>
    <w:p>
      <w:pPr>
        <w:pStyle w:val="Heading2"/>
      </w:pPr>
      <w:r>
        <w:rPr>
          <w:rFonts w:ascii="Noto Sans" w:hAnsi="Noto Sans" w:eastAsia="Noto Sans" w:cs="Noto Sans"/>
          <w:b/>
          <w:i w:val="0"/>
          <w:sz w:val="24"/>
        </w:rPr>
        <w:t>4. Domains/legal gate</w:t>
      </w:r>
    </w:p>
    <w:p>
      <w:pPr>
        <w:spacing w:before="0" w:after="80" w:line="252" w:lineRule="auto"/>
      </w:pPr>
      <w:r>
        <w:rPr>
          <w:rFonts w:ascii="Noto Sans" w:hAnsi="Noto Sans" w:eastAsia="Noto Sans" w:cs="Noto Sans"/>
          <w:b w:val="0"/>
          <w:i w:val="0"/>
          <w:sz w:val="18"/>
        </w:rPr>
        <w:t>Target Basic maximum three domains/origins. Publication is blocked if not enforced or control not demonstrated. Registration/publication fail closed if legal bundle is missing, unapproved, expired or hash-mismatched.</w:t>
      </w:r>
    </w:p>
    <w:p>
      <w:r>
        <w:br w:type="page"/>
      </w:r>
    </w:p>
    <w:p>
      <w:pPr>
        <w:pStyle w:val="Heading1"/>
      </w:pPr>
      <w:r>
        <w:rPr>
          <w:rFonts w:ascii="Noto Sans" w:hAnsi="Noto Sans" w:eastAsia="Noto Sans" w:cs="Noto Sans"/>
          <w:b/>
          <w:i w:val="0"/>
          <w:sz w:val="32"/>
        </w:rPr>
        <w:t>Current-State Disclosure and Launch Conditions</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Current facts</w:t>
      </w:r>
    </w:p>
    <w:p>
      <w:pPr>
        <w:spacing w:before="0" w:after="80" w:line="252" w:lineRule="auto"/>
      </w:pPr>
      <w:r>
        <w:rPr>
          <w:rFonts w:ascii="Noto Sans" w:hAnsi="Noto Sans" w:eastAsia="Noto Sans" w:cs="Noto Sans"/>
          <w:b w:val="0"/>
          <w:i w:val="0"/>
          <w:sz w:val="18"/>
        </w:rPr>
        <w:t>Until a Readiness Certificate says otherwise:</w:t>
      </w:r>
    </w:p>
    <w:p>
      <w:pPr>
        <w:spacing w:after="30"/>
        <w:ind w:left="369" w:hanging="170"/>
      </w:pPr>
      <w:r>
        <w:rPr>
          <w:rFonts w:ascii="Noto Sans" w:hAnsi="Noto Sans" w:eastAsia="Noto Sans" w:cs="Noto Sans"/>
          <w:b w:val="0"/>
          <w:i w:val="0"/>
          <w:sz w:val="17"/>
        </w:rPr>
        <w:t>• Primary data is Neon/AWS Ohio, USA.</w:t>
      </w:r>
    </w:p>
    <w:p>
      <w:pPr>
        <w:spacing w:after="30"/>
        <w:ind w:left="369" w:hanging="170"/>
      </w:pPr>
      <w:r>
        <w:rPr>
          <w:rFonts w:ascii="Noto Sans" w:hAnsi="Noto Sans" w:eastAsia="Noto Sans" w:cs="Noto Sans"/>
          <w:b w:val="0"/>
          <w:i w:val="0"/>
          <w:sz w:val="17"/>
        </w:rPr>
        <w:t>• GCP Asia is planned, not applied/verified.</w:t>
      </w:r>
    </w:p>
    <w:p>
      <w:pPr>
        <w:spacing w:after="30"/>
        <w:ind w:left="369" w:hanging="170"/>
      </w:pPr>
      <w:r>
        <w:rPr>
          <w:rFonts w:ascii="Noto Sans" w:hAnsi="Noto Sans" w:eastAsia="Noto Sans" w:cs="Noto Sans"/>
          <w:b w:val="0"/>
          <w:i w:val="0"/>
          <w:sz w:val="17"/>
        </w:rPr>
        <w:t>• Transcript default 365; Merchant range 30-3,650.</w:t>
      </w:r>
    </w:p>
    <w:p>
      <w:pPr>
        <w:spacing w:after="30"/>
        <w:ind w:left="369" w:hanging="170"/>
      </w:pPr>
      <w:r>
        <w:rPr>
          <w:rFonts w:ascii="Noto Sans" w:hAnsi="Noto Sans" w:eastAsia="Noto Sans" w:cs="Noto Sans"/>
          <w:b w:val="0"/>
          <w:i w:val="0"/>
          <w:sz w:val="17"/>
        </w:rPr>
        <w:t>• Voice recording disabled/zero.</w:t>
      </w:r>
    </w:p>
    <w:p>
      <w:pPr>
        <w:spacing w:after="30"/>
        <w:ind w:left="369" w:hanging="170"/>
      </w:pPr>
      <w:r>
        <w:rPr>
          <w:rFonts w:ascii="Noto Sans" w:hAnsi="Noto Sans" w:eastAsia="Noto Sans" w:cs="Noto Sans"/>
          <w:b w:val="0"/>
          <w:i w:val="0"/>
          <w:sz w:val="17"/>
        </w:rPr>
        <w:t>• Privacy links expire seven days; encrypted row not physically purged.</w:t>
      </w:r>
    </w:p>
    <w:p>
      <w:pPr>
        <w:spacing w:after="30"/>
        <w:ind w:left="369" w:hanging="170"/>
      </w:pPr>
      <w:r>
        <w:rPr>
          <w:rFonts w:ascii="Noto Sans" w:hAnsi="Noto Sans" w:eastAsia="Noto Sans" w:cs="Noto Sans"/>
          <w:b w:val="0"/>
          <w:i w:val="0"/>
          <w:sz w:val="17"/>
        </w:rPr>
        <w:t>• Contacts/leads have no time-based purge.</w:t>
      </w:r>
    </w:p>
    <w:p>
      <w:pPr>
        <w:spacing w:after="30"/>
        <w:ind w:left="369" w:hanging="170"/>
      </w:pPr>
      <w:r>
        <w:rPr>
          <w:rFonts w:ascii="Noto Sans" w:hAnsi="Noto Sans" w:eastAsia="Noto Sans" w:cs="Noto Sans"/>
          <w:b w:val="0"/>
          <w:i w:val="0"/>
          <w:sz w:val="17"/>
        </w:rPr>
        <w:t>• Closure/read-only/reactivation/purge/app-log/backup schedule is not approved automated behavior.</w:t>
      </w:r>
    </w:p>
    <w:p>
      <w:pPr>
        <w:spacing w:after="30"/>
        <w:ind w:left="369" w:hanging="170"/>
      </w:pPr>
      <w:r>
        <w:rPr>
          <w:rFonts w:ascii="Noto Sans" w:hAnsi="Noto Sans" w:eastAsia="Noto Sans" w:cs="Noto Sans"/>
          <w:b w:val="0"/>
          <w:i w:val="0"/>
          <w:sz w:val="17"/>
        </w:rPr>
        <w:t>• No email, AI, voice, Meta, analytics, Sentry, Cloudflare or partner activation is approved.</w:t>
      </w:r>
    </w:p>
    <w:p>
      <w:pPr>
        <w:pStyle w:val="Heading2"/>
      </w:pPr>
      <w:r>
        <w:rPr>
          <w:rFonts w:ascii="Noto Sans" w:hAnsi="Noto Sans" w:eastAsia="Noto Sans" w:cs="Noto Sans"/>
          <w:b/>
          <w:i w:val="0"/>
          <w:sz w:val="24"/>
        </w:rPr>
        <w:t>2. Affected drafting</w:t>
      </w:r>
    </w:p>
    <w:p>
      <w:pPr>
        <w:spacing w:before="0" w:after="80" w:line="252" w:lineRule="auto"/>
      </w:pPr>
      <w:r>
        <w:rPr>
          <w:rFonts w:ascii="Noto Sans" w:hAnsi="Noto Sans" w:eastAsia="Noto Sans" w:cs="Noto Sans"/>
          <w:b w:val="0"/>
          <w:i w:val="0"/>
          <w:sz w:val="18"/>
        </w:rPr>
        <w:t>Main Privacy Notice uses current facts. Target Terms/Retention statements are conditional. Interfaces must not present targets as current.</w:t>
      </w:r>
    </w:p>
    <w:p>
      <w:pPr>
        <w:pStyle w:val="Heading2"/>
      </w:pPr>
      <w:r>
        <w:rPr>
          <w:rFonts w:ascii="Noto Sans" w:hAnsi="Noto Sans" w:eastAsia="Noto Sans" w:cs="Noto Sans"/>
          <w:b/>
          <w:i w:val="0"/>
          <w:sz w:val="24"/>
        </w:rPr>
        <w:t>3. Launch blockers</w:t>
      </w:r>
    </w:p>
    <w:p>
      <w:pPr>
        <w:spacing w:after="30"/>
        <w:ind w:left="369" w:hanging="255"/>
      </w:pPr>
      <w:r>
        <w:rPr>
          <w:rFonts w:ascii="Noto Sans" w:hAnsi="Noto Sans" w:eastAsia="Noto Sans" w:cs="Noto Sans"/>
          <w:b w:val="0"/>
          <w:i w:val="0"/>
          <w:sz w:val="17"/>
        </w:rPr>
        <w:t>1. Provision support/privacy/legal/security mailboxes.</w:t>
      </w:r>
    </w:p>
    <w:p>
      <w:pPr>
        <w:spacing w:after="30"/>
        <w:ind w:left="369" w:hanging="255"/>
      </w:pPr>
      <w:r>
        <w:rPr>
          <w:rFonts w:ascii="Noto Sans" w:hAnsi="Noto Sans" w:eastAsia="Noto Sans" w:cs="Noto Sans"/>
          <w:b w:val="0"/>
          <w:i w:val="0"/>
          <w:sz w:val="17"/>
        </w:rPr>
        <w:t>2. Enforce three-domain limit.</w:t>
      </w:r>
    </w:p>
    <w:p>
      <w:pPr>
        <w:spacing w:after="30"/>
        <w:ind w:left="369" w:hanging="255"/>
      </w:pPr>
      <w:r>
        <w:rPr>
          <w:rFonts w:ascii="Noto Sans" w:hAnsi="Noto Sans" w:eastAsia="Noto Sans" w:cs="Noto Sans"/>
          <w:b w:val="0"/>
          <w:i w:val="0"/>
          <w:sz w:val="17"/>
        </w:rPr>
        <w:t>3. Implement 24-month contact sweep or retain current notice.</w:t>
      </w:r>
    </w:p>
    <w:p>
      <w:pPr>
        <w:spacing w:after="30"/>
        <w:ind w:left="369" w:hanging="255"/>
      </w:pPr>
      <w:r>
        <w:rPr>
          <w:rFonts w:ascii="Noto Sans" w:hAnsi="Noto Sans" w:eastAsia="Noto Sans" w:cs="Noto Sans"/>
          <w:b w:val="0"/>
          <w:i w:val="0"/>
          <w:sz w:val="17"/>
        </w:rPr>
        <w:t>4. Purge expired export objects.</w:t>
      </w:r>
    </w:p>
    <w:p>
      <w:pPr>
        <w:spacing w:after="30"/>
        <w:ind w:left="369" w:hanging="255"/>
      </w:pPr>
      <w:r>
        <w:rPr>
          <w:rFonts w:ascii="Noto Sans" w:hAnsi="Noto Sans" w:eastAsia="Noto Sans" w:cs="Noto Sans"/>
          <w:b w:val="0"/>
          <w:i w:val="0"/>
          <w:sz w:val="17"/>
        </w:rPr>
        <w:t>5. Implement closure/read-only/purge/reactivation if activated.</w:t>
      </w:r>
    </w:p>
    <w:p>
      <w:pPr>
        <w:spacing w:after="30"/>
        <w:ind w:left="369" w:hanging="255"/>
      </w:pPr>
      <w:r>
        <w:rPr>
          <w:rFonts w:ascii="Noto Sans" w:hAnsi="Noto Sans" w:eastAsia="Noto Sans" w:cs="Noto Sans"/>
          <w:b w:val="0"/>
          <w:i w:val="0"/>
          <w:sz w:val="17"/>
        </w:rPr>
        <w:t>6. Align/verify backup expiry at 30 days after purge.</w:t>
      </w:r>
    </w:p>
    <w:p>
      <w:pPr>
        <w:spacing w:after="30"/>
        <w:ind w:left="369" w:hanging="255"/>
      </w:pPr>
      <w:r>
        <w:rPr>
          <w:rFonts w:ascii="Noto Sans" w:hAnsi="Noto Sans" w:eastAsia="Noto Sans" w:cs="Noto Sans"/>
          <w:b w:val="0"/>
          <w:i w:val="0"/>
          <w:sz w:val="17"/>
        </w:rPr>
        <w:t>7. Confirm 30-day app logs.</w:t>
      </w:r>
    </w:p>
    <w:p>
      <w:pPr>
        <w:spacing w:after="30"/>
        <w:ind w:left="369" w:hanging="255"/>
      </w:pPr>
      <w:r>
        <w:rPr>
          <w:rFonts w:ascii="Noto Sans" w:hAnsi="Noto Sans" w:eastAsia="Noto Sans" w:cs="Noto Sans"/>
          <w:b w:val="0"/>
          <w:i w:val="0"/>
          <w:sz w:val="17"/>
        </w:rPr>
        <w:t>8. Approve email provider.</w:t>
      </w:r>
    </w:p>
    <w:p>
      <w:pPr>
        <w:spacing w:after="30"/>
        <w:ind w:left="369" w:hanging="255"/>
      </w:pPr>
      <w:r>
        <w:rPr>
          <w:rFonts w:ascii="Noto Sans" w:hAnsi="Noto Sans" w:eastAsia="Noto Sans" w:cs="Noto Sans"/>
          <w:b w:val="0"/>
          <w:i w:val="0"/>
          <w:sz w:val="17"/>
        </w:rPr>
        <w:t>9. Verify DNS/TLS provider and list if it processes data.</w:t>
      </w:r>
    </w:p>
    <w:p>
      <w:pPr>
        <w:spacing w:after="30"/>
        <w:ind w:left="369" w:hanging="255"/>
      </w:pPr>
      <w:r>
        <w:rPr>
          <w:rFonts w:ascii="Noto Sans" w:hAnsi="Noto Sans" w:eastAsia="Noto Sans" w:cs="Noto Sans"/>
          <w:b w:val="0"/>
          <w:i w:val="0"/>
          <w:sz w:val="17"/>
        </w:rPr>
        <w:t>10. Implement consent/suppression/preferences.</w:t>
      </w:r>
    </w:p>
    <w:p>
      <w:pPr>
        <w:spacing w:after="30"/>
        <w:ind w:left="369" w:hanging="255"/>
      </w:pPr>
      <w:r>
        <w:rPr>
          <w:rFonts w:ascii="Noto Sans" w:hAnsi="Noto Sans" w:eastAsia="Noto Sans" w:cs="Noto Sans"/>
          <w:b w:val="0"/>
          <w:i w:val="0"/>
          <w:sz w:val="17"/>
        </w:rPr>
        <w:t>11. Implement model identifier removal/screening/register before consent.</w:t>
      </w:r>
    </w:p>
    <w:p>
      <w:pPr>
        <w:spacing w:after="30"/>
        <w:ind w:left="369" w:hanging="255"/>
      </w:pPr>
      <w:r>
        <w:rPr>
          <w:rFonts w:ascii="Noto Sans" w:hAnsi="Noto Sans" w:eastAsia="Noto Sans" w:cs="Noto Sans"/>
          <w:b w:val="0"/>
          <w:i w:val="0"/>
          <w:sz w:val="17"/>
        </w:rPr>
        <w:t>12. Implement Premium disable control.</w:t>
      </w:r>
    </w:p>
    <w:p>
      <w:pPr>
        <w:spacing w:after="30"/>
        <w:ind w:left="369" w:hanging="255"/>
      </w:pPr>
      <w:r>
        <w:rPr>
          <w:rFonts w:ascii="Noto Sans" w:hAnsi="Noto Sans" w:eastAsia="Noto Sans" w:cs="Noto Sans"/>
          <w:b w:val="0"/>
          <w:i w:val="0"/>
          <w:sz w:val="17"/>
        </w:rPr>
        <w:t>13. Keep partner/AI/Voice/LINE disabled until specific gate.</w:t>
      </w:r>
    </w:p>
    <w:p>
      <w:pPr>
        <w:pStyle w:val="Heading2"/>
      </w:pPr>
      <w:r>
        <w:rPr>
          <w:rFonts w:ascii="Noto Sans" w:hAnsi="Noto Sans" w:eastAsia="Noto Sans" w:cs="Noto Sans"/>
          <w:b/>
          <w:i w:val="0"/>
          <w:sz w:val="24"/>
        </w:rPr>
        <w:t>4. Rule</w:t>
      </w:r>
    </w:p>
    <w:p>
      <w:pPr>
        <w:spacing w:before="0" w:after="80" w:line="252" w:lineRule="auto"/>
      </w:pPr>
      <w:r>
        <w:rPr>
          <w:rFonts w:ascii="Noto Sans" w:hAnsi="Noto Sans" w:eastAsia="Noto Sans" w:cs="Noto Sans"/>
          <w:b w:val="0"/>
          <w:i w:val="0"/>
          <w:sz w:val="18"/>
        </w:rPr>
        <w:t>Describe US Neon/AWS now. Change only after Asian production is applied and independently verified.</w:t>
      </w:r>
    </w:p>
    <w:p>
      <w:r>
        <w:br w:type="page"/>
      </w:r>
    </w:p>
    <w:p>
      <w:pPr>
        <w:pStyle w:val="Heading1"/>
      </w:pPr>
      <w:r>
        <w:rPr>
          <w:rFonts w:ascii="Noto Sans" w:hAnsi="Noto Sans" w:eastAsia="Noto Sans" w:cs="Noto Sans"/>
          <w:b/>
          <w:i w:val="0"/>
          <w:sz w:val="32"/>
        </w:rPr>
        <w:t>Launch Readiness Certificate - Standard</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Status</w:t>
      </w:r>
    </w:p>
    <w:p>
      <w:pPr>
        <w:spacing w:before="0" w:after="80" w:line="252" w:lineRule="auto"/>
      </w:pPr>
      <w:r>
        <w:rPr>
          <w:rFonts w:ascii="Noto Sans" w:hAnsi="Noto Sans" w:eastAsia="Noto Sans" w:cs="Noto Sans"/>
          <w:b w:val="0"/>
          <w:i w:val="0"/>
          <w:sz w:val="18"/>
        </w:rPr>
        <w:t xml:space="preserve">Operational evidence required before legal bundle becomes effective. Current status: </w:t>
      </w:r>
      <w:r>
        <w:rPr>
          <w:rFonts w:ascii="Noto Sans" w:hAnsi="Noto Sans" w:eastAsia="Noto Sans" w:cs="Noto Sans"/>
          <w:b/>
          <w:i w:val="0"/>
          <w:sz w:val="18"/>
        </w:rPr>
        <w:t>NOT READY</w:t>
      </w:r>
      <w:r>
        <w:rPr>
          <w:rFonts w:ascii="Noto Sans" w:hAnsi="Noto Sans" w:eastAsia="Noto Sans" w:cs="Noto Sans"/>
          <w:b w:val="0"/>
          <w:i w:val="0"/>
          <w:sz w:val="18"/>
        </w:rPr>
        <w:t>.</w:t>
      </w:r>
    </w:p>
    <w:p>
      <w:pPr>
        <w:pStyle w:val="Heading2"/>
      </w:pPr>
      <w:r>
        <w:rPr>
          <w:rFonts w:ascii="Noto Sans" w:hAnsi="Noto Sans" w:eastAsia="Noto Sans" w:cs="Noto Sans"/>
          <w:b/>
          <w:i w:val="0"/>
          <w:sz w:val="24"/>
        </w:rPr>
        <w:t>2. Criteria</w:t>
      </w: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trPr>
        <w:tc>
          <w:tcPr>
            <w:tcW w:type="dxa" w:w="3383"/>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5"/>
              </w:rPr>
              <w:t>Control</w:t>
            </w:r>
          </w:p>
        </w:tc>
        <w:tc>
          <w:tcPr>
            <w:tcW w:type="dxa" w:w="3383"/>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5"/>
              </w:rPr>
              <w:t>Evidence</w:t>
            </w:r>
          </w:p>
        </w:tc>
        <w:tc>
          <w:tcPr>
            <w:tcW w:type="dxa" w:w="3383"/>
            <w:vAlign w:val="top"/>
            <w:tcMar>
              <w:top w:w="50" w:type="dxa"/>
              <w:start w:w="55" w:type="dxa"/>
              <w:bottom w:w="50" w:type="dxa"/>
              <w:end w:w="55" w:type="dxa"/>
            </w:tcMar>
            <w:shd w:fill="DCE6F1"/>
          </w:tcPr>
          <w:p>
            <w:pPr>
              <w:spacing w:after="0" w:line="228" w:lineRule="auto"/>
            </w:pPr>
            <w:r>
              <w:rPr>
                <w:rFonts w:ascii="Noto Sans" w:hAnsi="Noto Sans" w:eastAsia="Noto Sans" w:cs="Noto Sans"/>
                <w:b/>
                <w:i w:val="0"/>
                <w:sz w:val="15"/>
              </w:rPr>
              <w:t>Current</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Counsel approval</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Signed certificate/reference</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Missing</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Legal bundle</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Approved hashes/fail-closed test</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Missing</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Hosting</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Production region verification</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US disclosure available</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Domain limit</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Automated three-domain test</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Unverified</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Transcript</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Default/range production test</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Source-supported; test needed</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Contact retention</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24-month job or current notice</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Not implemented</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Export expiry</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Seven-day access + physical purge</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Purge missing</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Closure</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Paid-term/read-only/purge/reactivation tests</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Missing</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Backups</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30-day post-purge evidence</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Unverified</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Logs</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30-day setting</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Unverified</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Consent</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Separate versions/withdrawal tests</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Unverified</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Suppression</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Cross-channel/partner tests</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Unverified</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Model</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Removal/screening/exclusion/register</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Unverified</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Premium control</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Merchant disable</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Unverified</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Providers</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Email/vendor due diligence</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Incomplete</w:t>
            </w:r>
          </w:p>
        </w:tc>
      </w:tr>
      <w:tr>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AI/Voice/LINE</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Product-specific approval</w:t>
            </w:r>
          </w:p>
        </w:tc>
        <w:tc>
          <w:tcPr>
            <w:tcW w:type="dxa" w:w="3383"/>
            <w:vAlign w:val="top"/>
            <w:tcMar>
              <w:top w:w="50" w:type="dxa"/>
              <w:start w:w="55" w:type="dxa"/>
              <w:bottom w:w="50" w:type="dxa"/>
              <w:end w:w="55" w:type="dxa"/>
            </w:tcMar>
          </w:tcPr>
          <w:p>
            <w:pPr>
              <w:spacing w:after="0" w:line="228" w:lineRule="auto"/>
            </w:pPr>
            <w:r>
              <w:rPr>
                <w:rFonts w:ascii="Noto Sans" w:hAnsi="Noto Sans" w:eastAsia="Noto Sans" w:cs="Noto Sans"/>
                <w:b w:val="0"/>
                <w:i w:val="0"/>
                <w:sz w:val="15"/>
              </w:rPr>
              <w:t>Dormant</w:t>
            </w:r>
          </w:p>
        </w:tc>
      </w:tr>
    </w:tbl>
    <w:p>
      <w:pPr>
        <w:spacing w:after="20"/>
      </w:pPr>
    </w:p>
    <w:p>
      <w:pPr>
        <w:spacing w:before="0" w:after="80" w:line="252" w:lineRule="auto"/>
      </w:pPr>
      <w:r>
        <w:rPr>
          <w:rFonts w:ascii="Noto Sans" w:hAnsi="Noto Sans" w:eastAsia="Noto Sans" w:cs="Noto Sans"/>
          <w:b w:val="0"/>
          <w:i w:val="0"/>
          <w:sz w:val="18"/>
        </w:rPr>
        <w:t>No product is ready unless every applicable item passes, is reasoned not applicable, or is accepted by counsel as a residual. Final certificate identifies evidence, tester, date, environment, version and approver.</w:t>
      </w:r>
    </w:p>
    <w:p>
      <w:r>
        <w:br w:type="page"/>
      </w:r>
    </w:p>
    <w:p>
      <w:pPr>
        <w:pStyle w:val="Heading1"/>
      </w:pPr>
      <w:r>
        <w:rPr>
          <w:rFonts w:ascii="Noto Sans" w:hAnsi="Noto Sans" w:eastAsia="Noto Sans" w:cs="Noto Sans"/>
          <w:b/>
          <w:i w:val="0"/>
          <w:sz w:val="32"/>
        </w:rPr>
        <w:t>Legal Authority and Source Notes</w:t>
      </w:r>
    </w:p>
    <w:p>
      <w:pPr>
        <w:pStyle w:val="LegalQuote"/>
        <w:ind w:left="198"/>
      </w:pPr>
      <w:r>
        <w:rPr>
          <w:rFonts w:ascii="Noto Sans" w:hAnsi="Noto Sans" w:eastAsia="Noto Sans" w:cs="Noto Sans"/>
          <w:b/>
          <w:i w:val="0"/>
          <w:sz w:val="16"/>
        </w:rPr>
        <w:t>Status:</w:t>
      </w:r>
      <w:r>
        <w:rPr>
          <w:rFonts w:ascii="Noto Sans" w:hAnsi="Noto Sans" w:eastAsia="Noto Sans" w:cs="Noto Sans"/>
          <w:b w:val="0"/>
          <w:i w:val="0"/>
          <w:sz w:val="16"/>
        </w:rPr>
        <w:t xml:space="preserve"> COUNSEL DRAFT - NOT EFFECTIVE UNTIL APPROVED AND RELEASE-GATED</w:t>
      </w:r>
    </w:p>
    <w:p>
      <w:pPr>
        <w:pStyle w:val="LegalQuote"/>
      </w:pPr>
    </w:p>
    <w:p>
      <w:pPr>
        <w:pStyle w:val="LegalQuote"/>
      </w:pPr>
      <w:r>
        <w:rPr>
          <w:rFonts w:ascii="Noto Sans" w:hAnsi="Noto Sans" w:eastAsia="Noto Sans" w:cs="Noto Sans"/>
          <w:b/>
          <w:i w:val="0"/>
          <w:sz w:val="16"/>
        </w:rPr>
        <w:t>Drafting date:</w:t>
      </w:r>
      <w:r>
        <w:rPr>
          <w:rFonts w:ascii="Noto Sans" w:hAnsi="Noto Sans" w:eastAsia="Noto Sans" w:cs="Noto Sans"/>
          <w:b w:val="0"/>
          <w:i w:val="0"/>
          <w:sz w:val="16"/>
        </w:rPr>
        <w:t xml:space="preserve"> 27 July 2026</w:t>
      </w:r>
    </w:p>
    <w:p>
      <w:pPr>
        <w:pStyle w:val="LegalQuote"/>
      </w:pPr>
    </w:p>
    <w:p>
      <w:pPr>
        <w:pStyle w:val="LegalQuote"/>
      </w:pPr>
      <w:r>
        <w:rPr>
          <w:rFonts w:ascii="Noto Sans" w:hAnsi="Noto Sans" w:eastAsia="Noto Sans" w:cs="Noto Sans"/>
          <w:b/>
          <w:i w:val="0"/>
          <w:sz w:val="16"/>
        </w:rPr>
        <w:t>Operator:</w:t>
      </w:r>
      <w:r>
        <w:rPr>
          <w:rFonts w:ascii="Noto Sans Thai" w:hAnsi="Noto Sans Thai" w:eastAsia="Noto Sans Thai" w:cs="Noto Sans Thai"/>
          <w:b w:val="0"/>
          <w:i w:val="0"/>
          <w:sz w:val="16"/>
        </w:rPr>
        <w:t xml:space="preserve"> DEEJAI LAB CO., LTD. (บริษัท ดีใจ แล็บ จำกัด), company registration number 0105569117953, operating DJAI Academy and DJBOT.</w:t>
      </w:r>
    </w:p>
    <w:p>
      <w:pPr>
        <w:pStyle w:val="LegalQuote"/>
      </w:pPr>
    </w:p>
    <w:p>
      <w:pPr>
        <w:pStyle w:val="LegalQuote"/>
        <w:ind w:left="198"/>
      </w:pPr>
      <w:r>
        <w:rPr>
          <w:rFonts w:ascii="Noto Sans" w:hAnsi="Noto Sans" w:eastAsia="Noto Sans" w:cs="Noto Sans"/>
          <w:b/>
          <w:i w:val="0"/>
          <w:sz w:val="16"/>
        </w:rPr>
        <w:t>Release rule:</w:t>
      </w:r>
      <w:r>
        <w:rPr>
          <w:rFonts w:ascii="Noto Sans" w:hAnsi="Noto Sans" w:eastAsia="Noto Sans" w:cs="Noto Sans"/>
          <w:b w:val="0"/>
          <w:i w:val="0"/>
          <w:sz w:val="16"/>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pPr>
      <w:r>
        <w:rPr>
          <w:rFonts w:ascii="Noto Sans" w:hAnsi="Noto Sans" w:eastAsia="Noto Sans" w:cs="Noto Sans"/>
          <w:b/>
          <w:i w:val="0"/>
          <w:sz w:val="24"/>
        </w:rPr>
        <w:t>1. Primary sources</w:t>
      </w:r>
    </w:p>
    <w:p>
      <w:pPr>
        <w:spacing w:after="30"/>
        <w:ind w:left="369" w:hanging="255"/>
      </w:pPr>
      <w:r>
        <w:rPr>
          <w:rFonts w:ascii="Noto Sans" w:hAnsi="Noto Sans" w:eastAsia="Noto Sans" w:cs="Noto Sans"/>
          <w:b w:val="0"/>
          <w:i w:val="0"/>
          <w:sz w:val="17"/>
        </w:rPr>
        <w:t>1. Thai Personal Data Protection Act B.E. 2562: https://ratchakitcha.soc.go.th/documents/17082307.pdf</w:t>
      </w:r>
    </w:p>
    <w:p>
      <w:pPr>
        <w:spacing w:after="30"/>
        <w:ind w:left="369" w:hanging="255"/>
      </w:pPr>
      <w:r>
        <w:rPr>
          <w:rFonts w:ascii="Noto Sans" w:hAnsi="Noto Sans" w:eastAsia="Noto Sans" w:cs="Noto Sans"/>
          <w:b w:val="0"/>
          <w:i w:val="0"/>
          <w:sz w:val="17"/>
        </w:rPr>
        <w:t>2. PDPC Security Measures Notification B.E. 2565: https://www.ratchakitcha.soc.go.th/DATA/PDF/2565/E/140/T_0028.PDF</w:t>
      </w:r>
    </w:p>
    <w:p>
      <w:pPr>
        <w:spacing w:after="30"/>
        <w:ind w:left="369" w:hanging="255"/>
      </w:pPr>
      <w:r>
        <w:rPr>
          <w:rFonts w:ascii="Noto Sans" w:hAnsi="Noto Sans" w:eastAsia="Noto Sans" w:cs="Noto Sans"/>
          <w:b w:val="0"/>
          <w:i w:val="0"/>
          <w:sz w:val="17"/>
        </w:rPr>
        <w:t>3. PDPC Processor Processing Records Notification B.E. 2565: https://www.ratchakitcha.soc.go.th/DATA/PDF/2565/E/140/T_0026.PDF</w:t>
      </w:r>
    </w:p>
    <w:p>
      <w:pPr>
        <w:spacing w:after="30"/>
        <w:ind w:left="369" w:hanging="255"/>
      </w:pPr>
      <w:r>
        <w:rPr>
          <w:rFonts w:ascii="Noto Sans" w:hAnsi="Noto Sans" w:eastAsia="Noto Sans" w:cs="Noto Sans"/>
          <w:b w:val="0"/>
          <w:i w:val="0"/>
          <w:sz w:val="17"/>
        </w:rPr>
        <w:t>4. Electronic Transactions Act B.E. 2544, ETDA English translation: https://www.etda.or.th/getattachment/8faa736b-3235-49c8-8b01-d37ff53a9a45/ENG-Version.aspx</w:t>
      </w:r>
    </w:p>
    <w:p>
      <w:pPr>
        <w:spacing w:after="30"/>
        <w:ind w:left="369" w:hanging="255"/>
      </w:pPr>
      <w:r>
        <w:rPr>
          <w:rFonts w:ascii="Noto Sans" w:hAnsi="Noto Sans" w:eastAsia="Noto Sans" w:cs="Noto Sans"/>
          <w:b w:val="0"/>
          <w:i w:val="0"/>
          <w:sz w:val="17"/>
        </w:rPr>
        <w:t>5. Revenue Department VAT record-retention provisions: https://www.rd.go.th/english/37747.html</w:t>
      </w:r>
    </w:p>
    <w:p>
      <w:pPr>
        <w:pStyle w:val="Heading2"/>
      </w:pPr>
      <w:r>
        <w:rPr>
          <w:rFonts w:ascii="Noto Sans" w:hAnsi="Noto Sans" w:eastAsia="Noto Sans" w:cs="Noto Sans"/>
          <w:b/>
          <w:i w:val="0"/>
          <w:sz w:val="24"/>
        </w:rPr>
        <w:t>2. Principles</w:t>
      </w:r>
    </w:p>
    <w:p>
      <w:pPr>
        <w:spacing w:before="0" w:after="80" w:line="252" w:lineRule="auto"/>
      </w:pPr>
      <w:r>
        <w:rPr>
          <w:rFonts w:ascii="Noto Sans" w:hAnsi="Noto Sans" w:eastAsia="Noto Sans" w:cs="Noto Sans"/>
          <w:b w:val="0"/>
          <w:i w:val="0"/>
          <w:sz w:val="18"/>
        </w:rPr>
        <w:t>Consent must be specific/distinguishable/withdrawable when relied on. Controllers provide notice of purposes, retention, recipients, rights and contact. Controllers/processors implement appropriate security and records. Qualifying breaches may require PDPC notice within 72 hours and high-risk data-subject notice. Electronic contracts can be effective where identity, intention, integrity and accessibility are reliably evidenced. VAT-related records are generally at least five years and may be required up to seven; package adopts seven.</w:t>
      </w:r>
    </w:p>
    <w:p>
      <w:pPr>
        <w:pStyle w:val="Heading2"/>
      </w:pPr>
      <w:r>
        <w:rPr>
          <w:rFonts w:ascii="Noto Sans" w:hAnsi="Noto Sans" w:eastAsia="Noto Sans" w:cs="Noto Sans"/>
          <w:b/>
          <w:i w:val="0"/>
          <w:sz w:val="24"/>
        </w:rPr>
        <w:t>3. Operator sources</w:t>
      </w:r>
    </w:p>
    <w:p>
      <w:pPr>
        <w:spacing w:before="0" w:after="80" w:line="252" w:lineRule="auto"/>
      </w:pPr>
      <w:r>
        <w:rPr>
          <w:rFonts w:ascii="Noto Sans" w:hAnsi="Noto Sans" w:eastAsia="Noto Sans" w:cs="Noto Sans"/>
          <w:b w:val="0"/>
          <w:i w:val="0"/>
          <w:sz w:val="18"/>
        </w:rPr>
        <w:t xml:space="preserve">DBD registration package; </w:t>
      </w:r>
      <w:r>
        <w:rPr>
          <w:rFonts w:ascii="Noto Sans Mono" w:hAnsi="Noto Sans Mono" w:eastAsia="Noto Sans Mono" w:cs="Noto Sans Mono"/>
          <w:b w:val="0"/>
          <w:i w:val="0"/>
          <w:color w:val="464646"/>
          <w:sz w:val="18"/>
        </w:rPr>
        <w:t>counsel-brief-sku1.md</w:t>
      </w:r>
      <w:r>
        <w:rPr>
          <w:rFonts w:ascii="Noto Sans" w:hAnsi="Noto Sans" w:eastAsia="Noto Sans" w:cs="Noto Sans"/>
          <w:b w:val="0"/>
          <w:i w:val="0"/>
          <w:sz w:val="18"/>
        </w:rPr>
        <w:t>; round-two technical answers; retention/closure clarification dated 27 July 2026.</w:t>
      </w:r>
    </w:p>
    <w:p>
      <w:pPr>
        <w:pStyle w:val="Heading2"/>
      </w:pPr>
      <w:r>
        <w:rPr>
          <w:rFonts w:ascii="Noto Sans" w:hAnsi="Noto Sans" w:eastAsia="Noto Sans" w:cs="Noto Sans"/>
          <w:b/>
          <w:i w:val="0"/>
          <w:sz w:val="24"/>
        </w:rPr>
        <w:t>4. Limitations</w:t>
      </w:r>
    </w:p>
    <w:p>
      <w:pPr>
        <w:spacing w:before="0" w:after="80" w:line="252" w:lineRule="auto"/>
      </w:pPr>
      <w:r>
        <w:rPr>
          <w:rFonts w:ascii="Noto Sans" w:hAnsi="Noto Sans" w:eastAsia="Noto Sans" w:cs="Noto Sans"/>
          <w:b w:val="0"/>
          <w:i w:val="0"/>
          <w:sz w:val="18"/>
        </w:rPr>
        <w:t>Counsel-ready drafts, not signed Thai legal opinion. Product facts, provider contracts, controls and final Thai-language publication require verification. Sources do not support claiming inactive Asia hosting, automatic contact purge, active partner, active AI or active Voice provider.</w:t>
      </w:r>
    </w:p>
    <w:p>
      <w:r>
        <w:br w:type="page"/>
      </w:r>
    </w:p>
    <w:p>
      <w:pPr>
        <w:pStyle w:val="Heading1"/>
        <w:jc w:val="center"/>
      </w:pPr>
      <w:r>
        <w:t>End of Package</w:t>
      </w:r>
    </w:p>
    <w:p>
      <w:pPr>
        <w:pStyle w:val="LegalQuote"/>
        <w:jc w:val="center"/>
      </w:pPr>
      <w:r>
        <w:rPr>
          <w:rFonts w:ascii="Noto Sans" w:hAnsi="Noto Sans" w:eastAsia="Noto Sans" w:cs="Noto Sans"/>
          <w:b/>
          <w:i w:val="0"/>
          <w:sz w:val="18"/>
        </w:rPr>
        <w:t>This package remains an unapproved counsel draft until the version-specific approval and launch-readiness records are completed.</w:t>
      </w:r>
    </w:p>
    <w:sectPr w:rsidR="00FC693F" w:rsidRPr="0006063C" w:rsidSect="00034616">
      <w:headerReference w:type="default" r:id="rId9"/>
      <w:footerReference w:type="default" r:id="rId10"/>
      <w:pgSz w:w="11906" w:h="16838"/>
      <w:pgMar w:top="879" w:right="879" w:bottom="879" w:left="87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s="Noto Sans"/>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eastAsia="Noto Sans" w:cs="Noto Sans"/>
        <w:b/>
        <w:color w:val="666666"/>
        <w:sz w:val="15"/>
      </w:rPr>
      <w:t>DEEJAI LAB CO., LTD.  |  DJBOT Legal Package  |  COUNSEL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Noto Sans" w:hAnsi="Noto Sans" w:eastAsia="Noto Sans Tha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Noto Sans" w:hAnsi="Noto Sans" w:eastAsia="Noto Sans Tha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w:hAnsi="Noto Sans" w:eastAsia="Noto Sans Thai"/>
      <w:b/>
      <w:bCs/>
      <w:color w:val="264B73"/>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w:hAnsi="Noto Sans" w:eastAsia="Noto Sans Thai"/>
      <w:b/>
      <w:bCs/>
      <w:color w:val="355D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Noto Sans" w:hAnsi="Noto Sans" w:eastAsia="Noto Sans Thai"/>
      <w:b/>
      <w:color w:val="1F2A4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Noto Sans" w:hAnsi="Noto Sans" w:eastAsia="Noto Sans Thai"/>
      <w:b w:val="0"/>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Quote">
    <w:name w:val="Legal Quote"/>
    <w:basedOn w:val="Normal"/>
    <w:pPr>
      <w:spacing w:after="40"/>
      <w:ind w:left="340" w:right="113"/>
    </w:pPr>
    <w:rPr>
      <w:rFonts w:ascii="Noto Sans" w:hAnsi="Noto Sans" w:eastAsia="Noto Sans Thai"/>
      <w:color w:val="4B4B4B"/>
      <w:sz w:val="17"/>
    </w:rPr>
  </w:style>
  <w:style w:type="paragraph" w:customStyle="1" w:styleId="SmallLegal">
    <w:name w:val="Small Legal"/>
    <w:basedOn w:val="Normal"/>
    <w:rPr>
      <w:rFonts w:ascii="Noto Sans" w:hAnsi="Noto Sans" w:eastAsia="Noto Sans Thai"/>
      <w:color w:val="50505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DJBOT Complete Legal Package</dc:title>
  <dc:subject>DJBOT legal contracts, notices and governance</dc:subject>
  <dc:creator>DEEJAI LAB CO., LTD.</dc:creator>
  <cp:keywords>DJBOT, FlowBot, PDPA, DPA, AI, Voice, legal</cp:keywords>
  <dc:description>generated by python-docx</dc:description>
  <cp:lastModifiedBy/>
  <cp:revision>1</cp:revision>
  <dcterms:created xsi:type="dcterms:W3CDTF">2013-12-23T23:15:00Z</dcterms:created>
  <dcterms:modified xsi:type="dcterms:W3CDTF">2013-12-23T23:15:00Z</dcterms:modified>
  <cp:category/>
</cp:coreProperties>
</file>