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355E3B"/>
          <w:sz w:val="40"/>
          <w:szCs w:val="40"/>
        </w:rPr>
        <w:t xml:space="preserve">FNP SALES ANALYSIS</w:t>
      </w:r>
    </w:p>
    <w:p>
      <w:pPr>
        <w:spacing w:after="40"/>
        <w:jc w:val="center"/>
      </w:pPr>
      <w:r>
        <w:rPr>
          <w:color w:val="595959"/>
          <w:sz w:val="26"/>
          <w:szCs w:val="26"/>
        </w:rPr>
        <w:t xml:space="preserve">Executive Summary</w:t>
      </w:r>
    </w:p>
    <w:p>
      <w:pPr>
        <w:pBdr>
          <w:bottom w:val="single" w:color="4F7942" w:sz="12" w:space="8"/>
        </w:pBdr>
        <w:spacing w:after="300"/>
        <w:jc w:val="center"/>
      </w:pPr>
      <w:r>
        <w:rPr>
          <w:i/>
          <w:iCs/>
          <w:color w:val="595959"/>
          <w:sz w:val="20"/>
          <w:szCs w:val="20"/>
        </w:rPr>
        <w:t xml:space="preserve">Order Period: 2023 | Delivery Period: 2024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8"/>
        <w:gridCol w:w="2008"/>
        <w:gridCol w:w="2008"/>
        <w:gridCol w:w="2008"/>
        <w:gridCol w:w="2008"/>
      </w:tblGrid>
      <w:tr>
        <w:tc>
          <w:tcPr>
            <w:tcW w:type="dxa" w:w="2008"/>
            <w:tcBorders>
              <w:top w:val="single" w:color="C7DCC1" w:sz="4"/>
              <w:left w:val="single" w:color="C7DCC1" w:sz="4"/>
              <w:bottom w:val="single" w:color="C7DCC1" w:sz="4"/>
              <w:right w:val="single" w:color="C7DCC1" w:sz="4"/>
            </w:tcBorders>
            <w:shd w:fill="E8F0E3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355E3B"/>
                <w:sz w:val="26"/>
                <w:szCs w:val="26"/>
              </w:rPr>
              <w:t xml:space="preserve">1,000</w:t>
            </w:r>
          </w:p>
          <w:p>
            <w:pPr>
              <w:jc w:val="center"/>
            </w:pPr>
            <w:r>
              <w:rPr>
                <w:color w:val="595959"/>
                <w:sz w:val="18"/>
                <w:szCs w:val="18"/>
              </w:rPr>
              <w:t xml:space="preserve">Total Orders</w:t>
            </w:r>
          </w:p>
        </w:tc>
        <w:tc>
          <w:tcPr>
            <w:tcW w:type="dxa" w:w="2008"/>
            <w:tcBorders>
              <w:top w:val="single" w:color="C7DCC1" w:sz="4"/>
              <w:left w:val="single" w:color="C7DCC1" w:sz="4"/>
              <w:bottom w:val="single" w:color="C7DCC1" w:sz="4"/>
              <w:right w:val="single" w:color="C7DCC1" w:sz="4"/>
            </w:tcBorders>
            <w:shd w:fill="E8F0E3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355E3B"/>
                <w:sz w:val="26"/>
                <w:szCs w:val="26"/>
              </w:rPr>
              <w:t xml:space="preserve">₹35,20,984</w:t>
            </w:r>
          </w:p>
          <w:p>
            <w:pPr>
              <w:jc w:val="center"/>
            </w:pPr>
            <w:r>
              <w:rPr>
                <w:color w:val="595959"/>
                <w:sz w:val="18"/>
                <w:szCs w:val="18"/>
              </w:rPr>
              <w:t xml:space="preserve">Total Revenue</w:t>
            </w:r>
          </w:p>
        </w:tc>
        <w:tc>
          <w:tcPr>
            <w:tcW w:type="dxa" w:w="2008"/>
            <w:tcBorders>
              <w:top w:val="single" w:color="C7DCC1" w:sz="4"/>
              <w:left w:val="single" w:color="C7DCC1" w:sz="4"/>
              <w:bottom w:val="single" w:color="C7DCC1" w:sz="4"/>
              <w:right w:val="single" w:color="C7DCC1" w:sz="4"/>
            </w:tcBorders>
            <w:shd w:fill="E8F0E3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355E3B"/>
                <w:sz w:val="26"/>
                <w:szCs w:val="26"/>
              </w:rPr>
              <w:t xml:space="preserve">5.53 days</w:t>
            </w:r>
          </w:p>
          <w:p>
            <w:pPr>
              <w:jc w:val="center"/>
            </w:pPr>
            <w:r>
              <w:rPr>
                <w:color w:val="595959"/>
                <w:sz w:val="18"/>
                <w:szCs w:val="18"/>
              </w:rPr>
              <w:t xml:space="preserve">Avg. Delivery Time</w:t>
            </w:r>
          </w:p>
        </w:tc>
        <w:tc>
          <w:tcPr>
            <w:tcW w:type="dxa" w:w="2008"/>
            <w:tcBorders>
              <w:top w:val="single" w:color="C7DCC1" w:sz="4"/>
              <w:left w:val="single" w:color="C7DCC1" w:sz="4"/>
              <w:bottom w:val="single" w:color="C7DCC1" w:sz="4"/>
              <w:right w:val="single" w:color="C7DCC1" w:sz="4"/>
            </w:tcBorders>
            <w:shd w:fill="E8F0E3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355E3B"/>
                <w:sz w:val="26"/>
                <w:szCs w:val="26"/>
              </w:rPr>
              <w:t xml:space="preserve">₹3,520.98</w:t>
            </w:r>
          </w:p>
          <w:p>
            <w:pPr>
              <w:jc w:val="center"/>
            </w:pPr>
            <w:r>
              <w:rPr>
                <w:color w:val="595959"/>
                <w:sz w:val="18"/>
                <w:szCs w:val="18"/>
              </w:rPr>
              <w:t xml:space="preserve">Avg. Customer Spend</w:t>
            </w:r>
          </w:p>
        </w:tc>
        <w:tc>
          <w:tcPr>
            <w:tcW w:type="dxa" w:w="2008"/>
            <w:tcBorders>
              <w:top w:val="single" w:color="C7DCC1" w:sz="4"/>
              <w:left w:val="single" w:color="C7DCC1" w:sz="4"/>
              <w:bottom w:val="single" w:color="C7DCC1" w:sz="4"/>
              <w:right w:val="single" w:color="C7DCC1" w:sz="4"/>
            </w:tcBorders>
            <w:shd w:fill="E8F0E3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355E3B"/>
                <w:sz w:val="26"/>
                <w:szCs w:val="26"/>
              </w:rPr>
              <w:t xml:space="preserve">Soft Toys</w:t>
            </w:r>
          </w:p>
          <w:p>
            <w:pPr>
              <w:jc w:val="center"/>
            </w:pPr>
            <w:r>
              <w:rPr>
                <w:color w:val="595959"/>
                <w:sz w:val="18"/>
                <w:szCs w:val="18"/>
              </w:rPr>
              <w:t xml:space="preserve">Top Category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4F7942" w:sz="8" w:space="4"/>
        </w:pBdr>
        <w:spacing w:after="160" w:before="360"/>
      </w:pPr>
      <w:r>
        <w:rPr>
          <w:b/>
          <w:bCs/>
          <w:color w:val="355E3B"/>
          <w:sz w:val="30"/>
          <w:szCs w:val="30"/>
        </w:rPr>
        <w:t xml:space="preserve">1. Overview</w:t>
      </w:r>
    </w:p>
    <w:p>
      <w:pPr>
        <w:spacing w:after="160" w:line="300"/>
      </w:pPr>
      <w:r>
        <w:rPr>
          <w:color w:val="262626"/>
          <w:sz w:val="22"/>
          <w:szCs w:val="22"/>
        </w:rPr>
        <w:t xml:space="preserve">This report summarizes performance from FNP's (Ferns N Petals) gifting and e-commerce sales dashboard, covering 1,000 orders and ₹35,20,984 in total revenue. The dashboard tracks orders and revenue across occasions, product categories, delivery timelines, seasonal trends, top-performing products, and geographic distribution across cities, with interactive filters for order date, delivery date, and occasion type.</w:t>
      </w:r>
    </w:p>
    <w:p>
      <w:pPr>
        <w:pStyle w:val="Heading1"/>
        <w:pBdr>
          <w:bottom w:val="single" w:color="4F7942" w:sz="8" w:space="4"/>
        </w:pBdr>
        <w:spacing w:after="160" w:before="360"/>
      </w:pPr>
      <w:r>
        <w:rPr>
          <w:b/>
          <w:bCs/>
          <w:color w:val="355E3B"/>
          <w:sz w:val="30"/>
          <w:szCs w:val="30"/>
        </w:rPr>
        <w:t xml:space="preserve">2. Key Performance Metrics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840"/>
      </w:tblGrid>
      <w:tr>
        <w:tc>
          <w:tcPr>
            <w:tcW w:type="dxa" w:w="3200"/>
            <w:shd w:fill="355E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shd w:fill="355E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840"/>
            <w:shd w:fill="355E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20"/>
                <w:szCs w:val="20"/>
              </w:rPr>
              <w:t xml:space="preserve">Total Orders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20"/>
                <w:szCs w:val="20"/>
              </w:rPr>
              <w:t xml:space="preserve">1,000</w:t>
            </w:r>
          </w:p>
        </w:tc>
        <w:tc>
          <w:tcPr>
            <w:tcW w:type="dxa" w:w="48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20"/>
                <w:szCs w:val="20"/>
              </w:rPr>
              <w:t xml:space="preserve">Baseline order volume for the analyzed period</w:t>
            </w:r>
          </w:p>
        </w:tc>
      </w:tr>
      <w:tr>
        <w:tc>
          <w:tcPr>
            <w:tcW w:type="dxa" w:w="3200"/>
            <w:shd w:fill="F4F8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20"/>
                <w:szCs w:val="20"/>
              </w:rPr>
              <w:t xml:space="preserve">Total Revenue</w:t>
            </w:r>
          </w:p>
        </w:tc>
        <w:tc>
          <w:tcPr>
            <w:tcW w:type="dxa" w:w="2000"/>
            <w:shd w:fill="F4F8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20"/>
                <w:szCs w:val="20"/>
              </w:rPr>
              <w:t xml:space="preserve">₹35,20,984.00</w:t>
            </w:r>
          </w:p>
        </w:tc>
        <w:tc>
          <w:tcPr>
            <w:tcW w:type="dxa" w:w="4840"/>
            <w:shd w:fill="F4F8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20"/>
                <w:szCs w:val="20"/>
              </w:rPr>
              <w:t xml:space="preserve">Gross revenue generated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20"/>
                <w:szCs w:val="20"/>
              </w:rPr>
              <w:t xml:space="preserve">Average Order-to-Delivery Time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20"/>
                <w:szCs w:val="20"/>
              </w:rPr>
              <w:t xml:space="preserve">5.53 days</w:t>
            </w:r>
          </w:p>
        </w:tc>
        <w:tc>
          <w:tcPr>
            <w:tcW w:type="dxa" w:w="48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20"/>
                <w:szCs w:val="20"/>
              </w:rPr>
              <w:t xml:space="preserve">Moderate fulfillment speed; room to improve</w:t>
            </w:r>
          </w:p>
        </w:tc>
      </w:tr>
      <w:tr>
        <w:tc>
          <w:tcPr>
            <w:tcW w:type="dxa" w:w="3200"/>
            <w:shd w:fill="F4F8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20"/>
                <w:szCs w:val="20"/>
              </w:rPr>
              <w:t xml:space="preserve">Average Customer Spend</w:t>
            </w:r>
          </w:p>
        </w:tc>
        <w:tc>
          <w:tcPr>
            <w:tcW w:type="dxa" w:w="2000"/>
            <w:shd w:fill="F4F8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20"/>
                <w:szCs w:val="20"/>
              </w:rPr>
              <w:t xml:space="preserve">₹3,520.98</w:t>
            </w:r>
          </w:p>
        </w:tc>
        <w:tc>
          <w:tcPr>
            <w:tcW w:type="dxa" w:w="4840"/>
            <w:shd w:fill="F4F8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2626"/>
                <w:sz w:val="20"/>
                <w:szCs w:val="20"/>
              </w:rPr>
              <w:t xml:space="preserve">Healthy average order value for gifting category</w:t>
            </w:r>
          </w:p>
        </w:tc>
      </w:tr>
    </w:tbl>
    <w:p>
      <w:pPr>
        <w:pStyle w:val="Heading1"/>
        <w:pBdr>
          <w:bottom w:val="single" w:color="4F7942" w:sz="8" w:space="4"/>
        </w:pBdr>
        <w:spacing w:after="160" w:before="360"/>
      </w:pPr>
      <w:r>
        <w:rPr>
          <w:b/>
          <w:bCs/>
          <w:color w:val="355E3B"/>
          <w:sz w:val="30"/>
          <w:szCs w:val="30"/>
        </w:rPr>
        <w:t xml:space="preserve">3. Key Insights</w:t>
      </w:r>
    </w:p>
    <w:p>
      <w:pPr>
        <w:pStyle w:val="Heading2"/>
        <w:spacing w:after="120" w:before="260"/>
      </w:pPr>
      <w:r>
        <w:rPr>
          <w:b/>
          <w:bCs/>
          <w:color w:val="355E3B"/>
          <w:sz w:val="24"/>
          <w:szCs w:val="24"/>
        </w:rPr>
        <w:t xml:space="preserve">3.1 Occasion &amp; Category Performance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262626"/>
          <w:sz w:val="22"/>
          <w:szCs w:val="22"/>
        </w:rPr>
        <w:t xml:space="preserve">Anniversary and Holi </w:t>
      </w:r>
      <w:r>
        <w:rPr>
          <w:color w:val="262626"/>
          <w:sz w:val="22"/>
          <w:szCs w:val="22"/>
        </w:rPr>
        <w:t xml:space="preserve">are the top revenue-generating occasions, closely followed by Raksha Bandhan, while Diwali and Birthday trail behind.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262626"/>
          <w:sz w:val="22"/>
          <w:szCs w:val="22"/>
        </w:rPr>
        <w:t xml:space="preserve">Soft Toys and Sweets </w:t>
      </w:r>
      <w:r>
        <w:rPr>
          <w:color w:val="262626"/>
          <w:sz w:val="22"/>
          <w:szCs w:val="22"/>
        </w:rPr>
        <w:t xml:space="preserve">dominate category-level revenue, with Cake also performing strongly; Mugs and Plants generate comparatively low revenue and may be under-marketed or under-stocked.</w:t>
      </w:r>
    </w:p>
    <w:p>
      <w:pPr>
        <w:pStyle w:val="Heading2"/>
        <w:spacing w:after="120" w:before="260"/>
      </w:pPr>
      <w:r>
        <w:rPr>
          <w:b/>
          <w:bCs/>
          <w:color w:val="355E3B"/>
          <w:sz w:val="24"/>
          <w:szCs w:val="24"/>
        </w:rPr>
        <w:t xml:space="preserve">3.2 Seasonal &amp; Weekly Trends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262626"/>
          <w:sz w:val="22"/>
          <w:szCs w:val="22"/>
        </w:rPr>
        <w:t xml:space="preserve">Monthly revenue peaks sharply in February and August, </w:t>
      </w:r>
      <w:r>
        <w:rPr>
          <w:color w:val="262626"/>
          <w:sz w:val="22"/>
          <w:szCs w:val="22"/>
        </w:rPr>
        <w:t xml:space="preserve">with a secondary rise in November — aligning with Valentine's Day, Raksha Bandhan, and the festive/wedding season respectively.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262626"/>
          <w:sz w:val="22"/>
          <w:szCs w:val="22"/>
        </w:rPr>
        <w:t xml:space="preserve">Revenue troughs occur from April through June and in September, </w:t>
      </w:r>
      <w:r>
        <w:rPr>
          <w:color w:val="262626"/>
          <w:sz w:val="22"/>
          <w:szCs w:val="22"/>
        </w:rPr>
        <w:t xml:space="preserve">indicating clear off-peak periods that could benefit from targeted promotions.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262626"/>
          <w:sz w:val="22"/>
          <w:szCs w:val="22"/>
        </w:rPr>
        <w:t xml:space="preserve">Tuesday shows an unusual mid-week revenue spike, </w:t>
      </w:r>
      <w:r>
        <w:rPr>
          <w:color w:val="262626"/>
          <w:sz w:val="22"/>
          <w:szCs w:val="22"/>
        </w:rPr>
        <w:t xml:space="preserve">while Wednesday and Thursday are the weakest days — a pattern worth investigating (e.g., promotional cadence or bulk/corporate ordering).</w:t>
      </w:r>
    </w:p>
    <w:p>
      <w:pPr>
        <w:pStyle w:val="Heading2"/>
        <w:spacing w:after="120" w:before="260"/>
      </w:pPr>
      <w:r>
        <w:rPr>
          <w:b/>
          <w:bCs/>
          <w:color w:val="355E3B"/>
          <w:sz w:val="24"/>
          <w:szCs w:val="24"/>
        </w:rPr>
        <w:t xml:space="preserve">3.3 Product &amp; Geographic Performance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262626"/>
          <w:sz w:val="22"/>
          <w:szCs w:val="22"/>
        </w:rPr>
        <w:t xml:space="preserve">"Magnum Set" and "Quia Gift" </w:t>
      </w:r>
      <w:r>
        <w:rPr>
          <w:color w:val="262626"/>
          <w:sz w:val="22"/>
          <w:szCs w:val="22"/>
        </w:rPr>
        <w:t xml:space="preserve">are the two highest-revenue products, notably ahead of Deserunt Box, Dolores Gift, and Harum Pack.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262626"/>
          <w:sz w:val="22"/>
          <w:szCs w:val="22"/>
        </w:rPr>
        <w:t xml:space="preserve">Order volume is broadly distributed across tier-2/3 cities </w:t>
      </w:r>
      <w:r>
        <w:rPr>
          <w:color w:val="262626"/>
          <w:sz w:val="22"/>
          <w:szCs w:val="22"/>
        </w:rPr>
        <w:t xml:space="preserve">(Imphal, Dhanbad, and Kavali lead with 25-28 orders each), suggesting demand extends well beyond metro markets.</w:t>
      </w:r>
    </w:p>
    <w:p>
      <w:pPr>
        <w:pStyle w:val="Heading1"/>
        <w:pBdr>
          <w:bottom w:val="single" w:color="4F7942" w:sz="8" w:space="4"/>
        </w:pBdr>
        <w:spacing w:after="160" w:before="360"/>
      </w:pPr>
      <w:r>
        <w:rPr>
          <w:b/>
          <w:bCs/>
          <w:color w:val="355E3B"/>
          <w:sz w:val="30"/>
          <w:szCs w:val="30"/>
        </w:rPr>
        <w:t xml:space="preserve">4. Conclusion</w:t>
      </w:r>
    </w:p>
    <w:p>
      <w:pPr>
        <w:spacing w:after="160" w:line="300"/>
      </w:pPr>
      <w:r>
        <w:rPr>
          <w:color w:val="262626"/>
          <w:sz w:val="22"/>
          <w:szCs w:val="22"/>
        </w:rPr>
        <w:t xml:space="preserve">The business demonstrates a healthy average order value (~₹3,521) supported by strong, predictable seasonal demand tied to key gifting occasions. However, revenue is concentrated in a narrow set of categories and products — Soft Toys, Sweets, Magnum Set, and Quia Gift — while several categories (Mugs, Plants) and months (April-June, September) underperform. The mid-week revenue dip and Tuesday spike also suggest an opportunity to refine promotional timing. Overall, the diversified city-level order base indicates strong non-metro demand, pointing to a viable path for regional expansion.</w:t>
      </w:r>
    </w:p>
    <w:p>
      <w:pPr>
        <w:pStyle w:val="Heading1"/>
        <w:pBdr>
          <w:bottom w:val="single" w:color="4F7942" w:sz="8" w:space="4"/>
        </w:pBdr>
        <w:spacing w:after="160" w:before="360"/>
      </w:pPr>
      <w:r>
        <w:rPr>
          <w:b/>
          <w:bCs/>
          <w:color w:val="355E3B"/>
          <w:sz w:val="30"/>
          <w:szCs w:val="30"/>
        </w:rPr>
        <w:t xml:space="preserve">5. Recommendations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262626"/>
          <w:sz w:val="22"/>
          <w:szCs w:val="22"/>
        </w:rPr>
        <w:t xml:space="preserve">Double down on hero occasions: </w:t>
      </w:r>
      <w:r>
        <w:rPr>
          <w:color w:val="262626"/>
          <w:sz w:val="22"/>
          <w:szCs w:val="22"/>
        </w:rPr>
        <w:t xml:space="preserve">increase marketing investment ahead of February and August (Valentine's Day and Raksha Bandhan) to capitalize on proven demand peaks.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262626"/>
          <w:sz w:val="22"/>
          <w:szCs w:val="22"/>
        </w:rPr>
        <w:t xml:space="preserve">Address off-peak months: </w:t>
      </w:r>
      <w:r>
        <w:rPr>
          <w:color w:val="262626"/>
          <w:sz w:val="22"/>
          <w:szCs w:val="22"/>
        </w:rPr>
        <w:t xml:space="preserve">run targeted campaigns or discounts during April-June and September to smooth revenue seasonality.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262626"/>
          <w:sz w:val="22"/>
          <w:szCs w:val="22"/>
        </w:rPr>
        <w:t xml:space="preserve">Diversify category focus: </w:t>
      </w:r>
      <w:r>
        <w:rPr>
          <w:color w:val="262626"/>
          <w:sz w:val="22"/>
          <w:szCs w:val="22"/>
        </w:rPr>
        <w:t xml:space="preserve">investigate why Mugs and Plants underperform and test bundling or repositioning strategies to lift their contribution.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262626"/>
          <w:sz w:val="22"/>
          <w:szCs w:val="22"/>
        </w:rPr>
        <w:t xml:space="preserve">Investigate the Tuesday spike / mid-week dip: </w:t>
      </w:r>
      <w:r>
        <w:rPr>
          <w:color w:val="262626"/>
          <w:sz w:val="22"/>
          <w:szCs w:val="22"/>
        </w:rPr>
        <w:t xml:space="preserve">analyze order sources and marketing spend by day to replicate high-performing patterns across the week.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262626"/>
          <w:sz w:val="22"/>
          <w:szCs w:val="22"/>
        </w:rPr>
        <w:t xml:space="preserve">Improve delivery speed: </w:t>
      </w:r>
      <w:r>
        <w:rPr>
          <w:color w:val="262626"/>
          <w:sz w:val="22"/>
          <w:szCs w:val="22"/>
        </w:rPr>
        <w:t xml:space="preserve">explore logistics optimizations to reduce the 5.53-day average delivery time, particularly for top-selling products.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262626"/>
          <w:sz w:val="22"/>
          <w:szCs w:val="22"/>
        </w:rPr>
        <w:t xml:space="preserve">Expand in strong non-metro cities: </w:t>
      </w:r>
      <w:r>
        <w:rPr>
          <w:color w:val="262626"/>
          <w:sz w:val="22"/>
          <w:szCs w:val="22"/>
        </w:rPr>
        <w:t xml:space="preserve">prioritize regional marketing and fulfillment capacity in cities like Imphal, Dhanbad, and Kavali, which already show high order volumes.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2026-08-26T20:04:10.427Z</dcterms:created>
  <dcterms:modified xsi:type="dcterms:W3CDTF">2026-08-26T20:04:10.442Z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